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17" w:rsidRPr="00F8087F" w:rsidRDefault="00886417" w:rsidP="00F8087F">
      <w:pPr>
        <w:ind w:left="5245"/>
        <w:rPr>
          <w:rFonts w:ascii="Times New Roman" w:hAnsi="Times New Roman" w:cs="Times New Roman"/>
          <w:sz w:val="24"/>
          <w:szCs w:val="24"/>
          <w:lang w:val="lt-LT"/>
        </w:rPr>
      </w:pPr>
      <w:r w:rsidRPr="00F8087F">
        <w:rPr>
          <w:rFonts w:ascii="Times New Roman" w:hAnsi="Times New Roman" w:cs="Times New Roman"/>
          <w:sz w:val="24"/>
          <w:szCs w:val="24"/>
          <w:lang w:val="lt-LT"/>
        </w:rPr>
        <w:t xml:space="preserve">Forma patvirtinta Lietuvos Respublikos finansų ministro </w:t>
      </w:r>
      <w:smartTag w:uri="urn:schemas-microsoft-com:office:smarttags" w:element="metricconverter">
        <w:smartTagPr>
          <w:attr w:name="ProductID" w:val="2004 m"/>
        </w:smartTagPr>
        <w:r w:rsidRPr="00F8087F">
          <w:rPr>
            <w:rFonts w:ascii="Times New Roman" w:hAnsi="Times New Roman" w:cs="Times New Roman"/>
            <w:sz w:val="24"/>
            <w:szCs w:val="24"/>
            <w:lang w:val="lt-LT"/>
          </w:rPr>
          <w:t>2004 m</w:t>
        </w:r>
      </w:smartTag>
      <w:r w:rsidRPr="00F8087F">
        <w:rPr>
          <w:rFonts w:ascii="Times New Roman" w:hAnsi="Times New Roman" w:cs="Times New Roman"/>
          <w:sz w:val="24"/>
          <w:szCs w:val="24"/>
          <w:lang w:val="lt-LT"/>
        </w:rPr>
        <w:t>. sausio 7 d. įsakymu Nr. 1K-004</w:t>
      </w:r>
    </w:p>
    <w:p w:rsidR="00886417" w:rsidRPr="00F8087F" w:rsidRDefault="00886417" w:rsidP="00F8087F">
      <w:pPr>
        <w:ind w:left="5245"/>
        <w:rPr>
          <w:rFonts w:ascii="Times New Roman" w:hAnsi="Times New Roman" w:cs="Times New Roman"/>
          <w:sz w:val="24"/>
          <w:szCs w:val="24"/>
          <w:lang w:val="lt-LT"/>
        </w:rPr>
      </w:pPr>
      <w:r w:rsidRPr="00F8087F">
        <w:rPr>
          <w:rFonts w:ascii="Times New Roman" w:hAnsi="Times New Roman" w:cs="Times New Roman"/>
          <w:sz w:val="24"/>
          <w:szCs w:val="24"/>
          <w:lang w:val="lt-LT"/>
        </w:rPr>
        <w:t xml:space="preserve">(Lietuvos Respublikos finansų ministro </w:t>
      </w:r>
      <w:r w:rsidR="00F8087F" w:rsidRPr="00F8087F">
        <w:rPr>
          <w:rFonts w:ascii="Times New Roman" w:hAnsi="Times New Roman" w:cs="Times New Roman"/>
          <w:sz w:val="24"/>
          <w:szCs w:val="24"/>
          <w:lang w:val="lt-LT"/>
        </w:rPr>
        <w:t xml:space="preserve">      </w:t>
      </w:r>
      <w:smartTag w:uri="urn:schemas-microsoft-com:office:smarttags" w:element="metricconverter">
        <w:smartTagPr>
          <w:attr w:name="ProductID" w:val="2011 m"/>
        </w:smartTagPr>
        <w:r w:rsidRPr="00F8087F">
          <w:rPr>
            <w:rFonts w:ascii="Times New Roman" w:hAnsi="Times New Roman" w:cs="Times New Roman"/>
            <w:sz w:val="24"/>
            <w:szCs w:val="24"/>
            <w:lang w:val="lt-LT"/>
          </w:rPr>
          <w:t>2011 m</w:t>
        </w:r>
      </w:smartTag>
      <w:r w:rsidRPr="00F8087F">
        <w:rPr>
          <w:rFonts w:ascii="Times New Roman" w:hAnsi="Times New Roman" w:cs="Times New Roman"/>
          <w:sz w:val="24"/>
          <w:szCs w:val="24"/>
          <w:lang w:val="lt-LT"/>
        </w:rPr>
        <w:t>. sausio 27 d. įsakymo Nr. 1K-021 redakcija)</w:t>
      </w:r>
    </w:p>
    <w:p w:rsidR="00A96943" w:rsidRPr="00F8087F" w:rsidRDefault="00A96943" w:rsidP="00F8087F">
      <w:pPr>
        <w:pStyle w:val="Betarp"/>
        <w:ind w:firstLine="5245"/>
        <w:rPr>
          <w:rFonts w:ascii="Times New Roman" w:hAnsi="Times New Roman" w:cs="Times New Roman"/>
          <w:sz w:val="24"/>
          <w:szCs w:val="24"/>
          <w:lang w:val="lt-LT"/>
        </w:rPr>
      </w:pPr>
      <w:r w:rsidRPr="00F8087F">
        <w:rPr>
          <w:rFonts w:ascii="Times New Roman" w:hAnsi="Times New Roman" w:cs="Times New Roman"/>
          <w:sz w:val="24"/>
          <w:szCs w:val="24"/>
          <w:lang w:val="lt-LT"/>
        </w:rPr>
        <w:t>P R I T A R T A</w:t>
      </w:r>
    </w:p>
    <w:p w:rsidR="00A96943" w:rsidRPr="00F8087F" w:rsidRDefault="00A96943" w:rsidP="00F8087F">
      <w:pPr>
        <w:pStyle w:val="Betarp"/>
        <w:ind w:firstLine="5245"/>
        <w:rPr>
          <w:rFonts w:ascii="Times New Roman" w:hAnsi="Times New Roman" w:cs="Times New Roman"/>
          <w:sz w:val="24"/>
          <w:szCs w:val="24"/>
          <w:lang w:val="lt-LT"/>
        </w:rPr>
      </w:pPr>
      <w:r w:rsidRPr="00F8087F">
        <w:rPr>
          <w:rFonts w:ascii="Times New Roman" w:hAnsi="Times New Roman" w:cs="Times New Roman"/>
          <w:sz w:val="24"/>
          <w:szCs w:val="24"/>
          <w:lang w:val="lt-LT"/>
        </w:rPr>
        <w:t>Rietavo savivaldybės tarybos</w:t>
      </w:r>
    </w:p>
    <w:p w:rsidR="00A96943" w:rsidRPr="00F8087F" w:rsidRDefault="00A96943" w:rsidP="00F8087F">
      <w:pPr>
        <w:pStyle w:val="Betarp"/>
        <w:ind w:firstLine="5245"/>
        <w:rPr>
          <w:rFonts w:ascii="Times New Roman" w:hAnsi="Times New Roman" w:cs="Times New Roman"/>
          <w:sz w:val="24"/>
          <w:szCs w:val="24"/>
          <w:lang w:val="lt-LT"/>
        </w:rPr>
      </w:pPr>
      <w:r w:rsidRPr="00F8087F">
        <w:rPr>
          <w:rFonts w:ascii="Times New Roman" w:hAnsi="Times New Roman" w:cs="Times New Roman"/>
          <w:sz w:val="24"/>
          <w:szCs w:val="24"/>
          <w:lang w:val="lt-LT"/>
        </w:rPr>
        <w:t>201</w:t>
      </w:r>
      <w:r w:rsidR="00657FC5" w:rsidRPr="00F8087F"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F8087F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657FC5" w:rsidRPr="00F8087F">
        <w:rPr>
          <w:rFonts w:ascii="Times New Roman" w:hAnsi="Times New Roman" w:cs="Times New Roman"/>
          <w:sz w:val="24"/>
          <w:szCs w:val="24"/>
          <w:lang w:val="lt-LT"/>
        </w:rPr>
        <w:t>balandžio</w:t>
      </w:r>
      <w:r w:rsidR="00027B07" w:rsidRPr="00F8087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="00D26EAE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="00027B07" w:rsidRPr="00F8087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 </w:t>
      </w:r>
      <w:r w:rsidRPr="00F8087F">
        <w:rPr>
          <w:rFonts w:ascii="Times New Roman" w:hAnsi="Times New Roman" w:cs="Times New Roman"/>
          <w:sz w:val="24"/>
          <w:szCs w:val="24"/>
          <w:lang w:val="lt-LT"/>
        </w:rPr>
        <w:t xml:space="preserve"> d. sprendimu Nr. T1-</w:t>
      </w:r>
    </w:p>
    <w:p w:rsidR="00886417" w:rsidRPr="00F8087F" w:rsidRDefault="00886417" w:rsidP="00F8087F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B0647B" w:rsidRPr="00746ECD" w:rsidRDefault="00B0647B" w:rsidP="008864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lt-LT"/>
        </w:rPr>
      </w:pPr>
      <w:r w:rsidRPr="0006192A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____</w:t>
      </w:r>
      <w:r w:rsidRPr="00746ECD">
        <w:rPr>
          <w:rFonts w:ascii="Times New Roman" w:hAnsi="Times New Roman" w:cs="Times New Roman"/>
          <w:b/>
          <w:sz w:val="28"/>
          <w:szCs w:val="28"/>
          <w:u w:val="single"/>
          <w:lang w:val="lt-LT"/>
        </w:rPr>
        <w:t>Rietavo savivaldybės administracija__</w:t>
      </w:r>
    </w:p>
    <w:p w:rsidR="00B0647B" w:rsidRPr="0006192A" w:rsidRDefault="00B0647B" w:rsidP="00886417">
      <w:pPr>
        <w:jc w:val="center"/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proofErr w:type="spellStart"/>
      <w:r w:rsidRPr="0006192A">
        <w:rPr>
          <w:rFonts w:ascii="Times New Roman" w:hAnsi="Times New Roman" w:cs="Times New Roman"/>
          <w:sz w:val="24"/>
          <w:szCs w:val="24"/>
          <w:u w:val="single"/>
          <w:lang w:val="lt-LT"/>
        </w:rPr>
        <w:t>Įm</w:t>
      </w:r>
      <w:proofErr w:type="spellEnd"/>
      <w:r w:rsidRPr="0006192A">
        <w:rPr>
          <w:rFonts w:ascii="Times New Roman" w:hAnsi="Times New Roman" w:cs="Times New Roman"/>
          <w:sz w:val="24"/>
          <w:szCs w:val="24"/>
          <w:u w:val="single"/>
          <w:lang w:val="lt-LT"/>
        </w:rPr>
        <w:t>. kodas 188747184, Laisvės a. 3, Rietavas, tel. 73 200</w:t>
      </w:r>
    </w:p>
    <w:p w:rsidR="00886417" w:rsidRPr="0006192A" w:rsidRDefault="00886417" w:rsidP="00886417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6192A">
        <w:rPr>
          <w:rFonts w:ascii="Times New Roman" w:hAnsi="Times New Roman" w:cs="Times New Roman"/>
          <w:b/>
          <w:sz w:val="24"/>
          <w:szCs w:val="24"/>
          <w:lang w:val="lt-LT"/>
        </w:rPr>
        <w:t>FINANSŲ KONTROLĖS BŪKLĖS ATASKAITA</w:t>
      </w:r>
    </w:p>
    <w:p w:rsidR="00886417" w:rsidRPr="0027013F" w:rsidRDefault="00C41D56" w:rsidP="000E4EF2">
      <w:pPr>
        <w:pStyle w:val="Porat"/>
        <w:tabs>
          <w:tab w:val="clear" w:pos="4153"/>
          <w:tab w:val="clear" w:pos="8306"/>
        </w:tabs>
        <w:ind w:left="3600"/>
        <w:rPr>
          <w:szCs w:val="24"/>
        </w:rPr>
      </w:pPr>
      <w:r w:rsidRPr="0027013F">
        <w:rPr>
          <w:szCs w:val="24"/>
        </w:rPr>
        <w:t>__</w:t>
      </w:r>
      <w:r w:rsidRPr="0027013F">
        <w:rPr>
          <w:szCs w:val="24"/>
          <w:u w:val="single"/>
        </w:rPr>
        <w:t>201</w:t>
      </w:r>
      <w:r w:rsidR="00657FC5">
        <w:rPr>
          <w:szCs w:val="24"/>
          <w:u w:val="single"/>
        </w:rPr>
        <w:t>5</w:t>
      </w:r>
      <w:r w:rsidRPr="0027013F">
        <w:rPr>
          <w:szCs w:val="24"/>
          <w:u w:val="single"/>
        </w:rPr>
        <w:t>-0</w:t>
      </w:r>
      <w:r w:rsidR="00657FC5">
        <w:rPr>
          <w:szCs w:val="24"/>
          <w:u w:val="single"/>
        </w:rPr>
        <w:t>4</w:t>
      </w:r>
      <w:r w:rsidRPr="0027013F">
        <w:rPr>
          <w:szCs w:val="24"/>
          <w:u w:val="single"/>
        </w:rPr>
        <w:t>-</w:t>
      </w:r>
      <w:r w:rsidR="00246F5B">
        <w:rPr>
          <w:szCs w:val="24"/>
          <w:u w:val="single"/>
        </w:rPr>
        <w:t>20</w:t>
      </w:r>
      <w:r w:rsidRPr="0027013F">
        <w:rPr>
          <w:szCs w:val="24"/>
        </w:rPr>
        <w:t>__</w:t>
      </w:r>
    </w:p>
    <w:p w:rsidR="00886417" w:rsidRPr="0006192A" w:rsidRDefault="00886417" w:rsidP="00F8087F">
      <w:pPr>
        <w:pStyle w:val="Porat"/>
        <w:tabs>
          <w:tab w:val="clear" w:pos="4153"/>
          <w:tab w:val="clear" w:pos="8306"/>
        </w:tabs>
        <w:ind w:left="3600" w:right="1274" w:firstLine="511"/>
        <w:rPr>
          <w:szCs w:val="24"/>
        </w:rPr>
      </w:pPr>
      <w:r w:rsidRPr="0006192A">
        <w:rPr>
          <w:szCs w:val="24"/>
        </w:rPr>
        <w:t>(data)</w:t>
      </w:r>
    </w:p>
    <w:p w:rsidR="00886417" w:rsidRPr="0006192A" w:rsidRDefault="00886417" w:rsidP="000E4EF2">
      <w:pPr>
        <w:pStyle w:val="Porat"/>
        <w:tabs>
          <w:tab w:val="clear" w:pos="4153"/>
          <w:tab w:val="clear" w:pos="8306"/>
        </w:tabs>
        <w:ind w:left="2880" w:right="1274" w:hanging="2880"/>
        <w:rPr>
          <w:szCs w:val="24"/>
          <w:u w:val="single"/>
        </w:rPr>
      </w:pPr>
    </w:p>
    <w:p w:rsidR="00886417" w:rsidRPr="0027013F" w:rsidRDefault="000E4EF2" w:rsidP="000E4EF2">
      <w:pPr>
        <w:pStyle w:val="Porat"/>
        <w:tabs>
          <w:tab w:val="clear" w:pos="4153"/>
          <w:tab w:val="clear" w:pos="8306"/>
        </w:tabs>
        <w:ind w:left="3600" w:right="1274"/>
        <w:rPr>
          <w:szCs w:val="24"/>
        </w:rPr>
      </w:pPr>
      <w:r w:rsidRPr="0027013F">
        <w:rPr>
          <w:szCs w:val="24"/>
          <w:u w:val="single"/>
        </w:rPr>
        <w:t xml:space="preserve">     </w:t>
      </w:r>
      <w:r w:rsidR="002D13C6">
        <w:rPr>
          <w:szCs w:val="24"/>
          <w:u w:val="single"/>
        </w:rPr>
        <w:t xml:space="preserve">  </w:t>
      </w:r>
      <w:r w:rsidRPr="0027013F">
        <w:rPr>
          <w:szCs w:val="24"/>
          <w:u w:val="single"/>
        </w:rPr>
        <w:t xml:space="preserve"> </w:t>
      </w:r>
      <w:r w:rsidR="00B0647B" w:rsidRPr="0027013F">
        <w:rPr>
          <w:szCs w:val="24"/>
          <w:u w:val="single"/>
        </w:rPr>
        <w:t>Rietavas</w:t>
      </w:r>
      <w:r w:rsidR="00C41D56" w:rsidRPr="0027013F">
        <w:rPr>
          <w:szCs w:val="24"/>
        </w:rPr>
        <w:t>_____</w:t>
      </w:r>
    </w:p>
    <w:p w:rsidR="00886417" w:rsidRPr="0006192A" w:rsidRDefault="000E4EF2" w:rsidP="000E4EF2">
      <w:pPr>
        <w:pStyle w:val="Porat"/>
        <w:tabs>
          <w:tab w:val="clear" w:pos="4153"/>
          <w:tab w:val="clear" w:pos="8306"/>
        </w:tabs>
        <w:ind w:left="2880" w:right="1274" w:firstLine="720"/>
        <w:rPr>
          <w:szCs w:val="24"/>
        </w:rPr>
      </w:pPr>
      <w:r>
        <w:rPr>
          <w:szCs w:val="24"/>
        </w:rPr>
        <w:t xml:space="preserve">   </w:t>
      </w:r>
      <w:r w:rsidR="00886417" w:rsidRPr="0006192A">
        <w:rPr>
          <w:szCs w:val="24"/>
        </w:rPr>
        <w:t>(sudarymo vieta)</w:t>
      </w:r>
    </w:p>
    <w:p w:rsidR="00886417" w:rsidRPr="0006192A" w:rsidRDefault="00886417" w:rsidP="00886417">
      <w:pPr>
        <w:pStyle w:val="Porat"/>
        <w:tabs>
          <w:tab w:val="clear" w:pos="4153"/>
          <w:tab w:val="clear" w:pos="8306"/>
        </w:tabs>
        <w:ind w:left="2880" w:right="1274" w:hanging="2880"/>
        <w:jc w:val="center"/>
        <w:rPr>
          <w:szCs w:val="24"/>
        </w:rPr>
      </w:pPr>
    </w:p>
    <w:tbl>
      <w:tblPr>
        <w:tblW w:w="10501" w:type="dxa"/>
        <w:tblInd w:w="-612" w:type="dxa"/>
        <w:tblLayout w:type="fixed"/>
        <w:tblLook w:val="0000"/>
      </w:tblPr>
      <w:tblGrid>
        <w:gridCol w:w="720"/>
        <w:gridCol w:w="6840"/>
        <w:gridCol w:w="504"/>
        <w:gridCol w:w="708"/>
        <w:gridCol w:w="312"/>
        <w:gridCol w:w="397"/>
        <w:gridCol w:w="567"/>
        <w:gridCol w:w="453"/>
      </w:tblGrid>
      <w:tr w:rsidR="00886417" w:rsidRPr="0006192A" w:rsidTr="00FA2193">
        <w:trPr>
          <w:cantSplit/>
          <w:trHeight w:val="11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Bendri duomenys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Ataskaitinio laikotarpio pabaigoje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2193" w:rsidRPr="00FA2193" w:rsidRDefault="00886417" w:rsidP="00FA21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Praėjusio ataskaitinio laikotarpio pabaigoje</w:t>
            </w:r>
          </w:p>
        </w:tc>
      </w:tr>
      <w:tr w:rsidR="00886417" w:rsidRPr="0006192A" w:rsidTr="0027013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:rsidR="00886417" w:rsidRPr="0006192A" w:rsidRDefault="00886417" w:rsidP="0027013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Viešajam juridiniam asmeniui pavaldžių arba jo valdymo sričiai priskirtų viešųjų juridinių asmenų skaičius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7" w:rsidRPr="00246F5B" w:rsidRDefault="00894D59" w:rsidP="00F80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46F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F8087F" w:rsidRPr="00246F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86417" w:rsidRPr="00246F5B" w:rsidRDefault="00894D59" w:rsidP="00090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46F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090C54" w:rsidRPr="00246F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</w:tr>
      <w:tr w:rsidR="00886417" w:rsidRPr="0006192A" w:rsidTr="0027013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:rsidR="00886417" w:rsidRPr="0006192A" w:rsidRDefault="00886417" w:rsidP="0027013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Viešojo juridinio asmens patvirtintas pareigybių (etatų) skaičius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7" w:rsidRPr="00881B85" w:rsidRDefault="00F8087F" w:rsidP="008C4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493,599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86417" w:rsidRPr="00881B85" w:rsidRDefault="00F8087F" w:rsidP="001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881B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98,166</w:t>
            </w:r>
          </w:p>
        </w:tc>
      </w:tr>
      <w:tr w:rsidR="00886417" w:rsidRPr="0006192A" w:rsidTr="0027013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:rsidR="00886417" w:rsidRPr="0006192A" w:rsidRDefault="00886417" w:rsidP="0027013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Viešajame juridiniame asmenyje dirbančių (dirbusių) valstybės tarnautojų ir darbuotojų skaičius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7" w:rsidRPr="00881B85" w:rsidRDefault="00894D59" w:rsidP="00983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81B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DA266D" w:rsidRPr="00881B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9831E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86417" w:rsidRPr="00881B85" w:rsidRDefault="00894D59" w:rsidP="00F80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81B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F808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68</w:t>
            </w:r>
          </w:p>
        </w:tc>
      </w:tr>
      <w:tr w:rsidR="00886417" w:rsidRPr="0006192A" w:rsidTr="0027013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27013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Viešojo juridinio asmens buhalterijoje (struktūriniame padalinyje, tvarkančiame apskaitą) patvirtintas pareigybių (etatų) skaičius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7" w:rsidRPr="005A44EB" w:rsidRDefault="008C4B95" w:rsidP="008C4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A44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  <w:r w:rsidR="00894D59" w:rsidRPr="005A44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77352C" w:rsidRPr="005A44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7" w:rsidRPr="005A44EB" w:rsidRDefault="008C4B95" w:rsidP="0077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A44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20,25</w:t>
            </w:r>
          </w:p>
        </w:tc>
      </w:tr>
      <w:tr w:rsidR="00886417" w:rsidRPr="0006192A" w:rsidTr="00027B07">
        <w:trPr>
          <w:cantSplit/>
          <w:trHeight w:val="9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27013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Viešojo juridinio asmens buhalterijoje (struktūriniame padalinyje, tvarkančiame apskaitą) dirbančių (dirbusių) valstybės tarnautojų ir darbuotojų skaičius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7" w:rsidRPr="005A44EB" w:rsidRDefault="00894D59" w:rsidP="008C4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A44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8C4B95" w:rsidRPr="005A44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7" w:rsidRPr="005A44EB" w:rsidRDefault="008C4B95" w:rsidP="00F80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A44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F808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</w:tr>
      <w:tr w:rsidR="00886417" w:rsidRPr="0006192A" w:rsidTr="0027013F">
        <w:trPr>
          <w:trHeight w:val="3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</w:pPr>
            <w:r w:rsidRPr="0006192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  <w:t>Klausimai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Atsakymai</w:t>
            </w:r>
          </w:p>
        </w:tc>
      </w:tr>
      <w:tr w:rsidR="00886417" w:rsidRPr="0006192A" w:rsidTr="004F2F33">
        <w:tc>
          <w:tcPr>
            <w:tcW w:w="10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894D5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Pažymėkite</w:t>
            </w:r>
            <w:r w:rsidRPr="0006192A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06192A">
              <w:rPr>
                <w:b/>
                <w:sz w:val="24"/>
                <w:szCs w:val="24"/>
                <w:lang w:val="lt-LT"/>
              </w:rPr>
              <w:sym w:font="Wingdings" w:char="F0FC"/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  <w:t>Ar viešajame juridiniame asmenyje yra patvirtinta organizacinė struktūra?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94D59" w:rsidP="00894D59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2F15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Ar siekiant viešajam juridiniam asmeniui iškeltų strateginių ir </w:t>
            </w: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lastRenderedPageBreak/>
              <w:t>kitų tikslų yra nustatoma rizika, galinti sutrukdyti šiuos tikslus pasiekti?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94D59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EE3E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8.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Jei taip, kaip ji yra vertinama (pažymėkite tinkamą variantą (variantus):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8.1.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563E2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rizika yra vertinama vadovaujantis auditų išvadomis ir rekomendacijomis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86417" w:rsidRPr="0006192A" w:rsidRDefault="00894D59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563E2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rizika yra vertinama naudojantis rizikos vertinimo modeliais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94D59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563E2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rizika yra vertinama kitais būdais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907865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9.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Ar viešojo juridinio asmens vadovas yra patvirtinęs Viešojo juridinio asmens sąskaitų planą?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94D59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Ar viešojo juridinio asmens vadovas yra patvirtinęs Viešojo juridinio asmens apskaitos politiką?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94D59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Ar nustatyta ir viešojo juridinio asmens vadovo patvirtinta naudojamų apskaitos registrų: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ind w:left="432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forma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94D59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EF7C7D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7D" w:rsidRPr="0006192A" w:rsidRDefault="00EF7C7D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11.2.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EF7C7D" w:rsidRPr="0006192A" w:rsidRDefault="00EF7C7D" w:rsidP="00563E29">
            <w:pPr>
              <w:ind w:left="432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turinys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EF7C7D" w:rsidRPr="0006192A" w:rsidRDefault="00EF7C7D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F7C7D" w:rsidRPr="0006192A" w:rsidRDefault="00EF7C7D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F7C7D" w:rsidRPr="0006192A" w:rsidRDefault="002506D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7C7D" w:rsidRPr="0006192A" w:rsidRDefault="00EF7C7D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7C7D" w:rsidRPr="0006192A" w:rsidRDefault="002506D7" w:rsidP="00E3375A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11.3.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563E29">
            <w:pPr>
              <w:ind w:left="432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skaičius 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86417" w:rsidRPr="00246F5B" w:rsidRDefault="00894D59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246F5B"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Ar teisės aktų nustatyta tvarka parengtas ir viešojo juridinio asmens vadovo patvirtintas apskaitos dokumentų ir apskaitos registrų saugojimo tvarkos aprašas?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86417" w:rsidRPr="0006192A" w:rsidRDefault="00894D59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Ar viešojo juridinio asmens vadovas yra patvirtinęs asmenų, kuriems suteikta teisė rengti ir pasirašyti arba tik pasirašyti apskaitos dokumentus, sąrašą ir jų parašų pavyzdžius?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86417" w:rsidRPr="0006192A" w:rsidRDefault="00894D59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Ar paskirtas darbuotojas, kuris atlieka vyriausiojo buhalterio </w:t>
            </w:r>
            <w:r w:rsidRPr="0006192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  <w:t>(buhalterio)</w:t>
            </w: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arba struktūrinio padalinio, tvarkančio apskaitą, vadovo funkcijas jo atostogų, ligos metu?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86417" w:rsidRPr="00EF7C7D" w:rsidRDefault="00894D59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EF7C7D"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 viešojo juridinio asmens vadovas yra patvirtinęs Viešojo juridinio asmens finansų kontrolės taisykles?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86417" w:rsidRPr="0006192A" w:rsidRDefault="00894D59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16.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Ar jos parengtos atsižvelgus į: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</w:tr>
      <w:tr w:rsidR="0083584C" w:rsidRPr="0006192A" w:rsidTr="004F2F33">
        <w:trPr>
          <w:trHeight w:val="5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84C" w:rsidRPr="0006192A" w:rsidRDefault="0083584C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16.1.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84C" w:rsidRPr="0006192A" w:rsidRDefault="00563E29" w:rsidP="00894D59">
            <w:pPr>
              <w:ind w:left="432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į</w:t>
            </w:r>
            <w:r w:rsidR="00F143F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staigos veiklos pobūdį ir ypatumus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83584C" w:rsidRPr="0006192A" w:rsidRDefault="0083584C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84C" w:rsidRPr="0006192A" w:rsidRDefault="0083584C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84C" w:rsidRPr="0006192A" w:rsidRDefault="0083584C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84C" w:rsidRPr="0006192A" w:rsidRDefault="0083584C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4C" w:rsidRPr="0006192A" w:rsidRDefault="0083584C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16.2.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organizacinę struktūrą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94D59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16.3.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veiklos riziką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86417" w:rsidRPr="0006192A" w:rsidRDefault="00894D59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16.4.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apskaitos ir informacinę sistemą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86417" w:rsidRPr="0006192A" w:rsidRDefault="00F143F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2F15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16.5.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ind w:left="432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turto apsaugos būklę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17.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 viešojo juridinio asmens finansų kontrolės taisyklės per ataskaitinį laikotarpį buvo keistos (papildytos)?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18.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Ar viešojo juridinio asmens vadovas yra paskyręs atsakingus už išankstinę, einamąją ir paskesniąją finansų kontrolę darbuotojus?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86417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19.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 viešojo juridinio asmens vadovas užtikrina, kad valstybės tarnautojai ir darbuotojai, atliekantys finansų kontrolę, turi tinkamą kompetenciją atlikti jiems pavestas funkcijas?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86417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  <w:t>Ar darbuotojų, atliekančių finansų kontrolę, pareigybių aprašymuose ir kituose vidaus dokumentuose yra aiškiai ir tinkamai apibrėžtos funkcijos, teisės, atsakomybė ir pavaldumas?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86417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</w:pPr>
            <w:r w:rsidRPr="0006192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  <w:t>Ar vyriausiasis buhalteris (buhalteris) arba struktūrinio padalinio, tvarkančio apskaitą, vadovas, vykdydamas išankstinę finansų kontrolę, pasirašydamas ūkinės operacijos dokumentus, parašu patvirtina, kad: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21.1.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ind w:left="432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</w:pPr>
            <w:r w:rsidRPr="0006192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  <w:t>dokumentai tinkamai parengti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86417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034904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21.2.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ind w:left="432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</w:pPr>
            <w:r w:rsidRPr="0006192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  <w:t>ūkinė operacija yra teisėta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034904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21.3.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ind w:left="432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</w:pPr>
            <w:r w:rsidRPr="0006192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  <w:t>jai atlikti pakaks patvirtintų asignavimų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034904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 xml:space="preserve">Ar buvo atvejų, kai vyriausiasis buhalteris </w:t>
            </w:r>
            <w:r w:rsidRPr="0006192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  <w:t>(buhalteris)</w:t>
            </w:r>
            <w:r w:rsidRPr="0006192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 xml:space="preserve"> </w:t>
            </w:r>
            <w:r w:rsidRPr="0006192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  <w:t>arba struktūrinio padalinio, tvarkančio apskaitą, vadovas</w:t>
            </w:r>
            <w:r w:rsidRPr="0006192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 xml:space="preserve"> atsisakė pasirašyti ūkinės operacijos atlikimo dokumentus?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</w:tr>
      <w:tr w:rsidR="00034904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Jei buvo nustatyta atvejų, kai vyriausiasis buhalteris </w:t>
            </w:r>
            <w:r w:rsidRPr="0006192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  <w:t>(buhalteris) arba struktūrinio padalinio, tvarkančio apskaitą, vadovas</w:t>
            </w: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 atsisakė pasirašyti ūkinės operacijos atlikimo dokumentus: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</w:tr>
      <w:tr w:rsidR="00034904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23.1.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ūkinė operacija nebuvo vykdoma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034904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23.2.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ūkinė operacija buvo vykdoma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034904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23.3.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ūkinė operacija buvo vykdoma rašytiniu vadovo pavedimu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034904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 per ataskaitinį laikotarpį buvo nustatyta atvejų, kai atlikus ūkinę operaciją išaiškėjo, kad: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</w:tr>
      <w:tr w:rsidR="00034904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24.1.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       ji buvo neteisėta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34904" w:rsidRPr="0006192A" w:rsidDel="00152C6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</w:tr>
      <w:tr w:rsidR="00034904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24.2.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       dokumentai buvo netinkamai parengti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34904" w:rsidRPr="0006192A" w:rsidDel="00152C6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</w:tr>
      <w:tr w:rsidR="00034904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24.3.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       ji buvo atlikta viršijant patvirtintas sąmatas ir neatitiko patvirtintų asignavimų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34904" w:rsidRPr="0006192A" w:rsidDel="00152C6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</w:tr>
      <w:tr w:rsidR="00034904" w:rsidRPr="0006192A" w:rsidTr="004F2F3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04" w:rsidRPr="0006192A" w:rsidRDefault="00563E29" w:rsidP="00563E2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Komentarai</w:t>
            </w:r>
            <w:r w:rsidR="00034904"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______________________________________________________________________________</w:t>
            </w:r>
            <w:r w:rsidR="00265B1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______________________________________________________________________</w:t>
            </w:r>
            <w:r w:rsidR="00034904"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__</w:t>
            </w:r>
            <w:r w:rsidR="00034904"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</w:t>
            </w:r>
          </w:p>
        </w:tc>
      </w:tr>
      <w:tr w:rsidR="00034904" w:rsidRPr="0006192A" w:rsidTr="004F2F33">
        <w:trPr>
          <w:trHeight w:val="10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4904" w:rsidRPr="0006192A" w:rsidDel="00C465F6" w:rsidRDefault="00034904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Jei</w:t>
            </w:r>
            <w:r w:rsidR="00563E29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gu</w:t>
            </w: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 per ataskaitinį laikotarpį buvo nustatyta atvejų, kai atlikus ūkinę operaciją išaiškėjo šios ataskaitos 24 punkte nurodytos aplinkybės, kas juos nustatė: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</w:tr>
      <w:tr w:rsidR="00034904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25.1.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4904" w:rsidRPr="0006192A" w:rsidDel="00C465F6" w:rsidRDefault="00034904" w:rsidP="00894D5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vidaus auditoriai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034904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25.2.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Valstybės kontrolės auditoriai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034904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25.3.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563E29" w:rsidP="00563E2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S</w:t>
            </w:r>
            <w:r w:rsidR="00034904"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avivaldybės kontrolierius (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S</w:t>
            </w:r>
            <w:r w:rsidR="00034904"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avivaldybės kontrolės ir audito tarnybos specialistai)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034904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25.4.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904" w:rsidRPr="0006192A" w:rsidDel="00C465F6" w:rsidRDefault="00034904" w:rsidP="00894D5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atestuoti auditoriai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034904" w:rsidRPr="0006192A" w:rsidTr="004F2F33">
        <w:trPr>
          <w:trHeight w:val="6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25.5.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904" w:rsidRPr="0006192A" w:rsidDel="00C465F6" w:rsidRDefault="00034904" w:rsidP="00894D59">
            <w:pPr>
              <w:ind w:left="432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viešojo juridinio asmens valstybės tarnautojai ar darbuotojai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41403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0" w:rsidRPr="0006192A" w:rsidRDefault="0041403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030" w:rsidRPr="0006192A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 viešajame juridiniame asmenyje atliekama kiekvienos ūkinės operacijos einamoji finansų kontrolė?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14030" w:rsidRPr="0006192A" w:rsidRDefault="0041403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06192A" w:rsidRDefault="0041403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41403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0" w:rsidRPr="0006192A" w:rsidRDefault="0041403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:rsidR="00414030" w:rsidRPr="0006192A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Ar, atliekant einamąją finansų kontrolę, viešajame juridiniame asmenyje buvo nustatyta neatitikimų ar klaidų?</w:t>
            </w:r>
          </w:p>
        </w:tc>
        <w:tc>
          <w:tcPr>
            <w:tcW w:w="504" w:type="dxa"/>
            <w:tcBorders>
              <w:top w:val="single" w:sz="4" w:space="0" w:color="auto"/>
            </w:tcBorders>
          </w:tcPr>
          <w:p w:rsidR="00414030" w:rsidRPr="0006192A" w:rsidRDefault="0041403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14030" w:rsidRPr="00D66A94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4030" w:rsidRPr="0006192A" w:rsidRDefault="0041403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</w:tr>
      <w:tr w:rsidR="00414030" w:rsidRPr="0006192A" w:rsidTr="004F2F33">
        <w:trPr>
          <w:cantSplit/>
          <w:trHeight w:val="1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0" w:rsidRPr="0006192A" w:rsidRDefault="0041403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28.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 nustatyta atvejų kai, nesant galimybės ištaisyti nustatytų neatitikimų ar klaidų, raštu buvo informuotas viešojo juridinio asmens vadovas, nurodant neatitikimų ar klaidų atsiradimo priežastis?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14030" w:rsidRPr="0006192A" w:rsidRDefault="0041403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D66A94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0" w:rsidRPr="0006192A" w:rsidRDefault="0041403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</w:tr>
      <w:tr w:rsidR="0041403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0" w:rsidRPr="0006192A" w:rsidRDefault="0041403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29.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030" w:rsidRPr="0006192A" w:rsidRDefault="00414030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Kokie sprendimai buvo priimti: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14030" w:rsidRPr="0006192A" w:rsidRDefault="0041403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06192A" w:rsidDel="00325E37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06192A" w:rsidDel="00325E37" w:rsidRDefault="00414030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D66A94" w:rsidDel="00325E37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0" w:rsidRPr="0006192A" w:rsidDel="00325E37" w:rsidRDefault="00414030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</w:tr>
      <w:tr w:rsidR="0041403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0" w:rsidRPr="0006192A" w:rsidRDefault="0041403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29.1.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030" w:rsidRPr="0006192A" w:rsidRDefault="00414030" w:rsidP="00894D5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ūkinė operacija nebuvo vykdoma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14030" w:rsidRPr="0006192A" w:rsidRDefault="0041403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D66A94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41403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0" w:rsidRPr="0006192A" w:rsidRDefault="0041403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29.2.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030" w:rsidRPr="0006192A" w:rsidRDefault="00414030" w:rsidP="00894D5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įvertinus sprendimo vykdymo sustabdymo pasekmes ar kitas aplinkybes, ūkinė operacija buvo vykdoma toliau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14030" w:rsidRPr="0006192A" w:rsidRDefault="0041403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D66A94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0B7087" w:rsidRPr="0006192A" w:rsidTr="009228FA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87" w:rsidRPr="0006192A" w:rsidRDefault="000B708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29.3.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087" w:rsidRPr="0006192A" w:rsidRDefault="000B7087" w:rsidP="00894D5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priimti kiti sprendimai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B7087" w:rsidRPr="0006192A" w:rsidRDefault="000B708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087" w:rsidRPr="0006192A" w:rsidRDefault="000B708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087" w:rsidRPr="0006192A" w:rsidRDefault="000B7087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087" w:rsidRPr="00D66A94" w:rsidRDefault="000B708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87" w:rsidRPr="0006192A" w:rsidRDefault="000B7087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0B7087" w:rsidRPr="0006192A" w:rsidTr="009228FA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87" w:rsidRPr="0006192A" w:rsidRDefault="000B708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87" w:rsidRPr="00D66A94" w:rsidRDefault="000B7087" w:rsidP="00DA271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Komentarai_____________________________________________________________________ </w:t>
            </w: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_______________</w:t>
            </w: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__</w:t>
            </w:r>
          </w:p>
        </w:tc>
      </w:tr>
      <w:tr w:rsidR="0041403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0" w:rsidRPr="0006192A" w:rsidRDefault="0041403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30.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030" w:rsidRPr="0006192A" w:rsidRDefault="00414030" w:rsidP="00894D59">
            <w:pPr>
              <w:pStyle w:val="Pagrindinistekstas"/>
              <w:suppressAutoHyphens/>
              <w:rPr>
                <w:b/>
                <w:szCs w:val="24"/>
              </w:rPr>
            </w:pPr>
            <w:r w:rsidRPr="0006192A">
              <w:rPr>
                <w:b/>
                <w:szCs w:val="24"/>
              </w:rPr>
              <w:t>Ar vykdant paskesniąją finansų kontrolę buvo nustatyta neatitikimų ar klaidų ir numatyta priemonių jos metu nustatytiems trūkumams pašalinti?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14030" w:rsidRPr="0006192A" w:rsidRDefault="00414030" w:rsidP="00894D59">
            <w:pPr>
              <w:rPr>
                <w:b/>
                <w:color w:val="339966"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D66A94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0" w:rsidRPr="0006192A" w:rsidRDefault="0041403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</w:tr>
      <w:tr w:rsidR="0035535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 viešajame juridiniame asmenyje yra atskirtos išankstinės ir paskesniosios finansų kontrolės funkcijos?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35535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Ar viešajame juridiniame asmenyje laikomasi finansų kontrolės taisyklėse nustatytų procedūrų? 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35535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Ar finansų kontrolės procedūros: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</w:tr>
      <w:tr w:rsidR="0035535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33.1.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563E29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 xml:space="preserve">        ekonomiškos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0E469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35535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33.2.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563E29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       veiksmingos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35535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33.3.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563E29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        funkcionuoja kaip vientisa sistema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23355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35535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>Ar finansinės ataskaitos sudarytos vadovaujantis Viešojo sektoriaus atskaitomybės įstatymu?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35535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>Ar sudarant finansines ataskaitas turtas, įsipareigojimai, pajamos ir sąnaudos buvo įvertinti vadovaujantis viešojo sektoriaus apskaitos ir finansinės atskaitomybės standartais?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35535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36.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>Ar viešojo juridinio asmens finansinėse ataskaitose teisingai rodomos finansavimo sumos, grynasis turtas bei pinigų srautai?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35535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>Ar viešajame juridiniame asmenyje yra paskirti už perduoto naudoti viešojo juridinio asmens turto naudojimo kontrolę atsakingi asmenys?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35535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38.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 su visais darbuotojais, įgaliotais saugoti turtą, yra sudarytos visiškos materialinės atsakomybės sutartys?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355350" w:rsidRPr="0006192A" w:rsidTr="004F2F33">
        <w:trPr>
          <w:trHeight w:val="9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39.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 per ataskaitinį laikotarpį buvo nustatyta tvarka inventorizuotas visas viešojo juridinio asmens turtas ir įsipareigojimai?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9569EA" w:rsidRPr="0006192A" w:rsidTr="00867663">
        <w:trPr>
          <w:trHeight w:val="95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9EA" w:rsidRPr="0006192A" w:rsidRDefault="009569EA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40.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9EA" w:rsidRPr="0006192A" w:rsidRDefault="009569EA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 inventorizacijos metu buvo nustatytų turto ir įsipareigojimų buhalterinės apskaitos duomenų ir faktiškai rastų jų likučių skirtumų?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9569EA" w:rsidRPr="0006192A" w:rsidRDefault="009569EA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9EA" w:rsidRPr="0006192A" w:rsidRDefault="009569EA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9EA" w:rsidRPr="0006192A" w:rsidRDefault="009569EA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9EA" w:rsidRPr="00D66A94" w:rsidRDefault="009569EA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EA" w:rsidRPr="0006192A" w:rsidRDefault="009569EA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</w:tr>
      <w:tr w:rsidR="009569EA" w:rsidRPr="0006192A" w:rsidTr="009228FA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EA" w:rsidRPr="0006192A" w:rsidRDefault="009569EA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EA" w:rsidRPr="0006192A" w:rsidRDefault="009569EA" w:rsidP="00563E2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Komentarai______________________________________________________________________________________________________________________________________________________________________________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_____________________________________________________</w:t>
            </w:r>
          </w:p>
        </w:tc>
      </w:tr>
      <w:tr w:rsidR="00355350" w:rsidRPr="0006192A" w:rsidTr="004F2F33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 per ataskaitinį laikotarpį buvo viešojo juridinio asmens turto vagysčių arba netekimų 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</w:tr>
      <w:tr w:rsidR="00355350" w:rsidRPr="0006192A" w:rsidTr="004F2F33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50" w:rsidRPr="00D66A94" w:rsidRDefault="00355350" w:rsidP="002F116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Komentarai</w:t>
            </w:r>
            <w:r w:rsidR="002F116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____________________________________________________________________</w:t>
            </w: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______________________________________________________________________________________________________________________________________________________________</w:t>
            </w:r>
          </w:p>
        </w:tc>
      </w:tr>
      <w:tr w:rsidR="00355350" w:rsidRPr="0006192A" w:rsidTr="004F2F3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 viešajame juridiniame asmenyje yra atskirtos turto apsaugos ir šio turto apskaitos funkcijos?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693BDB" w:rsidP="00693BDB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693BDB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35535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 viešajame juridiniame asmenyje pagal Lietuvos Respublikos teisės aktus turi būti įsteigta vidaus audito tarnyba?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35535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 viešajame juridiniame asmenyje yra įsteigta vidaus audito tarnyba?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EF4C29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29" w:rsidRPr="0006192A" w:rsidRDefault="00EF4C29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C29" w:rsidRPr="0006192A" w:rsidRDefault="00EF4C29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 su Viešojo juridinio asmens finansų kontrolės būklės ataskaita susipažino Vidaus audito tarnybos vadovas?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EF4C29" w:rsidRPr="0006192A" w:rsidRDefault="00EF4C29" w:rsidP="00894D59">
            <w:pPr>
              <w:rPr>
                <w:sz w:val="24"/>
                <w:szCs w:val="24"/>
                <w:highlight w:val="green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29" w:rsidRPr="0006192A" w:rsidRDefault="00EF4C29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29" w:rsidRPr="0006192A" w:rsidRDefault="00EF4C29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29" w:rsidRPr="00D66A94" w:rsidRDefault="00EF4C29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29" w:rsidRPr="0006192A" w:rsidRDefault="00EF4C29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EF4C29" w:rsidRPr="0006192A" w:rsidTr="00DC7EAC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29" w:rsidRPr="0006192A" w:rsidRDefault="00EF4C29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46.</w:t>
            </w:r>
          </w:p>
          <w:p w:rsidR="00EF4C29" w:rsidRPr="0006192A" w:rsidRDefault="00EF4C29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lt-LT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9" w:rsidRPr="0006192A" w:rsidRDefault="00EF4C29" w:rsidP="00FA2F02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 xml:space="preserve">Kiti </w:t>
            </w:r>
            <w:r w:rsidR="00FA2F0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 xml:space="preserve"> </w:t>
            </w:r>
            <w:r w:rsidRPr="0006192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 xml:space="preserve">Finansų </w:t>
            </w:r>
            <w:r w:rsidR="00FA2F0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 xml:space="preserve"> </w:t>
            </w:r>
            <w:r w:rsidRPr="0006192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 xml:space="preserve">kontrolės </w:t>
            </w:r>
            <w:r w:rsidR="00FA2F0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 xml:space="preserve"> </w:t>
            </w:r>
            <w:r w:rsidRPr="0006192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 xml:space="preserve">būklės </w:t>
            </w:r>
            <w:r w:rsidR="00FA2F0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 xml:space="preserve"> </w:t>
            </w: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ataskaitos </w:t>
            </w:r>
            <w:r w:rsidR="00FA2F0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 </w:t>
            </w: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formoje </w:t>
            </w:r>
            <w:r w:rsidR="00FA2F0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 </w:t>
            </w: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nepaminėti </w:t>
            </w:r>
            <w:r w:rsidR="00FA2F0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 </w:t>
            </w: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svarbūs </w:t>
            </w:r>
            <w:r w:rsidR="00FA2F0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 </w:t>
            </w: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finansų </w:t>
            </w:r>
            <w:r w:rsidR="00FA2F0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 </w:t>
            </w: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kontrolės klausimai, pateikiami viešajam juridiniam asmeniui pavaldiems ir (arba) jo valdymo sričiai priskirtiems viešiesiems juridiniams asmenims. (</w:t>
            </w:r>
            <w:r w:rsidRPr="0006192A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lt-LT"/>
              </w:rPr>
              <w:t>Pildoma, kai buvo gauti klausimai iš v</w:t>
            </w:r>
            <w:r w:rsidR="00DA2711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lt-LT"/>
              </w:rPr>
              <w:t>iešojo juridinio</w:t>
            </w:r>
            <w:r w:rsidR="00FA2F02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lt-LT"/>
              </w:rPr>
              <w:t xml:space="preserve"> </w:t>
            </w:r>
            <w:r w:rsidR="00DA2711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lt-LT"/>
              </w:rPr>
              <w:t>asmens,</w:t>
            </w:r>
            <w:r w:rsidR="00FA2F02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lt-LT"/>
              </w:rPr>
              <w:t xml:space="preserve"> </w:t>
            </w:r>
            <w:r w:rsidR="00DA2711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lt-LT"/>
              </w:rPr>
              <w:t>kuriam</w:t>
            </w:r>
            <w:r w:rsidR="00FA2F02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lt-LT"/>
              </w:rPr>
              <w:t xml:space="preserve"> </w:t>
            </w:r>
            <w:r w:rsidRPr="0006192A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lt-LT"/>
              </w:rPr>
              <w:t>teikiama</w:t>
            </w:r>
            <w:r w:rsidR="00FA2F02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lt-LT"/>
              </w:rPr>
              <w:t xml:space="preserve"> </w:t>
            </w:r>
            <w:r w:rsidRPr="0006192A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lt-LT"/>
              </w:rPr>
              <w:t>ši</w:t>
            </w:r>
            <w:r w:rsidR="00FA2F02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lt-LT"/>
              </w:rPr>
              <w:t xml:space="preserve"> </w:t>
            </w:r>
            <w:r w:rsidR="00DC7EAC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lt-LT"/>
              </w:rPr>
              <w:t>ataskaita</w:t>
            </w:r>
            <w:r w:rsidRPr="0006192A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lt-LT"/>
              </w:rPr>
              <w:t>)</w:t>
            </w:r>
            <w:r w:rsidR="00E93CBB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lt-LT"/>
              </w:rPr>
              <w:t xml:space="preserve">                                      </w:t>
            </w: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__________</w:t>
            </w:r>
            <w:r w:rsidR="004E07D7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______</w:t>
            </w:r>
          </w:p>
        </w:tc>
      </w:tr>
      <w:tr w:rsidR="00EF4C29" w:rsidRPr="0006192A" w:rsidTr="004F2F33">
        <w:trPr>
          <w:trHeight w:val="7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29" w:rsidRPr="0006192A" w:rsidRDefault="00EF4C29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47.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9" w:rsidRPr="0006192A" w:rsidRDefault="00EF4C29" w:rsidP="00780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Įvertinkite viešojo juridinio asmens finansų kontrolės būklę (</w:t>
            </w:r>
            <w:r w:rsidRPr="00E3375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labai gera</w:t>
            </w:r>
            <w:r w:rsidRPr="0078047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 gera,</w:t>
            </w:r>
            <w:r w:rsidRPr="00E3375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5D4B8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patenkinama</w:t>
            </w:r>
            <w:r w:rsidRPr="00E3375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 silpna)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8F73A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_______________________</w:t>
            </w:r>
            <w:r w:rsidR="0078047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Gera</w:t>
            </w: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_____</w:t>
            </w:r>
          </w:p>
        </w:tc>
      </w:tr>
      <w:tr w:rsidR="00EF4C29" w:rsidRPr="0006192A" w:rsidTr="004F2F33">
        <w:trPr>
          <w:trHeight w:val="2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29" w:rsidRPr="0006192A" w:rsidRDefault="00EF4C29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48.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9" w:rsidRPr="0006192A" w:rsidRDefault="00EF4C29" w:rsidP="008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Pagal pateiktas viešajam juridiniam asmeniui pavaldžių ir (arba) jo valdymo sričiai priskirtų viešųjų juridinių asmenų finansų kontrolės būklės ataskaitas, atliktus vertinimus ir turimus duomenis finansų kontrolės būklė įvertinta, iš viso </w:t>
            </w:r>
            <w:r w:rsidR="00E93CBB" w:rsidRPr="00343BE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="00867663" w:rsidRPr="00343BE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</w:t>
            </w: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(</w:t>
            </w:r>
            <w:r w:rsidRPr="0006192A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 xml:space="preserve">nurodytas viešajam juridiniam asmeniui pavaldžių ir (arba) jo valdymo sričiai priskirtų viešųjų juridinių asmenų skaičius turi atitikti įvertintų viešųjų juridinių asmenų skaičių), </w:t>
            </w: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 jų:</w:t>
            </w:r>
          </w:p>
          <w:p w:rsidR="00EF4C29" w:rsidRPr="001877F6" w:rsidRDefault="00EF4C29" w:rsidP="0089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877F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         </w:t>
            </w:r>
            <w:r w:rsidR="00B03F7B" w:rsidRPr="001877F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labai gera –</w:t>
            </w:r>
            <w:r w:rsidRPr="001877F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1</w:t>
            </w:r>
            <w:r w:rsidR="00E3375A" w:rsidRPr="001877F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E3375A" w:rsidRPr="001877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(Rietavo Lauryno Ivinskio gimnazij</w:t>
            </w:r>
            <w:r w:rsidR="002939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E3375A" w:rsidRPr="001877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:rsidR="00EF4C29" w:rsidRPr="00693BDB" w:rsidRDefault="00EF4C29" w:rsidP="00E335BE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</w:pPr>
            <w:r w:rsidRPr="00693BD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         gera</w:t>
            </w:r>
            <w:r w:rsidR="00B03F7B" w:rsidRPr="00693BD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–</w:t>
            </w:r>
            <w:r w:rsidR="00E93CBB" w:rsidRPr="00693BD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1E6CDB" w:rsidRPr="00693BD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="0086766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</w:t>
            </w:r>
            <w:r w:rsidR="00E3375A" w:rsidRPr="00693BD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E3375A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(Rietavo savivaldybės administracij</w:t>
            </w:r>
            <w:r w:rsidR="002939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E3375A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="00E3375A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Daugėdų</w:t>
            </w:r>
            <w:proofErr w:type="spellEnd"/>
            <w:r w:rsidR="00E3375A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seniūnij</w:t>
            </w:r>
            <w:r w:rsidR="002939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E3375A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="001E6CDB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Medingėnų</w:t>
            </w:r>
            <w:proofErr w:type="spellEnd"/>
            <w:r w:rsidR="001E6CDB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seniūnij</w:t>
            </w:r>
            <w:r w:rsidR="002939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1E6CDB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Rietavo seniūnij</w:t>
            </w:r>
            <w:r w:rsidR="002939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1E6CDB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00F73FC7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Rietavo miesto seniūnij</w:t>
            </w:r>
            <w:r w:rsidR="002939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F73FC7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="001E6CDB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Tverų</w:t>
            </w:r>
            <w:proofErr w:type="spellEnd"/>
            <w:r w:rsidR="001E6CDB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seniūnij</w:t>
            </w:r>
            <w:r w:rsidR="002939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1E6CDB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="00E3375A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Tverų</w:t>
            </w:r>
            <w:proofErr w:type="spellEnd"/>
            <w:r w:rsidR="00E3375A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vidurinė mokykl</w:t>
            </w:r>
            <w:r w:rsidR="002939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E3375A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="00F73FC7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Žadvainių</w:t>
            </w:r>
            <w:proofErr w:type="spellEnd"/>
            <w:r w:rsidR="00F73FC7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pagrindinė mokykl</w:t>
            </w:r>
            <w:r w:rsidR="002939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F73FC7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00E3375A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Rietavo lopšel</w:t>
            </w:r>
            <w:r w:rsidR="002939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</w:t>
            </w:r>
            <w:r w:rsidR="00E3375A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-daržel</w:t>
            </w:r>
            <w:r w:rsidR="002939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</w:t>
            </w:r>
            <w:r w:rsidR="00E3375A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Rietavo Mykolo Kleopo Oginskio meno mokykl</w:t>
            </w:r>
            <w:r w:rsidR="002939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F73FC7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Rietavo </w:t>
            </w:r>
            <w:r w:rsidR="00F73FC7" w:rsidRPr="009228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Ogi</w:t>
            </w:r>
            <w:r w:rsidR="00F73FC7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nskių kultūros istorijos muziej</w:t>
            </w:r>
            <w:r w:rsidR="002939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us</w:t>
            </w:r>
            <w:r w:rsidR="001E6CDB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Rietavo Irenėjaus Oginskio viešoj</w:t>
            </w:r>
            <w:r w:rsidR="002939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1E6CDB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bibliotek</w:t>
            </w:r>
            <w:r w:rsidR="002939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1E6CDB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Rietavo savivaldybės kultūros centr</w:t>
            </w:r>
            <w:r w:rsidR="002939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</w:t>
            </w:r>
            <w:r w:rsidR="001E6CDB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Rietavo socialinių paslaugų centr</w:t>
            </w:r>
            <w:r w:rsidR="002939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</w:t>
            </w:r>
            <w:r w:rsidR="00693BDB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Rietavo atvira</w:t>
            </w:r>
            <w:r w:rsidR="002939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="00693BDB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jaunimo centr</w:t>
            </w:r>
            <w:r w:rsidR="002939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</w:t>
            </w:r>
            <w:r w:rsidR="009228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Savivaldybės kontrolės ir audito tarnyba</w:t>
            </w:r>
            <w:r w:rsidR="00693BDB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).</w:t>
            </w:r>
          </w:p>
        </w:tc>
      </w:tr>
    </w:tbl>
    <w:p w:rsidR="00886417" w:rsidRPr="0006192A" w:rsidRDefault="00886417" w:rsidP="00886417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886417" w:rsidRPr="0006192A" w:rsidRDefault="00E3375A" w:rsidP="0088641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886417" w:rsidRPr="0006192A">
        <w:rPr>
          <w:sz w:val="24"/>
          <w:szCs w:val="24"/>
          <w:lang w:val="lt-LT"/>
        </w:rPr>
        <w:tab/>
      </w:r>
      <w:r w:rsidR="00886417" w:rsidRPr="0006192A">
        <w:rPr>
          <w:sz w:val="24"/>
          <w:szCs w:val="24"/>
          <w:lang w:val="lt-LT"/>
        </w:rPr>
        <w:tab/>
        <w:t>________________________________</w:t>
      </w:r>
    </w:p>
    <w:p w:rsidR="00886417" w:rsidRPr="0006192A" w:rsidRDefault="00886417" w:rsidP="00886417">
      <w:pPr>
        <w:rPr>
          <w:sz w:val="24"/>
          <w:szCs w:val="24"/>
          <w:lang w:val="lt-LT"/>
        </w:rPr>
      </w:pPr>
    </w:p>
    <w:p w:rsidR="00886417" w:rsidRPr="0006192A" w:rsidRDefault="00886417" w:rsidP="00886417">
      <w:pPr>
        <w:rPr>
          <w:sz w:val="24"/>
          <w:szCs w:val="24"/>
          <w:lang w:val="lt-LT"/>
        </w:rPr>
      </w:pPr>
    </w:p>
    <w:p w:rsidR="00886417" w:rsidRPr="0006192A" w:rsidRDefault="00886417" w:rsidP="00BE79DB">
      <w:pPr>
        <w:pStyle w:val="Pagrindiniotekstotrauka"/>
        <w:rPr>
          <w:szCs w:val="24"/>
        </w:rPr>
      </w:pPr>
    </w:p>
    <w:p w:rsidR="0075641B" w:rsidRPr="0006192A" w:rsidRDefault="0075641B" w:rsidP="00BE79DB">
      <w:pPr>
        <w:pStyle w:val="Pagrindiniotekstotrauka"/>
        <w:rPr>
          <w:szCs w:val="24"/>
        </w:rPr>
      </w:pPr>
    </w:p>
    <w:p w:rsidR="0075641B" w:rsidRPr="0006192A" w:rsidRDefault="0075641B" w:rsidP="00BE79DB">
      <w:pPr>
        <w:pStyle w:val="Pagrindiniotekstotrauka"/>
        <w:rPr>
          <w:szCs w:val="24"/>
        </w:rPr>
      </w:pPr>
    </w:p>
    <w:p w:rsidR="0075641B" w:rsidRPr="0006192A" w:rsidRDefault="0075641B" w:rsidP="00BE79DB">
      <w:pPr>
        <w:pStyle w:val="Pagrindiniotekstotrauka"/>
        <w:rPr>
          <w:szCs w:val="24"/>
        </w:rPr>
      </w:pPr>
    </w:p>
    <w:p w:rsidR="00E3375A" w:rsidRDefault="00E3375A" w:rsidP="00BE79DB">
      <w:pPr>
        <w:pStyle w:val="Pagrindiniotekstotrauka"/>
        <w:rPr>
          <w:szCs w:val="24"/>
        </w:rPr>
      </w:pPr>
    </w:p>
    <w:p w:rsidR="00E3375A" w:rsidRDefault="00E3375A" w:rsidP="00BE79DB">
      <w:pPr>
        <w:pStyle w:val="Pagrindiniotekstotrauka"/>
        <w:rPr>
          <w:szCs w:val="24"/>
        </w:rPr>
      </w:pPr>
    </w:p>
    <w:p w:rsidR="00E3375A" w:rsidRDefault="00E3375A" w:rsidP="00BE79DB">
      <w:pPr>
        <w:pStyle w:val="Pagrindiniotekstotrauka"/>
        <w:rPr>
          <w:szCs w:val="24"/>
        </w:rPr>
      </w:pPr>
    </w:p>
    <w:p w:rsidR="00E3375A" w:rsidRDefault="00E3375A" w:rsidP="00BE79DB">
      <w:pPr>
        <w:pStyle w:val="Pagrindiniotekstotrauka"/>
        <w:rPr>
          <w:szCs w:val="24"/>
        </w:rPr>
      </w:pPr>
    </w:p>
    <w:p w:rsidR="00E3375A" w:rsidRDefault="00E3375A" w:rsidP="00BE79DB">
      <w:pPr>
        <w:pStyle w:val="Pagrindiniotekstotrauka"/>
        <w:rPr>
          <w:szCs w:val="24"/>
        </w:rPr>
      </w:pPr>
    </w:p>
    <w:p w:rsidR="00B03F7B" w:rsidRDefault="00B03F7B" w:rsidP="00BE79DB">
      <w:pPr>
        <w:pStyle w:val="Pagrindiniotekstotrauka"/>
        <w:rPr>
          <w:szCs w:val="24"/>
        </w:rPr>
      </w:pPr>
    </w:p>
    <w:p w:rsidR="00B03F7B" w:rsidRDefault="00B03F7B" w:rsidP="00BE79DB">
      <w:pPr>
        <w:pStyle w:val="Pagrindiniotekstotrauka"/>
        <w:rPr>
          <w:szCs w:val="24"/>
        </w:rPr>
      </w:pPr>
    </w:p>
    <w:p w:rsidR="008F10C4" w:rsidRPr="0006192A" w:rsidRDefault="008F10C4" w:rsidP="008F10C4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F10C4" w:rsidRPr="0006192A" w:rsidRDefault="008F10C4" w:rsidP="0065453F">
      <w:pPr>
        <w:pStyle w:val="prastasistinklapis"/>
        <w:spacing w:before="0" w:beforeAutospacing="0" w:after="0" w:afterAutospacing="0"/>
        <w:ind w:left="720" w:hanging="720"/>
      </w:pPr>
    </w:p>
    <w:sectPr w:rsidR="008F10C4" w:rsidRPr="0006192A" w:rsidSect="00262CE2">
      <w:pgSz w:w="11906" w:h="16838"/>
      <w:pgMar w:top="1134" w:right="70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>
    <w:useFELayout/>
  </w:compat>
  <w:rsids>
    <w:rsidRoot w:val="00FC0EA0"/>
    <w:rsid w:val="00027B07"/>
    <w:rsid w:val="00031366"/>
    <w:rsid w:val="00034904"/>
    <w:rsid w:val="0006192A"/>
    <w:rsid w:val="00066069"/>
    <w:rsid w:val="00070BB6"/>
    <w:rsid w:val="000833AC"/>
    <w:rsid w:val="00090C54"/>
    <w:rsid w:val="000B58CA"/>
    <w:rsid w:val="000B7087"/>
    <w:rsid w:val="000C16B9"/>
    <w:rsid w:val="000E4694"/>
    <w:rsid w:val="000E4EF2"/>
    <w:rsid w:val="00127293"/>
    <w:rsid w:val="001877F6"/>
    <w:rsid w:val="001B0BD9"/>
    <w:rsid w:val="001D6332"/>
    <w:rsid w:val="001D7609"/>
    <w:rsid w:val="001D7AE5"/>
    <w:rsid w:val="001E6CDB"/>
    <w:rsid w:val="001F4BDF"/>
    <w:rsid w:val="001F7374"/>
    <w:rsid w:val="00246F5B"/>
    <w:rsid w:val="002506D7"/>
    <w:rsid w:val="00262CE2"/>
    <w:rsid w:val="00265B13"/>
    <w:rsid w:val="0027013F"/>
    <w:rsid w:val="0029393F"/>
    <w:rsid w:val="002D13C6"/>
    <w:rsid w:val="002D3EC2"/>
    <w:rsid w:val="002D63F5"/>
    <w:rsid w:val="002F1168"/>
    <w:rsid w:val="002F158B"/>
    <w:rsid w:val="0030424B"/>
    <w:rsid w:val="00323355"/>
    <w:rsid w:val="00343BE5"/>
    <w:rsid w:val="00355350"/>
    <w:rsid w:val="00360E7A"/>
    <w:rsid w:val="003743A8"/>
    <w:rsid w:val="00376E42"/>
    <w:rsid w:val="003774A0"/>
    <w:rsid w:val="003B58B1"/>
    <w:rsid w:val="0041114E"/>
    <w:rsid w:val="00414030"/>
    <w:rsid w:val="00455BBF"/>
    <w:rsid w:val="0048292F"/>
    <w:rsid w:val="004E07D7"/>
    <w:rsid w:val="004E6584"/>
    <w:rsid w:val="004F242B"/>
    <w:rsid w:val="004F2F33"/>
    <w:rsid w:val="00522F00"/>
    <w:rsid w:val="00563E29"/>
    <w:rsid w:val="005754F8"/>
    <w:rsid w:val="005A44EB"/>
    <w:rsid w:val="005D4B86"/>
    <w:rsid w:val="0065453F"/>
    <w:rsid w:val="00657FC5"/>
    <w:rsid w:val="00675139"/>
    <w:rsid w:val="00693BDB"/>
    <w:rsid w:val="006B799D"/>
    <w:rsid w:val="006C5669"/>
    <w:rsid w:val="006E56BD"/>
    <w:rsid w:val="00730FF6"/>
    <w:rsid w:val="00746ECD"/>
    <w:rsid w:val="00752EF6"/>
    <w:rsid w:val="007555CC"/>
    <w:rsid w:val="0075641B"/>
    <w:rsid w:val="0077352C"/>
    <w:rsid w:val="00780479"/>
    <w:rsid w:val="0078585C"/>
    <w:rsid w:val="007A37F6"/>
    <w:rsid w:val="007B6899"/>
    <w:rsid w:val="007E4A00"/>
    <w:rsid w:val="0083584C"/>
    <w:rsid w:val="008432A3"/>
    <w:rsid w:val="00864A11"/>
    <w:rsid w:val="00867663"/>
    <w:rsid w:val="00881B85"/>
    <w:rsid w:val="00886417"/>
    <w:rsid w:val="00890D28"/>
    <w:rsid w:val="00894D59"/>
    <w:rsid w:val="008A5356"/>
    <w:rsid w:val="008C4B95"/>
    <w:rsid w:val="008F10C4"/>
    <w:rsid w:val="008F73A0"/>
    <w:rsid w:val="00900A92"/>
    <w:rsid w:val="00907865"/>
    <w:rsid w:val="009228FA"/>
    <w:rsid w:val="009237C1"/>
    <w:rsid w:val="009569EA"/>
    <w:rsid w:val="009831EC"/>
    <w:rsid w:val="009A42E1"/>
    <w:rsid w:val="009D6495"/>
    <w:rsid w:val="00A07671"/>
    <w:rsid w:val="00A218CC"/>
    <w:rsid w:val="00A247EE"/>
    <w:rsid w:val="00A34105"/>
    <w:rsid w:val="00A357D9"/>
    <w:rsid w:val="00A36DA7"/>
    <w:rsid w:val="00A45ACA"/>
    <w:rsid w:val="00A64CFA"/>
    <w:rsid w:val="00A9490D"/>
    <w:rsid w:val="00A96943"/>
    <w:rsid w:val="00AF5E53"/>
    <w:rsid w:val="00AF7B89"/>
    <w:rsid w:val="00B03F7B"/>
    <w:rsid w:val="00B0647B"/>
    <w:rsid w:val="00B4545B"/>
    <w:rsid w:val="00B82FB5"/>
    <w:rsid w:val="00BA2DCD"/>
    <w:rsid w:val="00BD2D97"/>
    <w:rsid w:val="00BE79DB"/>
    <w:rsid w:val="00BF770B"/>
    <w:rsid w:val="00C1417C"/>
    <w:rsid w:val="00C41D56"/>
    <w:rsid w:val="00C65051"/>
    <w:rsid w:val="00C954B4"/>
    <w:rsid w:val="00CE4D95"/>
    <w:rsid w:val="00D26698"/>
    <w:rsid w:val="00D26EAE"/>
    <w:rsid w:val="00D370D7"/>
    <w:rsid w:val="00D465BC"/>
    <w:rsid w:val="00D66A94"/>
    <w:rsid w:val="00D94269"/>
    <w:rsid w:val="00DA266D"/>
    <w:rsid w:val="00DA2711"/>
    <w:rsid w:val="00DA54F1"/>
    <w:rsid w:val="00DC7EAC"/>
    <w:rsid w:val="00E15973"/>
    <w:rsid w:val="00E335BE"/>
    <w:rsid w:val="00E3375A"/>
    <w:rsid w:val="00E93CBB"/>
    <w:rsid w:val="00EA2566"/>
    <w:rsid w:val="00EE3E0B"/>
    <w:rsid w:val="00EE4509"/>
    <w:rsid w:val="00EF4220"/>
    <w:rsid w:val="00EF4C29"/>
    <w:rsid w:val="00EF7C7D"/>
    <w:rsid w:val="00F143F7"/>
    <w:rsid w:val="00F73FC7"/>
    <w:rsid w:val="00F8087F"/>
    <w:rsid w:val="00FA2193"/>
    <w:rsid w:val="00FA2F02"/>
    <w:rsid w:val="00FC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07D7"/>
  </w:style>
  <w:style w:type="paragraph" w:styleId="Antrat1">
    <w:name w:val="heading 1"/>
    <w:basedOn w:val="prastasis"/>
    <w:next w:val="prastasis"/>
    <w:link w:val="Antrat1Diagrama"/>
    <w:uiPriority w:val="9"/>
    <w:qFormat/>
    <w:rsid w:val="004E07D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E07D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E07D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4E07D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4E07D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E07D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E07D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E07D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E07D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FC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Betarp">
    <w:name w:val="No Spacing"/>
    <w:basedOn w:val="prastasis"/>
    <w:link w:val="BetarpDiagrama"/>
    <w:uiPriority w:val="1"/>
    <w:qFormat/>
    <w:rsid w:val="004E07D7"/>
    <w:pPr>
      <w:spacing w:after="0" w:line="240" w:lineRule="auto"/>
    </w:pPr>
  </w:style>
  <w:style w:type="paragraph" w:styleId="Porat">
    <w:name w:val="footer"/>
    <w:basedOn w:val="prastasis"/>
    <w:link w:val="PoratDiagrama"/>
    <w:rsid w:val="008F10C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customStyle="1" w:styleId="PoratDiagrama">
    <w:name w:val="Poraštė Diagrama"/>
    <w:basedOn w:val="Numatytasispastraiposriftas"/>
    <w:link w:val="Porat"/>
    <w:rsid w:val="008F10C4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Pagrindiniotekstotrauka">
    <w:name w:val="Body Text Indent"/>
    <w:basedOn w:val="prastasis"/>
    <w:link w:val="PagrindiniotekstotraukaDiagrama"/>
    <w:rsid w:val="008F10C4"/>
    <w:pPr>
      <w:spacing w:after="0" w:line="240" w:lineRule="auto"/>
      <w:ind w:left="5387"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F10C4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Pagrindinistekstas">
    <w:name w:val="Body Text"/>
    <w:basedOn w:val="prastasis"/>
    <w:link w:val="PagrindinistekstasDiagrama"/>
    <w:rsid w:val="008F10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F10C4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74A0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E07D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E07D7"/>
    <w:rPr>
      <w:caps/>
      <w:color w:val="632423" w:themeColor="accent2" w:themeShade="80"/>
      <w:spacing w:val="15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4E07D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4E07D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4E07D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E07D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4E07D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4E07D7"/>
    <w:rPr>
      <w:rFonts w:eastAsiaTheme="majorEastAsia" w:cstheme="majorBidi"/>
      <w:caps/>
      <w:spacing w:val="1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4E07D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E07D7"/>
    <w:rPr>
      <w:caps/>
      <w:spacing w:val="1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E07D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E07D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4E07D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4E07D7"/>
    <w:rPr>
      <w:rFonts w:eastAsiaTheme="majorEastAsia" w:cstheme="majorBidi"/>
      <w:caps/>
      <w:spacing w:val="20"/>
      <w:sz w:val="18"/>
      <w:szCs w:val="18"/>
    </w:rPr>
  </w:style>
  <w:style w:type="character" w:styleId="Grietas">
    <w:name w:val="Strong"/>
    <w:uiPriority w:val="22"/>
    <w:qFormat/>
    <w:rsid w:val="004E07D7"/>
    <w:rPr>
      <w:b/>
      <w:bCs/>
      <w:color w:val="943634" w:themeColor="accent2" w:themeShade="BF"/>
      <w:spacing w:val="5"/>
    </w:rPr>
  </w:style>
  <w:style w:type="character" w:styleId="Emfaz">
    <w:name w:val="Emphasis"/>
    <w:uiPriority w:val="20"/>
    <w:qFormat/>
    <w:rsid w:val="004E07D7"/>
    <w:rPr>
      <w:caps/>
      <w:spacing w:val="5"/>
      <w:sz w:val="20"/>
      <w:szCs w:val="20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4E07D7"/>
  </w:style>
  <w:style w:type="paragraph" w:styleId="Sraopastraipa">
    <w:name w:val="List Paragraph"/>
    <w:basedOn w:val="prastasis"/>
    <w:uiPriority w:val="34"/>
    <w:qFormat/>
    <w:rsid w:val="004E07D7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4E07D7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4E07D7"/>
    <w:rPr>
      <w:rFonts w:eastAsiaTheme="majorEastAsia" w:cstheme="majorBidi"/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E07D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4E07D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rykuspabrauktasis">
    <w:name w:val="Subtle Emphasis"/>
    <w:uiPriority w:val="19"/>
    <w:qFormat/>
    <w:rsid w:val="004E07D7"/>
    <w:rPr>
      <w:i/>
      <w:iCs/>
    </w:rPr>
  </w:style>
  <w:style w:type="character" w:styleId="Rykuspabrauktasis">
    <w:name w:val="Intense Emphasis"/>
    <w:uiPriority w:val="21"/>
    <w:qFormat/>
    <w:rsid w:val="004E07D7"/>
    <w:rPr>
      <w:i/>
      <w:iCs/>
      <w:caps/>
      <w:spacing w:val="10"/>
      <w:sz w:val="20"/>
      <w:szCs w:val="20"/>
    </w:rPr>
  </w:style>
  <w:style w:type="character" w:styleId="Nerykinuoroda">
    <w:name w:val="Subtle Reference"/>
    <w:basedOn w:val="Numatytasispastraiposriftas"/>
    <w:uiPriority w:val="31"/>
    <w:qFormat/>
    <w:rsid w:val="004E07D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ykinuoroda">
    <w:name w:val="Intense Reference"/>
    <w:uiPriority w:val="32"/>
    <w:qFormat/>
    <w:rsid w:val="004E07D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gospavadinimas">
    <w:name w:val="Book Title"/>
    <w:uiPriority w:val="33"/>
    <w:qFormat/>
    <w:rsid w:val="004E07D7"/>
    <w:rPr>
      <w:caps/>
      <w:color w:val="622423" w:themeColor="accent2" w:themeShade="7F"/>
      <w:spacing w:val="5"/>
      <w:u w:color="622423" w:themeColor="accent2" w:themeShade="7F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E07D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2AEE1-4098-45D3-83A1-71B9E5A6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7164</Words>
  <Characters>4085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Rietavo savivaldybe</Company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</dc:creator>
  <cp:keywords/>
  <dc:description/>
  <cp:lastModifiedBy>Kancelerija</cp:lastModifiedBy>
  <cp:revision>2</cp:revision>
  <cp:lastPrinted>2013-06-20T06:08:00Z</cp:lastPrinted>
  <dcterms:created xsi:type="dcterms:W3CDTF">2015-04-27T07:08:00Z</dcterms:created>
  <dcterms:modified xsi:type="dcterms:W3CDTF">2015-04-27T07:08:00Z</dcterms:modified>
</cp:coreProperties>
</file>