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7" w:rsidRDefault="00AD1C3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PATVIRTINTA</w:t>
      </w:r>
    </w:p>
    <w:p w:rsidR="00C81447" w:rsidRDefault="00AD1C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VŠĮ Plungės rajono greitosios                                                                                                                    </w:t>
      </w:r>
    </w:p>
    <w:p w:rsidR="00C81447" w:rsidRDefault="00AD1C3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Hlk100572707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medicinos </w:t>
      </w:r>
      <w:bookmarkEnd w:id="1"/>
      <w:r>
        <w:rPr>
          <w:rFonts w:ascii="Times New Roman" w:hAnsi="Times New Roman"/>
          <w:sz w:val="24"/>
          <w:szCs w:val="24"/>
        </w:rPr>
        <w:t xml:space="preserve">pagalbos visuotino                                                       </w:t>
      </w:r>
    </w:p>
    <w:p w:rsidR="00C81447" w:rsidRDefault="00AD1C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dalininkų susirinkimo protokolu      </w:t>
      </w:r>
    </w:p>
    <w:p w:rsidR="00C81447" w:rsidRDefault="00AD1C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2022.04.08 Nr.2</w:t>
      </w:r>
    </w:p>
    <w:p w:rsidR="00C81447" w:rsidRDefault="00AD1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1447" w:rsidRDefault="00C81447">
      <w:pPr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VIEŠOSIOS ĮSTAIGOS PLUNGĖS RAJONO GREITOSIOS MEDICINOS PA</w:t>
      </w:r>
      <w:r>
        <w:rPr>
          <w:rFonts w:ascii="Times New Roman" w:hAnsi="Times New Roman"/>
          <w:b/>
          <w:sz w:val="28"/>
          <w:szCs w:val="28"/>
        </w:rPr>
        <w:t>GALBOS 2021 METŲ VEIKLOS ATASKAITA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Viešoji įstaiga Plungės rajono greitoji medicinos pagalba (toliau-GMP) yra asmens sveikatos priežiūros įstaiga. Įstaigos pagrindinė funkcija – teikti būtinąją medicinos pagalbą pacientams nelaimingo atsitikimo a</w:t>
      </w:r>
      <w:r>
        <w:rPr>
          <w:rFonts w:ascii="Times New Roman" w:hAnsi="Times New Roman"/>
          <w:sz w:val="24"/>
          <w:szCs w:val="24"/>
        </w:rPr>
        <w:t>tvejais, esant gyvybei grėsmingoms, pavojingoms ir kritinėms būklėms, ūminėms ligoms.</w:t>
      </w:r>
    </w:p>
    <w:p w:rsidR="00C81447" w:rsidRDefault="00AD1C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Visos įstaigos GMP brigados yra pažangaus gyvybės palaikymo brigados, kurias sudaro medicinos personalas, galintis atlikti pažangaus gyvybės palaikymo procedūras i</w:t>
      </w:r>
      <w:r>
        <w:rPr>
          <w:rFonts w:ascii="Times New Roman" w:hAnsi="Times New Roman"/>
          <w:sz w:val="24"/>
          <w:szCs w:val="24"/>
        </w:rPr>
        <w:t>r jas tinkamai taikyti  transportuojant pacientą GMP automobiliais. Esant indikacijoms, įstaigos GMP brigados yra atsakingos už skubų pacientų transportavimą į artimiausią ASPĮ stacionarą, tiesioginį skubų pacientų su ūmiu miokardo infarktu/ ūmiu galvos sm</w:t>
      </w:r>
      <w:r>
        <w:rPr>
          <w:rFonts w:ascii="Times New Roman" w:hAnsi="Times New Roman"/>
          <w:sz w:val="24"/>
          <w:szCs w:val="24"/>
        </w:rPr>
        <w:t>egenų insultu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transportavimą į Klaipėdos Jūrininkų ligoninę, o esant sunkių traumų atvejais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į traumų centrus Telšiuose ir Klaipėdoje.</w:t>
      </w:r>
      <w:r>
        <w:rPr>
          <w:rFonts w:ascii="Times New Roman" w:hAnsi="Times New Roman"/>
          <w:sz w:val="24"/>
          <w:szCs w:val="24"/>
        </w:rPr>
        <w:t xml:space="preserve">  Nesant indikacijų teikti būtinąją medicininę pagalbą, patariama kreiptis į ambulatorinę ASPĮ. Įstaigos GMP brigados atl</w:t>
      </w:r>
      <w:r>
        <w:rPr>
          <w:rFonts w:ascii="Times New Roman" w:hAnsi="Times New Roman"/>
          <w:sz w:val="24"/>
          <w:szCs w:val="24"/>
        </w:rPr>
        <w:t>ieka ligonių pervežimus, budi renginiuose , dalyvauja mokomosiose visuomenės sveikatos biuro rengiamose pratybose .</w:t>
      </w: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Įstaiga vadovaujasi Sveikatos draudimo, Sveikatos sistemos, Sveikatos priežiūros įstaigų, Pacientų teisių ir žalos sveikatos atlygi</w:t>
      </w:r>
      <w:r>
        <w:rPr>
          <w:rFonts w:ascii="Times New Roman" w:hAnsi="Times New Roman"/>
          <w:sz w:val="24"/>
          <w:szCs w:val="24"/>
        </w:rPr>
        <w:t>nimo įstatymais, Civiliniu kodeksu, Sveikatos apsaugos ministerijos (toliau – SAM) bei Valstybinės ligonių kasos teisės aktais ir administracinio darbo reglamentu, įstaigos įstatais, Plungės rajono savivaldybės ir Rietavo savivaldybės tarybų sprendimais.</w:t>
      </w: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VšĮ</w:t>
      </w:r>
      <w:proofErr w:type="spellEnd"/>
      <w:r>
        <w:rPr>
          <w:rFonts w:ascii="Times New Roman" w:hAnsi="Times New Roman"/>
          <w:sz w:val="24"/>
          <w:szCs w:val="24"/>
        </w:rPr>
        <w:t xml:space="preserve"> Plungės rajono GMP dalininkės yra Plungės rajono savivaldybė ir Rietavo savivaldybė. Dalininkams priklausančių įnašų vertė metų pradžioje : Plungės rajono savivaldybės -     75416,98 eurų , Rietavo savivaldybės – 2900,58 eurai. Metų pabaigoje sa</w:t>
      </w:r>
      <w:r>
        <w:rPr>
          <w:rFonts w:ascii="Times New Roman" w:hAnsi="Times New Roman"/>
          <w:sz w:val="24"/>
          <w:szCs w:val="24"/>
        </w:rPr>
        <w:t>vivaldybių įstatinis kapitalas  - 78317,56.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Įstaigos veiklos rezultatai</w:t>
      </w:r>
    </w:p>
    <w:p w:rsidR="00C81447" w:rsidRDefault="00C814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Įstaigos veikla licencijuota. </w:t>
      </w:r>
    </w:p>
    <w:p w:rsidR="00C81447" w:rsidRDefault="00AD1C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Įstaigos aptarnaujamos teritorijos plotas – 1691 km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ir 40170 gyventojai iš  Plungės rajono ir Rietavo savivaldybių. Lyginant su </w:t>
      </w:r>
      <w:r>
        <w:rPr>
          <w:rFonts w:ascii="Times New Roman" w:hAnsi="Times New Roman"/>
          <w:sz w:val="24"/>
          <w:szCs w:val="24"/>
        </w:rPr>
        <w:t>2020 metais gyventojų skaičius 2021 m. sumažėjo 527 gyventojais . GMP iškvietimus registruoja Šiaulių GMPS dispečerinė tarnyba, o paslaugas teikia visą parą 3  išvažiuojamosios pažangaus gyvybės palaikymo GMP brigados.  GMP brigada susideda iš vieno skubio</w:t>
      </w:r>
      <w:r>
        <w:rPr>
          <w:rFonts w:ascii="Times New Roman" w:hAnsi="Times New Roman"/>
          <w:sz w:val="24"/>
          <w:szCs w:val="24"/>
        </w:rPr>
        <w:t xml:space="preserve">sios medicinos pagalbos slaugos specialisto ir GMP vairuotojo/ </w:t>
      </w:r>
      <w:r>
        <w:rPr>
          <w:rFonts w:ascii="Times New Roman" w:hAnsi="Times New Roman"/>
          <w:sz w:val="24"/>
          <w:szCs w:val="24"/>
        </w:rPr>
        <w:lastRenderedPageBreak/>
        <w:t>paramediko- vairuotojo. Šios paslaugos ištisą parą teikiamos pagal iškvietimus į namus, viešose vietose, darbo vietose, ASPĮ, jei pacientui būtina sveikatos priežiūra viršija tų įstaigų kompete</w:t>
      </w:r>
      <w:r>
        <w:rPr>
          <w:rFonts w:ascii="Times New Roman" w:hAnsi="Times New Roman"/>
          <w:sz w:val="24"/>
          <w:szCs w:val="24"/>
        </w:rPr>
        <w:t>nciją. Esant būtinybei, GMP paslaugos teikiamos visos Lietuvos Respublikos gyventojams, užsieniečiams, asmenims be pilietybės. Faktiniai būtinosios pagalbos poreikiai tenkinami 100 proc.</w:t>
      </w:r>
    </w:p>
    <w:p w:rsidR="00C81447" w:rsidRDefault="00C81447"/>
    <w:p w:rsidR="00C81447" w:rsidRDefault="00C81447"/>
    <w:p w:rsidR="00C81447" w:rsidRDefault="00AD1C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m. greitosios medicinos pagalbos veiklos ataskaita</w:t>
      </w:r>
    </w:p>
    <w:p w:rsidR="00C81447" w:rsidRDefault="00C81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1114"/>
        <w:gridCol w:w="1166"/>
        <w:gridCol w:w="1160"/>
        <w:gridCol w:w="1431"/>
        <w:gridCol w:w="1120"/>
        <w:gridCol w:w="827"/>
      </w:tblGrid>
      <w:tr w:rsidR="00C8144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Iš viso</w:t>
            </w:r>
          </w:p>
        </w:tc>
        <w:tc>
          <w:tcPr>
            <w:tcW w:w="5704" w:type="dxa"/>
            <w:gridSpan w:val="5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Iš jų dėl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nelaimingų atsitikimų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ūmių susirgimų ir būklių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nėštumo ir pogimdyminio laikotarpio patologijos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pervežimų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gimdyvių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ligonių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Kreipėsi iš viso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6455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right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iš jų:  </w:t>
            </w:r>
            <w:r>
              <w:rPr>
                <w:rFonts w:ascii="Times New Roman" w:hAnsi="Times New Roman"/>
                <w:sz w:val="20"/>
                <w:szCs w:val="20"/>
              </w:rPr>
              <w:t>0 – 17 m.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Atsisakyta </w:t>
            </w:r>
            <w:r>
              <w:rPr>
                <w:rFonts w:ascii="Times New Roman" w:hAnsi="Times New Roman"/>
                <w:sz w:val="20"/>
                <w:szCs w:val="20"/>
              </w:rPr>
              <w:t>dėl iškvietimo nepagrįstumo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Atsisakė (arba brigada atšaukta)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Išvykimų skaičius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 rezultatų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Asmenų, kuriems suteikta medicinos pagalba, skaičius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iš jų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Vyrų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iš jų: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Moterų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0 - 17 m. vaikų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278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kaimo gyventojų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Mokami kvietimai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C81447" w:rsidRDefault="00AD1C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81447" w:rsidRDefault="00AD1C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2021 m. </w:t>
      </w:r>
      <w:proofErr w:type="spellStart"/>
      <w:r>
        <w:rPr>
          <w:rFonts w:ascii="Times New Roman" w:hAnsi="Times New Roman"/>
          <w:sz w:val="24"/>
          <w:szCs w:val="24"/>
        </w:rPr>
        <w:t>VšĮ</w:t>
      </w:r>
      <w:proofErr w:type="spellEnd"/>
      <w:r>
        <w:rPr>
          <w:rFonts w:ascii="Times New Roman" w:hAnsi="Times New Roman"/>
          <w:sz w:val="24"/>
          <w:szCs w:val="24"/>
        </w:rPr>
        <w:t xml:space="preserve"> Plungės rajono GMP pažangaus gyvybės </w:t>
      </w:r>
      <w:r>
        <w:rPr>
          <w:rFonts w:ascii="Times New Roman" w:hAnsi="Times New Roman"/>
          <w:sz w:val="24"/>
          <w:szCs w:val="24"/>
        </w:rPr>
        <w:t>palaikymo  GMP viena brigada per parą atliko vidutiniškai 6-7 iškvietimus . 2021 metais  iškvietimų buvo 6455 arba 294 iškvietimais daugiau nei 2020 metais dėl  šalyje įvestos ekstremalios ar karantino situacijos dėl COVID-19 viruso pandemijos metu didelio</w:t>
      </w:r>
      <w:r>
        <w:rPr>
          <w:rFonts w:ascii="Times New Roman" w:hAnsi="Times New Roman"/>
          <w:sz w:val="24"/>
          <w:szCs w:val="24"/>
        </w:rPr>
        <w:t xml:space="preserve"> gyventojų sergamumo,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nuvažiuota  228281 km( 76600 km daugiau ).</w:t>
      </w: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GMP  kvietimų ( pervežimų) ataskaita, kai  GMP brigadų nebuvo aptarnaujamoje zonoje</w:t>
      </w:r>
    </w:p>
    <w:p w:rsidR="00C81447" w:rsidRDefault="00AD1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8475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2119"/>
        <w:gridCol w:w="2880"/>
        <w:gridCol w:w="2700"/>
      </w:tblGrid>
      <w:tr w:rsidR="00C81447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 xml:space="preserve">Eil.  Nr. </w:t>
            </w:r>
          </w:p>
        </w:tc>
        <w:tc>
          <w:tcPr>
            <w:tcW w:w="21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  <w:t xml:space="preserve"> GMP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  <w:t>brigadų skaičius (vidurkis) 2020/2021 metais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  <w:t>Kvietimų skaičius, kai, pacientas buvo transportuojamas į stacionarą, ar iš stacionaro esančio už GMP aptarnaujamos teritorijos ribos 2020/2021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  <w:t>Suminis valandų skaičius (visų kvietimų) kai, pacientas buvo transp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lt-LT"/>
              </w:rPr>
              <w:t>ortuojamas į stacionarą ar iš stacionaro  už GMP aptarnaujamos teritorijos ribos 2020/2021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1 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3,5-3/3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             630/854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1447" w:rsidRDefault="00AD1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            1323/1702</w:t>
            </w:r>
          </w:p>
        </w:tc>
      </w:tr>
    </w:tbl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Pacientai transportuoti į : VŠĮ KUL – 197 kartai, VŠĮ KJL – 109 kartai, VŠĮ KVL – 127 kartai, KJL </w:t>
      </w:r>
      <w:r>
        <w:rPr>
          <w:rFonts w:ascii="Times New Roman" w:hAnsi="Times New Roman"/>
          <w:sz w:val="24"/>
          <w:szCs w:val="24"/>
        </w:rPr>
        <w:t>Švėkšnos psichiatrijos skyrius – 72 kartai, KRL – 99 kartai, VŠĮ Telšių RL – 163 kartai, VŠĮ Mažeikių regioninė ligoninė – 21,  VŠĮ Šiaulių regioninė ligoninė – 59, LSMU ligoninė Kauno klinikos – 5 kartų, VŠĮ VUL Santaros klinikų infekcinis skyrius – 1.</w:t>
      </w: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GMP gerų darbo rezultatų rodiklis – GMP operatyvumo rodiklis. Tai skubūs iškvietimai ( I kategorija), kai  būtinoji med. pagalba turi būti pradėta teikti mieste per 15 min., kaime per 25 min. nuo skambučio priėmimo GMP dispečerinėje iki pagalbos teikimo pr</w:t>
      </w:r>
      <w:r>
        <w:rPr>
          <w:rFonts w:ascii="Times New Roman" w:hAnsi="Times New Roman"/>
          <w:sz w:val="24"/>
          <w:szCs w:val="24"/>
        </w:rPr>
        <w:t xml:space="preserve">adžios. Pirmos kategorijos skubių iškvietimų   2021 m.  buvo   3600 ( mieste - 2004, kaime - 1596    ), o 2020 m . – 2119 ( mieste – 1302, kaime – 817).  Per 2021 m. </w:t>
      </w:r>
      <w:proofErr w:type="spellStart"/>
      <w:r>
        <w:rPr>
          <w:rFonts w:ascii="Times New Roman" w:hAnsi="Times New Roman"/>
          <w:sz w:val="24"/>
          <w:szCs w:val="24"/>
        </w:rPr>
        <w:t>VšĮ</w:t>
      </w:r>
      <w:proofErr w:type="spellEnd"/>
      <w:r>
        <w:rPr>
          <w:rFonts w:ascii="Times New Roman" w:hAnsi="Times New Roman"/>
          <w:sz w:val="24"/>
          <w:szCs w:val="24"/>
        </w:rPr>
        <w:t xml:space="preserve"> Plungės rajono GMP  brigados 87,92 % (2020m -88,45 % ) atvejų mieste ir  76,32% (2020m</w:t>
      </w:r>
      <w:r>
        <w:rPr>
          <w:rFonts w:ascii="Times New Roman" w:hAnsi="Times New Roman"/>
          <w:sz w:val="24"/>
          <w:szCs w:val="24"/>
        </w:rPr>
        <w:t xml:space="preserve"> -78,86 % ) atvejų kaime atvyksta pas pacientą ir pradeda teikti med. pagalbą atitinkamai iki 15 ir 25 min. nuo iškvietimo priėmimo. Bendras rodiklis -  82,78% ( 2020 m. 84,49 % ).   </w:t>
      </w:r>
    </w:p>
    <w:p w:rsidR="00C81447" w:rsidRDefault="00AD1C3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Geresniam operatyvumo rodiklio siekimui  įtakos turė</w:t>
      </w:r>
      <w:r>
        <w:rPr>
          <w:rFonts w:ascii="Times New Roman" w:hAnsi="Times New Roman"/>
          <w:sz w:val="24"/>
          <w:szCs w:val="24"/>
        </w:rPr>
        <w:t xml:space="preserve">jo pasiruošimas vykti į iškvietimus dėl </w:t>
      </w:r>
      <w:proofErr w:type="spellStart"/>
      <w:r>
        <w:rPr>
          <w:rFonts w:ascii="Times New Roman" w:hAnsi="Times New Roman"/>
          <w:sz w:val="24"/>
          <w:szCs w:val="24"/>
        </w:rPr>
        <w:t>Covid-19</w:t>
      </w:r>
      <w:proofErr w:type="spellEnd"/>
      <w:r>
        <w:rPr>
          <w:rFonts w:ascii="Times New Roman" w:hAnsi="Times New Roman"/>
          <w:sz w:val="24"/>
          <w:szCs w:val="24"/>
        </w:rPr>
        <w:t xml:space="preserve"> viruso ligos, dėl pacientų, sergančių </w:t>
      </w:r>
      <w:proofErr w:type="spellStart"/>
      <w:r>
        <w:rPr>
          <w:rFonts w:ascii="Times New Roman" w:hAnsi="Times New Roman"/>
          <w:sz w:val="24"/>
          <w:szCs w:val="24"/>
        </w:rPr>
        <w:t>Covid-19</w:t>
      </w:r>
      <w:proofErr w:type="spellEnd"/>
      <w:r>
        <w:rPr>
          <w:rFonts w:ascii="Times New Roman" w:hAnsi="Times New Roman"/>
          <w:sz w:val="24"/>
          <w:szCs w:val="24"/>
        </w:rPr>
        <w:t xml:space="preserve"> viruso liga, transportavimo  logistikos ir laiko trukmės, dėl  padidėjusio iškvietimų kiekio epidemijos metu .</w:t>
      </w:r>
    </w:p>
    <w:p w:rsidR="00C81447" w:rsidRDefault="00AD1C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Taip pat siekiama, kad GMP paslauga būtų kokybiš</w:t>
      </w:r>
      <w:r>
        <w:rPr>
          <w:rFonts w:ascii="Times New Roman" w:hAnsi="Times New Roman"/>
          <w:sz w:val="24"/>
          <w:szCs w:val="24"/>
        </w:rPr>
        <w:t>ka, atitinkanti LR teisės aktus, reglamentuojančius skubiosios medicinos pagalbos teikimą . Tuo tikslu GMP medicinos darbuotojai tobulina kvalifikaciją seminaruose, kvalifikacijos kėlimo kursuose.</w:t>
      </w:r>
    </w:p>
    <w:p w:rsidR="00C81447" w:rsidRDefault="00C814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Finansinis įstaigos veiklos rezultatas</w:t>
      </w:r>
    </w:p>
    <w:p w:rsidR="00C81447" w:rsidRDefault="00AD1C36">
      <w:pPr>
        <w:spacing w:after="0"/>
      </w:pPr>
      <w:r>
        <w:rPr>
          <w:rFonts w:ascii="Times New Roman" w:hAnsi="Times New Roman"/>
          <w:sz w:val="24"/>
          <w:szCs w:val="24"/>
        </w:rPr>
        <w:tab/>
        <w:t>2021 m. Plungė</w:t>
      </w:r>
      <w:r>
        <w:rPr>
          <w:rFonts w:ascii="Times New Roman" w:hAnsi="Times New Roman"/>
          <w:sz w:val="24"/>
          <w:szCs w:val="24"/>
        </w:rPr>
        <w:t>s rajono ir Rietavo savivaldybių teritorijose gyventojų skaičius sumažėjo 527 gyventojais, o įstaigos pajamos iš PSDF, lyginant su 2020 m. padidėjo 31653 eurų ( 3,8 %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dėl papildomai LR SAM ministro įsakymu 2021.09.15 V-2084 „ Dėl lėšų skyrimo iš PSDF biud</w:t>
      </w:r>
      <w:r>
        <w:rPr>
          <w:rFonts w:ascii="Times New Roman" w:hAnsi="Times New Roman"/>
          <w:sz w:val="24"/>
          <w:szCs w:val="24"/>
        </w:rPr>
        <w:t xml:space="preserve">žeto rezervo rizikos valdymo dalies 2021 m“ gautų lėšų darbo užmokesčiui didinti. </w:t>
      </w:r>
    </w:p>
    <w:p w:rsidR="00C81447" w:rsidRDefault="00AD1C36">
      <w:pPr>
        <w:spacing w:after="0"/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Gautas rezultatas : per 2021 metus įstaigos veiklos grynasis perviršis sudarė 14928,59 eurai ( 2020 m.  7321,35 euras). </w:t>
      </w:r>
    </w:p>
    <w:p w:rsidR="00C81447" w:rsidRDefault="00AD1C36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81447" w:rsidRDefault="00AD1C36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C81447" w:rsidRDefault="00AD1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1447" w:rsidRDefault="00C81447">
      <w:pPr>
        <w:spacing w:after="0"/>
        <w:ind w:firstLine="1290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III. Įstaigos gautos lėšos ir jų šaltiniai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103"/>
        <w:gridCol w:w="3118"/>
      </w:tblGrid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šaltiniai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Gautos lėšos 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1447" w:rsidRDefault="00C8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Pagrindinės veiklos pajamos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880377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privalomojo sveikatos draudimo fondo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871731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mokamus pervežimus ir budėjimus renginių metu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8646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pajamos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476982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Iš valstybės biudžeto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209745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savivaldybės biudžeto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ES, užsienio valstybių ir tarptautinių organizacijų lėšų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kitų finansavimo šaltinių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266790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 pajamų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1357359</w:t>
            </w:r>
          </w:p>
        </w:tc>
      </w:tr>
    </w:tbl>
    <w:p w:rsidR="00C81447" w:rsidRDefault="00C81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Vadovaujantis LR Vyriausybės viešųjų įstaigų įstatymu ir VĮ Registro centro duomenimis bei Įstaigos įstatais VŠĮ Plungės rajono GMP turi paramos gavėjo statusą. Per 2021 m. gauta parama</w:t>
      </w:r>
    </w:p>
    <w:p w:rsidR="00C81447" w:rsidRDefault="00AD1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2% pinigine išraiška yra 102 eurai.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  Informacija apie Įstaigos </w:t>
      </w:r>
      <w:r>
        <w:rPr>
          <w:rFonts w:ascii="Times New Roman" w:hAnsi="Times New Roman"/>
          <w:b/>
          <w:sz w:val="24"/>
          <w:szCs w:val="24"/>
        </w:rPr>
        <w:t>įsigytą ir perleistą ilgalaikį turtą per finansinius metus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 2021 m. įstaigoje įsigyta ilgalaikio turto :  664,76</w:t>
      </w:r>
    </w:p>
    <w:p w:rsidR="00C81447" w:rsidRDefault="00AD1C36">
      <w:pPr>
        <w:spacing w:after="0"/>
        <w:ind w:left="-142"/>
      </w:pPr>
      <w:r>
        <w:rPr>
          <w:rFonts w:ascii="Times New Roman" w:hAnsi="Times New Roman"/>
          <w:sz w:val="24"/>
          <w:szCs w:val="24"/>
        </w:rPr>
        <w:tab/>
      </w:r>
    </w:p>
    <w:p w:rsidR="00C81447" w:rsidRDefault="00C81447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ind w:left="-142"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Įstaigos sąnaudos per ataskaitinius 2021 metus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4681"/>
        <w:gridCol w:w="1721"/>
        <w:gridCol w:w="2316"/>
      </w:tblGrid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Sąnaudų pavadinimas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Priskaityta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Sąnaudos , iš viso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1342485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užmokesčio sąnaudos 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1193133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Atostoginių kaupimo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Ligos pašalpų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draudimo sąnaudos 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draudimo nuo atostoginių kaupimo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C8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Nusidėvėjimo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amortizacijos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Komunalinių paslaugų ir ryšių sąnaudos 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10524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Šildymo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energijos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ir kanalizacijos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Ryšių paslaugų </w:t>
            </w: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remonto ir aptarnavimo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Degalų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draudimo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kėlimo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Atsarginių dalių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Ūkinių </w:t>
            </w:r>
            <w:r>
              <w:rPr>
                <w:rFonts w:ascii="Times New Roman" w:hAnsi="Times New Roman"/>
                <w:sz w:val="24"/>
                <w:szCs w:val="24"/>
              </w:rPr>
              <w:t>ir raštinės reikmenų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Vaistų ir medicinos priemonių sąnaudos (AAP)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Ūkinio inventoriaus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sąnaudos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„1.13 Kitos sąnaudas 17231 </w:t>
      </w:r>
      <w:proofErr w:type="spellStart"/>
      <w:r>
        <w:rPr>
          <w:rFonts w:ascii="Times New Roman" w:hAnsi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/>
          <w:b/>
          <w:sz w:val="24"/>
          <w:szCs w:val="24"/>
        </w:rPr>
        <w:t>“ sudaro :</w:t>
      </w:r>
    </w:p>
    <w:p w:rsidR="00C81447" w:rsidRDefault="00AD1C36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1.13.1. </w:t>
      </w:r>
      <w:r>
        <w:rPr>
          <w:rFonts w:ascii="Times New Roman" w:hAnsi="Times New Roman"/>
          <w:sz w:val="24"/>
          <w:szCs w:val="24"/>
        </w:rPr>
        <w:t xml:space="preserve">finansinio audito paslaugos – 838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1.13.2. deguonies balionų nuoma ir papildymas  - 2244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1.13.3. turto ir darbuotojų draudimas –825 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1.13.4. buhalterinės program</w:t>
      </w:r>
      <w:r>
        <w:rPr>
          <w:rFonts w:ascii="Times New Roman" w:hAnsi="Times New Roman"/>
          <w:sz w:val="24"/>
          <w:szCs w:val="24"/>
        </w:rPr>
        <w:t xml:space="preserve">os aptarnavimas – 254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1.13.5. komunalinės išlaidos –  1382 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1.13.7. medicininių priemonių patikra - 1101 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1.13.8. medicininių atliekų išvežimas – 1084 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1.13.9. medicininis vidaus audito atlikimas ir dokumentacijos ruošimas –2299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1447" w:rsidRDefault="00AD1C3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1.13.10.  kitos smulkios išlaidos – 7204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Finansinės ir investicinės sąnaudos</w:t>
      </w: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089"/>
        <w:gridCol w:w="2880"/>
      </w:tblGrid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Sąnaudų pavadinimas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iskaityta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Sąnaudos , iš viso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Delspinigiai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Sandoriai su įstaigomis ir įmonėmis, kurių akcininkai yra savivaldybės</w:t>
      </w: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ind w:left="2552" w:hanging="269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Sandorių  duomenys pateikiami veiklos ataskaitos 1 priede.</w:t>
      </w:r>
      <w:r>
        <w:rPr>
          <w:rFonts w:ascii="Times New Roman" w:hAnsi="Times New Roman"/>
          <w:sz w:val="24"/>
          <w:szCs w:val="24"/>
        </w:rPr>
        <w:tab/>
      </w:r>
    </w:p>
    <w:p w:rsidR="00C81447" w:rsidRDefault="00C81447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ind w:left="2552" w:hanging="269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Pacientų pasitenkinimas įstaigos </w:t>
      </w:r>
      <w:r>
        <w:rPr>
          <w:rFonts w:ascii="Times New Roman" w:hAnsi="Times New Roman"/>
          <w:b/>
          <w:sz w:val="24"/>
          <w:szCs w:val="24"/>
        </w:rPr>
        <w:t>teikiamomis paslaugomis</w:t>
      </w:r>
    </w:p>
    <w:p w:rsidR="00C81447" w:rsidRDefault="00C8144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Užduotis 2021 m. - teikti savalaikę, kokybišką būtinąją medicinos pagalbą nelaimingo atsitikimo ar ūmios ligos ištiktiems pacientams, kad optimaliai (95%) būtų tenkinami jų lūkesčiai, nebūtų skundų. Pasiektas rezultatas- pacientų </w:t>
      </w:r>
      <w:r>
        <w:rPr>
          <w:rFonts w:ascii="Times New Roman" w:hAnsi="Times New Roman"/>
          <w:sz w:val="24"/>
          <w:szCs w:val="24"/>
        </w:rPr>
        <w:t>lūkesčiai tenkinami optimaliai. Įstaiga per 2021 metus negavo skundų, bet viešai publikuotos padėkos GMP brigadų darbuotojams.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/>
        <w:ind w:left="-426" w:hanging="28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IX. GMP  struktūra, darbuotojų skaičius, darbuotojų kaitos įstaigoje rodiklis, </w:t>
      </w:r>
    </w:p>
    <w:p w:rsidR="00C81447" w:rsidRDefault="00AD1C36">
      <w:pPr>
        <w:spacing w:after="0"/>
        <w:ind w:left="-426" w:hanging="28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kvalifikacijos kėlimas</w:t>
      </w:r>
    </w:p>
    <w:p w:rsidR="00C81447" w:rsidRDefault="00C81447">
      <w:pPr>
        <w:spacing w:after="0" w:line="240" w:lineRule="auto"/>
        <w:ind w:left="-426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GMP į</w:t>
      </w:r>
      <w:r>
        <w:rPr>
          <w:rFonts w:ascii="Times New Roman" w:hAnsi="Times New Roman"/>
          <w:sz w:val="24"/>
          <w:szCs w:val="24"/>
        </w:rPr>
        <w:t xml:space="preserve">staigos struktūrą sudaro administracija, skubios medicinos pagalbos slaugos specialistai, paramedikas - vairuotojas ,  GMP vairuotojai, ūkio dalis.  Įstaigoje 2021 finansinių metų pradžioje ir pabaigoje buvo 39 darbuotojų.   </w:t>
      </w: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Darbuotojų skaičius </w:t>
      </w: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174"/>
        <w:gridCol w:w="3185"/>
      </w:tblGrid>
      <w:tr w:rsidR="00C8144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Darbuoto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Etatai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Fiziniai asmenys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Skubiosios medicinos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pagalbos slaugos specialistai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14,25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Paramedikas-vairuotojas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GMP vairuotojai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Valytoja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81447" w:rsidRDefault="00C81447">
      <w:pPr>
        <w:spacing w:after="0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Per 2021 metus įstaigoje buvo priimti  4 </w:t>
      </w:r>
      <w:r>
        <w:rPr>
          <w:rFonts w:ascii="Times New Roman" w:hAnsi="Times New Roman"/>
          <w:sz w:val="24"/>
          <w:szCs w:val="24"/>
        </w:rPr>
        <w:t xml:space="preserve">darbuotojai , atleisti 5 darbuotojai.  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Siekiant , kad nuolat įstaigos darbuotojai keltų savo kvalifikaciją ir, atsižvelgiant į darbuotojų pageidavimus, suteikta galimybė dalyvauti kvalifikacijos kėlimo kursuose tema: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1. „ Sveikatos prie</w:t>
      </w:r>
      <w:r>
        <w:rPr>
          <w:rFonts w:ascii="Times New Roman" w:hAnsi="Times New Roman"/>
          <w:sz w:val="24"/>
          <w:szCs w:val="24"/>
        </w:rPr>
        <w:t>žiūros specialistų atsparumo korupcijai ugdymas “ – 2;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„ Paprastai ir aiškiai apie </w:t>
      </w:r>
      <w:proofErr w:type="spellStart"/>
      <w:r>
        <w:rPr>
          <w:rFonts w:ascii="Times New Roman" w:hAnsi="Times New Roman"/>
          <w:sz w:val="24"/>
          <w:szCs w:val="24"/>
        </w:rPr>
        <w:t>mobingą-psichologinį</w:t>
      </w:r>
      <w:proofErr w:type="spellEnd"/>
      <w:r>
        <w:rPr>
          <w:rFonts w:ascii="Times New Roman" w:hAnsi="Times New Roman"/>
          <w:sz w:val="24"/>
          <w:szCs w:val="24"/>
        </w:rPr>
        <w:t xml:space="preserve"> smurtą‘‘ – 4;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 „Naujas požiūris į gydytojo tarpusavio bendradarbiavimą vidaus ligų diagnostikos ir gydymo </w:t>
      </w:r>
      <w:r>
        <w:rPr>
          <w:rFonts w:ascii="Times New Roman" w:hAnsi="Times New Roman"/>
          <w:sz w:val="24"/>
          <w:szCs w:val="24"/>
        </w:rPr>
        <w:t>srityje‘‘ – 2;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4. „ Skubioji medicininė pagalba vaikams ir suaugusiems ‘‘ – 1;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5. „ Privalomoji pirmosios pagalbos tęstinė programa‘‘ – 10;</w:t>
      </w:r>
    </w:p>
    <w:p w:rsidR="00C81447" w:rsidRDefault="00AD1C3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6. „ Archyvinių dokumentų tvarkymas ir apskaita “ – 1.</w:t>
      </w:r>
    </w:p>
    <w:p w:rsidR="00C81447" w:rsidRDefault="00C814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Pr</w:t>
      </w:r>
      <w:r>
        <w:rPr>
          <w:rFonts w:ascii="Times New Roman" w:hAnsi="Times New Roman"/>
          <w:b/>
          <w:sz w:val="24"/>
          <w:szCs w:val="24"/>
        </w:rPr>
        <w:t>ioritetinių paslaugų teikimas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pStyle w:val="Sraopastraip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Pažangaus gyvybės palaikymo GMP brigadų uždavinys – skubi ir būtina paslauga, pirmenybę teikiant grėsmingiems gyvybei atvejams ( autoįvykiai, sunkios traumos, ūmios būklės, ūmūs MI ar ūmūs GSKS) ir kuo greičiau tr</w:t>
      </w:r>
      <w:r>
        <w:rPr>
          <w:rFonts w:ascii="Times New Roman" w:hAnsi="Times New Roman"/>
          <w:sz w:val="24"/>
          <w:szCs w:val="24"/>
        </w:rPr>
        <w:t>ansportuoti nukentėjusius į stacionarinę ar specializuotą stacionarinę ASPĮ.</w:t>
      </w:r>
    </w:p>
    <w:p w:rsidR="00C81447" w:rsidRDefault="00AD1C36">
      <w:pPr>
        <w:tabs>
          <w:tab w:val="left" w:pos="720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</w:p>
    <w:p w:rsidR="00C81447" w:rsidRDefault="00AD1C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 Informacinių technologijų diegimas ir plėtra</w:t>
      </w:r>
    </w:p>
    <w:p w:rsidR="00C81447" w:rsidRDefault="00C81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Įstaigos GMP automobiliuose įdiegta mobiliųjų brigadų aparatinė įranga skaitmeniniam radijo ryšiui su Šiaulių GMPS </w:t>
      </w:r>
      <w:r>
        <w:rPr>
          <w:rFonts w:ascii="Times New Roman" w:hAnsi="Times New Roman"/>
          <w:sz w:val="24"/>
          <w:szCs w:val="24"/>
        </w:rPr>
        <w:t>dispečerine palaikyti ir navigacijos sistemos  iškvietimo vietos pasiekimui.  Iškvietimai fiksuojami elektroniniu būdu , o perduodami iš Šiaulių GMPS skaitmeninio radijo ryšio priemonėmis ir mobiliuoju telefonu , fiksuojamas iškvietimo bei nuvykimo į įvyki</w:t>
      </w:r>
      <w:r>
        <w:rPr>
          <w:rFonts w:ascii="Times New Roman" w:hAnsi="Times New Roman"/>
          <w:sz w:val="24"/>
          <w:szCs w:val="24"/>
        </w:rPr>
        <w:t xml:space="preserve">o vietą laikas. </w:t>
      </w: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Įdiegta GMP paslaugų statistikos duomenų analizės  </w:t>
      </w:r>
      <w:proofErr w:type="spellStart"/>
      <w:r>
        <w:rPr>
          <w:rFonts w:ascii="Times New Roman" w:hAnsi="Times New Roman"/>
          <w:sz w:val="24"/>
          <w:szCs w:val="24"/>
        </w:rPr>
        <w:t>gmp.radionet</w:t>
      </w:r>
      <w:proofErr w:type="spellEnd"/>
      <w:r>
        <w:rPr>
          <w:rFonts w:ascii="Times New Roman" w:hAnsi="Times New Roman"/>
          <w:sz w:val="24"/>
          <w:szCs w:val="24"/>
        </w:rPr>
        <w:t xml:space="preserve"> programa  „ INE4U“.</w:t>
      </w: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Gimdyvės ir pacientai su ŪKS ( MI/ I) diagnoze registruojami  VLK „</w:t>
      </w:r>
      <w:proofErr w:type="spellStart"/>
      <w:r>
        <w:rPr>
          <w:rFonts w:ascii="Times New Roman" w:hAnsi="Times New Roman"/>
          <w:sz w:val="24"/>
          <w:szCs w:val="24"/>
        </w:rPr>
        <w:t>Sveidros</w:t>
      </w:r>
      <w:proofErr w:type="spellEnd"/>
      <w:r>
        <w:rPr>
          <w:rFonts w:ascii="Times New Roman" w:hAnsi="Times New Roman"/>
          <w:sz w:val="24"/>
          <w:szCs w:val="24"/>
        </w:rPr>
        <w:t>“ sistemoje.</w:t>
      </w:r>
    </w:p>
    <w:p w:rsidR="00C81447" w:rsidRDefault="00AD1C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Įstaigoje buhalterinė apskaita </w:t>
      </w:r>
      <w:r>
        <w:rPr>
          <w:rFonts w:ascii="Times New Roman" w:hAnsi="Times New Roman"/>
          <w:sz w:val="24"/>
          <w:szCs w:val="24"/>
        </w:rPr>
        <w:t xml:space="preserve">tvarkoma vadovaujantis VSAFAS standartais, naudojant kompiuterines buhalterines programas </w:t>
      </w:r>
      <w:r>
        <w:rPr>
          <w:rFonts w:ascii="Times New Roman" w:hAnsi="Times New Roman"/>
          <w:color w:val="FF0000"/>
          <w:sz w:val="24"/>
          <w:szCs w:val="24"/>
        </w:rPr>
        <w:t>„Bonus“  ir „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Konto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 xml:space="preserve">kurios yra nuolat atnaujinamos. </w:t>
      </w:r>
    </w:p>
    <w:p w:rsidR="00C81447" w:rsidRDefault="00AD1C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Įstaigos interneto svetainė  : </w:t>
      </w:r>
      <w:hyperlink r:id="rId8" w:history="1">
        <w:r>
          <w:rPr>
            <w:rStyle w:val="Hipersaitas"/>
            <w:rFonts w:ascii="Times New Roman" w:hAnsi="Times New Roman"/>
            <w:sz w:val="24"/>
            <w:szCs w:val="24"/>
          </w:rPr>
          <w:t>www.plungesgmp.lt</w:t>
        </w:r>
      </w:hyperlink>
      <w:r>
        <w:rPr>
          <w:rFonts w:ascii="Times New Roman" w:hAnsi="Times New Roman"/>
          <w:sz w:val="24"/>
          <w:szCs w:val="24"/>
        </w:rPr>
        <w:t>. Interneto</w:t>
      </w:r>
      <w:r>
        <w:rPr>
          <w:rFonts w:ascii="Times New Roman" w:hAnsi="Times New Roman"/>
          <w:sz w:val="24"/>
          <w:szCs w:val="24"/>
        </w:rPr>
        <w:t xml:space="preserve"> svetainė nuolat  atnaujinama.</w:t>
      </w:r>
    </w:p>
    <w:p w:rsidR="00C81447" w:rsidRDefault="00AD1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                          XII. Duomenys apie įstaigos direktorių , įstaigos išlaidos direktoriaus darbo užmokesčiui ir kitoms išmokoms  per 2021 metus</w:t>
      </w:r>
    </w:p>
    <w:p w:rsidR="00C81447" w:rsidRDefault="00C8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Vadovaujantis Plungės rajono savivaldybės Mero </w:t>
      </w:r>
      <w:r>
        <w:rPr>
          <w:rFonts w:ascii="Times New Roman" w:hAnsi="Times New Roman"/>
          <w:sz w:val="24"/>
          <w:szCs w:val="24"/>
        </w:rPr>
        <w:t xml:space="preserve">2017.06.28d. potvarkiu </w:t>
      </w:r>
      <w:proofErr w:type="spellStart"/>
      <w:r>
        <w:rPr>
          <w:rFonts w:ascii="Times New Roman" w:hAnsi="Times New Roman"/>
          <w:sz w:val="24"/>
          <w:szCs w:val="24"/>
        </w:rPr>
        <w:t>Nr.PP-22,</w:t>
      </w:r>
      <w:proofErr w:type="spellEnd"/>
      <w:r>
        <w:rPr>
          <w:rFonts w:ascii="Times New Roman" w:hAnsi="Times New Roman"/>
          <w:sz w:val="24"/>
          <w:szCs w:val="24"/>
        </w:rPr>
        <w:t xml:space="preserve"> nuo 2017.07.01  įstaigai vadovauja direktorė Rasa </w:t>
      </w:r>
      <w:proofErr w:type="spellStart"/>
      <w:r>
        <w:rPr>
          <w:rFonts w:ascii="Times New Roman" w:hAnsi="Times New Roman"/>
          <w:sz w:val="24"/>
          <w:szCs w:val="24"/>
        </w:rPr>
        <w:t>Mončienė</w:t>
      </w:r>
      <w:proofErr w:type="spellEnd"/>
      <w:r>
        <w:rPr>
          <w:rFonts w:ascii="Times New Roman" w:hAnsi="Times New Roman"/>
          <w:sz w:val="24"/>
          <w:szCs w:val="24"/>
        </w:rPr>
        <w:t>.  Direktorės darbo užmokestis 2021 m. buvo skaičiuojamas , vadovaujantis Lietuvos Respublikos sveikatos priežiūros įstaigų įstatymo 15 straipsnį ir Plungės rajono s</w:t>
      </w:r>
      <w:r>
        <w:rPr>
          <w:rFonts w:ascii="Times New Roman" w:hAnsi="Times New Roman"/>
          <w:sz w:val="24"/>
          <w:szCs w:val="24"/>
        </w:rPr>
        <w:t xml:space="preserve">avivaldybės Mero 2021-01-21 potvarkiu </w:t>
      </w:r>
      <w:proofErr w:type="spellStart"/>
      <w:r>
        <w:rPr>
          <w:rFonts w:ascii="Times New Roman" w:hAnsi="Times New Roman"/>
          <w:sz w:val="24"/>
          <w:szCs w:val="24"/>
        </w:rPr>
        <w:t>Nr.PP-3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Direktorės darbo užmokesčio išlaidos per 2021 metus : 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1"/>
        <w:gridCol w:w="2317"/>
      </w:tblGrid>
      <w:tr w:rsidR="00C81447">
        <w:tblPrEx>
          <w:tblCellMar>
            <w:top w:w="0" w:type="dxa"/>
            <w:bottom w:w="0" w:type="dxa"/>
          </w:tblCellMar>
        </w:tblPrEx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Išlaidos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1.Darbo užmokesčio sąnaudos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36891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1.1.Darbo užmokestis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35995</w:t>
            </w:r>
          </w:p>
        </w:tc>
      </w:tr>
      <w:tr w:rsidR="00C81447">
        <w:tblPrEx>
          <w:tblCellMar>
            <w:top w:w="0" w:type="dxa"/>
            <w:bottom w:w="0" w:type="dxa"/>
          </w:tblCellMar>
        </w:tblPrEx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1.2.Soc.draudimas 2,49 %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47" w:rsidRDefault="00AD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</w:tbl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Įstaigos direktorė </w:t>
      </w:r>
      <w:r>
        <w:rPr>
          <w:rFonts w:ascii="Times New Roman" w:hAnsi="Times New Roman"/>
          <w:sz w:val="24"/>
          <w:szCs w:val="24"/>
        </w:rPr>
        <w:t>2021m. dalyvavo ir išklausė kvalifikacijos tobulinimo kursus :</w:t>
      </w:r>
    </w:p>
    <w:p w:rsidR="00C81447" w:rsidRDefault="00AD1C36">
      <w:pPr>
        <w:pStyle w:val="Sraopastraip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„ Sveikatos priežiūros kokybės vadybos metodai‘‘ – 24 val.;</w:t>
      </w:r>
    </w:p>
    <w:p w:rsidR="00C81447" w:rsidRDefault="00AD1C36">
      <w:pPr>
        <w:pStyle w:val="Sraopastraip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 „ Ką turi žinoti viešojo subjekto vadovas, organizuojant finansinę veiklą ir darbo santykius „ – 6 val.</w:t>
      </w:r>
    </w:p>
    <w:p w:rsidR="00C81447" w:rsidRDefault="00C81447">
      <w:pPr>
        <w:pStyle w:val="Sraopastraipa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C81447" w:rsidRDefault="00C81447">
      <w:pPr>
        <w:pStyle w:val="Sraopastraipa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C81447" w:rsidRDefault="00C81447">
      <w:pPr>
        <w:pStyle w:val="Sraopastraipa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C81447" w:rsidRDefault="00C81447">
      <w:pPr>
        <w:pStyle w:val="Sraopastraipa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C81447" w:rsidRDefault="00AD1C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Įstaigos </w:t>
      </w:r>
      <w:r>
        <w:rPr>
          <w:rFonts w:ascii="Times New Roman" w:hAnsi="Times New Roman"/>
          <w:b/>
          <w:color w:val="000000"/>
          <w:sz w:val="24"/>
          <w:szCs w:val="24"/>
        </w:rPr>
        <w:t>išlaidos kolegialių organų kiekvieno nario darbo užmokesčiui ir kitoms įstaigos kolegialių organų narių išmokoms</w:t>
      </w:r>
    </w:p>
    <w:p w:rsidR="00C81447" w:rsidRDefault="00C81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VŠĮ Plungės rajono  GMP kolegialūs organai yra stebėtojų taryba sudaryta iš Plungės rajono savivaldybės ir Rietavo savivaldybės narių ir įsta</w:t>
      </w:r>
      <w:r>
        <w:rPr>
          <w:rFonts w:ascii="Times New Roman" w:hAnsi="Times New Roman"/>
          <w:sz w:val="24"/>
          <w:szCs w:val="24"/>
        </w:rPr>
        <w:t>igos deleguoto atstovo  ir slaugos taryba nariai, kuriems nėra mokamas darbo užmokestis ir kitos išmokos.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XIV.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Įstaigos išlaidos išmokoms su viešosios įstaigos dalininkais susijusiems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asmenims   </w:t>
      </w: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Įstaiga per ataskaitinį 2021 m. laikotarpį neturėjo išlaidų išmokoms su įstaigos dalininkais susijusiems asmenims.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 Įstaigos veiklos prioritetinės kryptys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Įstaigos artimiausio laikotarpi</w:t>
      </w:r>
      <w:r>
        <w:rPr>
          <w:rFonts w:ascii="Times New Roman" w:hAnsi="Times New Roman"/>
          <w:sz w:val="24"/>
          <w:szCs w:val="24"/>
        </w:rPr>
        <w:t>o prioritetinės kryptys bei veiklos užduotys :</w:t>
      </w:r>
    </w:p>
    <w:p w:rsidR="00C81447" w:rsidRDefault="00AD1C36">
      <w:pPr>
        <w:numPr>
          <w:ilvl w:val="0"/>
          <w:numId w:val="3"/>
        </w:numPr>
        <w:tabs>
          <w:tab w:val="left" w:pos="-11160"/>
          <w:tab w:val="left" w:pos="-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Greitosios medicinos pagalbos paslaugų teikimas pagal LR teisės aktus bei LR Sveikatos apsaugos ministerijos sudarytas strategijas ;</w:t>
      </w:r>
    </w:p>
    <w:p w:rsidR="00C81447" w:rsidRDefault="00AD1C36">
      <w:pPr>
        <w:numPr>
          <w:ilvl w:val="0"/>
          <w:numId w:val="3"/>
        </w:numPr>
        <w:tabs>
          <w:tab w:val="left" w:pos="-11160"/>
          <w:tab w:val="left" w:pos="-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Tolimesnis bendradarbiavimas bei informacijos keitimasis su pirminiais ASPĮ </w:t>
      </w:r>
      <w:r>
        <w:rPr>
          <w:rFonts w:ascii="Times New Roman" w:hAnsi="Times New Roman"/>
          <w:sz w:val="24"/>
          <w:szCs w:val="24"/>
        </w:rPr>
        <w:t>centrais, stacionariais/ar specializuotais ASPĮ  dėl greitosios medicinos pagalbos paslaugų teikimo;</w:t>
      </w:r>
    </w:p>
    <w:p w:rsidR="00C81447" w:rsidRDefault="00AD1C36">
      <w:pPr>
        <w:numPr>
          <w:ilvl w:val="0"/>
          <w:numId w:val="3"/>
        </w:numPr>
        <w:tabs>
          <w:tab w:val="left" w:pos="-11160"/>
          <w:tab w:val="left" w:pos="-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Antikorupcinės programos tikslų siekimas įstaigoje;</w:t>
      </w:r>
    </w:p>
    <w:p w:rsidR="00C81447" w:rsidRDefault="00AD1C36">
      <w:pPr>
        <w:numPr>
          <w:ilvl w:val="0"/>
          <w:numId w:val="3"/>
        </w:numPr>
        <w:tabs>
          <w:tab w:val="left" w:pos="-11160"/>
          <w:tab w:val="left" w:pos="-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Siekti užtikrinti pacientams teikiamų paslaugų kokybę, pagal turimus išteklius, užtikrinant būtinosios </w:t>
      </w:r>
      <w:r>
        <w:rPr>
          <w:rFonts w:ascii="Times New Roman" w:hAnsi="Times New Roman"/>
          <w:sz w:val="24"/>
          <w:szCs w:val="24"/>
        </w:rPr>
        <w:t xml:space="preserve">pagalbos teikimo pradžią , numatytą LR teisės aktais; </w:t>
      </w:r>
    </w:p>
    <w:p w:rsidR="00C81447" w:rsidRDefault="00AD1C36">
      <w:pPr>
        <w:numPr>
          <w:ilvl w:val="0"/>
          <w:numId w:val="3"/>
        </w:numPr>
        <w:tabs>
          <w:tab w:val="left" w:pos="-11160"/>
          <w:tab w:val="left" w:pos="-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Racionaliai naudoti įstaigos lėšas;</w:t>
      </w:r>
    </w:p>
    <w:p w:rsidR="00C81447" w:rsidRDefault="00AD1C36">
      <w:pPr>
        <w:numPr>
          <w:ilvl w:val="0"/>
          <w:numId w:val="3"/>
        </w:numPr>
        <w:tabs>
          <w:tab w:val="left" w:pos="-11160"/>
          <w:tab w:val="left" w:pos="-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Siekti pritraukti papildomus finansavimo šaltinius .</w:t>
      </w:r>
    </w:p>
    <w:p w:rsidR="00C81447" w:rsidRDefault="00AD1C36">
      <w:pPr>
        <w:tabs>
          <w:tab w:val="left" w:pos="-2520"/>
          <w:tab w:val="left" w:pos="-21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447" w:rsidRDefault="00C814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C8144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1447" w:rsidRDefault="00AD1C36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XVI. Kita informacija</w:t>
      </w:r>
    </w:p>
    <w:p w:rsidR="00C81447" w:rsidRDefault="00C81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</w:p>
    <w:p w:rsidR="00C81447" w:rsidRDefault="00AD1C3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m. įstaigoje atlikti  valstybinės kontrolės institucijų patikri</w:t>
      </w:r>
      <w:r>
        <w:rPr>
          <w:rFonts w:ascii="Times New Roman" w:hAnsi="Times New Roman"/>
          <w:sz w:val="24"/>
          <w:szCs w:val="24"/>
        </w:rPr>
        <w:t xml:space="preserve">nimai : </w:t>
      </w:r>
    </w:p>
    <w:p w:rsidR="00C81447" w:rsidRDefault="00AD1C36">
      <w:pPr>
        <w:spacing w:after="0" w:line="240" w:lineRule="auto"/>
        <w:ind w:left="12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Audito įmonės UAB „ </w:t>
      </w:r>
      <w:proofErr w:type="spellStart"/>
      <w:r>
        <w:rPr>
          <w:rFonts w:ascii="Times New Roman" w:hAnsi="Times New Roman"/>
          <w:sz w:val="24"/>
          <w:szCs w:val="24"/>
        </w:rPr>
        <w:t>Audit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Accounting</w:t>
      </w:r>
      <w:proofErr w:type="spellEnd"/>
      <w:r>
        <w:rPr>
          <w:rFonts w:ascii="Times New Roman" w:hAnsi="Times New Roman"/>
          <w:sz w:val="24"/>
          <w:szCs w:val="24"/>
        </w:rPr>
        <w:t>“  finansinis auditas už 2020 m.</w:t>
      </w:r>
    </w:p>
    <w:p w:rsidR="00C81447" w:rsidRDefault="00C81447">
      <w:pPr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</w:p>
    <w:p w:rsidR="00C81447" w:rsidRDefault="00AD1C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1447" w:rsidRDefault="00AD1C3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81447" w:rsidRDefault="00C8144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C8144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447" w:rsidRDefault="00AD1C3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                                                                                        Rasa </w:t>
      </w:r>
      <w:proofErr w:type="spellStart"/>
      <w:r>
        <w:rPr>
          <w:rFonts w:ascii="Times New Roman" w:hAnsi="Times New Roman"/>
          <w:sz w:val="24"/>
          <w:szCs w:val="24"/>
        </w:rPr>
        <w:t>Mončienė</w:t>
      </w:r>
      <w:proofErr w:type="spellEnd"/>
    </w:p>
    <w:p w:rsidR="00C81447" w:rsidRDefault="00C81447"/>
    <w:p w:rsidR="00C81447" w:rsidRDefault="00C81447"/>
    <w:sectPr w:rsidR="00C81447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36" w:rsidRDefault="00AD1C36">
      <w:pPr>
        <w:spacing w:after="0" w:line="240" w:lineRule="auto"/>
      </w:pPr>
      <w:r>
        <w:separator/>
      </w:r>
    </w:p>
  </w:endnote>
  <w:endnote w:type="continuationSeparator" w:id="0">
    <w:p w:rsidR="00AD1C36" w:rsidRDefault="00AD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36" w:rsidRDefault="00AD1C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1C36" w:rsidRDefault="00AD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DFD"/>
    <w:multiLevelType w:val="multilevel"/>
    <w:tmpl w:val="98801346"/>
    <w:lvl w:ilvl="0">
      <w:start w:val="1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67A"/>
    <w:multiLevelType w:val="multilevel"/>
    <w:tmpl w:val="6FA6A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E4025"/>
    <w:multiLevelType w:val="multilevel"/>
    <w:tmpl w:val="128617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0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447"/>
    <w:rsid w:val="00AD1C36"/>
    <w:rsid w:val="00C42445"/>
    <w:rsid w:val="00C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character" w:styleId="Hipersaitas">
    <w:name w:val="Hyperlink"/>
    <w:rPr>
      <w:color w:val="0000FF"/>
      <w:u w:val="single"/>
    </w:rPr>
  </w:style>
  <w:style w:type="paragraph" w:styleId="Sraopastraipa">
    <w:name w:val="List Paragraph"/>
    <w:basedOn w:val="prastasis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character" w:styleId="Hipersaitas">
    <w:name w:val="Hyperlink"/>
    <w:rPr>
      <w:color w:val="0000FF"/>
      <w:u w:val="single"/>
    </w:rPr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ngesgmp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10450</Words>
  <Characters>5957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Jovita Šumskienė</cp:lastModifiedBy>
  <cp:revision>2</cp:revision>
  <cp:lastPrinted>2022-03-15T07:56:00Z</cp:lastPrinted>
  <dcterms:created xsi:type="dcterms:W3CDTF">2022-04-12T09:49:00Z</dcterms:created>
  <dcterms:modified xsi:type="dcterms:W3CDTF">2022-04-12T09:49:00Z</dcterms:modified>
</cp:coreProperties>
</file>