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B7" w:rsidRPr="008110B7" w:rsidRDefault="008110B7" w:rsidP="008110B7">
      <w:pPr>
        <w:ind w:firstLine="0"/>
        <w:jc w:val="right"/>
        <w:rPr>
          <w:b/>
          <w:szCs w:val="24"/>
        </w:rPr>
      </w:pPr>
      <w:r w:rsidRPr="008110B7">
        <w:rPr>
          <w:b/>
          <w:szCs w:val="24"/>
        </w:rPr>
        <w:t>Projektas</w:t>
      </w:r>
    </w:p>
    <w:p w:rsidR="00795865" w:rsidRDefault="00795865" w:rsidP="00795865">
      <w:pPr>
        <w:ind w:firstLine="0"/>
        <w:jc w:val="center"/>
        <w:rPr>
          <w:b/>
          <w:sz w:val="28"/>
        </w:rPr>
      </w:pPr>
      <w:r w:rsidRPr="001E4CC2">
        <w:rPr>
          <w:b/>
          <w:sz w:val="28"/>
        </w:rPr>
        <w:t xml:space="preserve">PLUNGĖS RAJONO SAVIVALDYBĖS </w:t>
      </w:r>
      <w:r w:rsidRPr="001E4CC2">
        <w:rPr>
          <w:b/>
          <w:sz w:val="28"/>
        </w:rPr>
        <w:br/>
        <w:t>TARYBA</w:t>
      </w:r>
    </w:p>
    <w:p w:rsidR="00795865" w:rsidRPr="001E4CC2" w:rsidRDefault="00795865" w:rsidP="00795865">
      <w:pPr>
        <w:ind w:firstLine="0"/>
        <w:jc w:val="center"/>
        <w:rPr>
          <w:b/>
        </w:rPr>
      </w:pPr>
    </w:p>
    <w:p w:rsidR="00795865" w:rsidRDefault="00795865" w:rsidP="00795865">
      <w:pPr>
        <w:ind w:firstLine="0"/>
        <w:jc w:val="center"/>
        <w:rPr>
          <w:rStyle w:val="Komentaronuoroda"/>
          <w:b/>
          <w:sz w:val="28"/>
        </w:rPr>
      </w:pPr>
      <w:r>
        <w:rPr>
          <w:rStyle w:val="Komentaronuoroda"/>
          <w:b/>
          <w:sz w:val="28"/>
        </w:rPr>
        <w:t>SPRENDIMAS</w:t>
      </w:r>
    </w:p>
    <w:p w:rsidR="00795865" w:rsidRPr="00852B08" w:rsidRDefault="00795865" w:rsidP="008357FF">
      <w:pPr>
        <w:ind w:left="-284" w:firstLine="0"/>
        <w:jc w:val="center"/>
        <w:rPr>
          <w:rStyle w:val="Komentaronuoroda"/>
          <w:sz w:val="28"/>
          <w:szCs w:val="28"/>
        </w:rPr>
      </w:pPr>
      <w:r w:rsidRPr="00852B08">
        <w:rPr>
          <w:b/>
          <w:sz w:val="28"/>
          <w:szCs w:val="28"/>
        </w:rPr>
        <w:t>DĖL PLUNGĖS RAJONO SAVIVALDYBĖS TARYBOS</w:t>
      </w:r>
      <w:r w:rsidR="008357FF">
        <w:rPr>
          <w:b/>
          <w:sz w:val="28"/>
          <w:szCs w:val="28"/>
        </w:rPr>
        <w:t xml:space="preserve"> 2014 M. GRUODŽIO 30</w:t>
      </w:r>
      <w:r>
        <w:rPr>
          <w:b/>
          <w:sz w:val="28"/>
          <w:szCs w:val="28"/>
        </w:rPr>
        <w:t xml:space="preserve"> D. SPRENDIMO</w:t>
      </w:r>
      <w:r w:rsidR="008357FF">
        <w:rPr>
          <w:b/>
          <w:sz w:val="28"/>
          <w:szCs w:val="28"/>
        </w:rPr>
        <w:t xml:space="preserve"> NR. T1-384</w:t>
      </w:r>
      <w:r w:rsidRPr="00852B08">
        <w:rPr>
          <w:b/>
          <w:sz w:val="28"/>
          <w:szCs w:val="28"/>
        </w:rPr>
        <w:t xml:space="preserve"> </w:t>
      </w:r>
      <w:r>
        <w:rPr>
          <w:b/>
          <w:sz w:val="28"/>
          <w:szCs w:val="28"/>
        </w:rPr>
        <w:t>„DĖL P</w:t>
      </w:r>
      <w:r w:rsidR="008357FF">
        <w:rPr>
          <w:b/>
          <w:sz w:val="28"/>
          <w:szCs w:val="28"/>
        </w:rPr>
        <w:t>ATALPŲ IR STATINIŲ, KURIEMS 2014</w:t>
      </w:r>
      <w:r>
        <w:rPr>
          <w:b/>
          <w:sz w:val="28"/>
          <w:szCs w:val="28"/>
        </w:rPr>
        <w:t xml:space="preserve"> METAIS TAIKOMAS </w:t>
      </w:r>
      <w:r w:rsidRPr="00852B08">
        <w:rPr>
          <w:b/>
          <w:sz w:val="28"/>
          <w:szCs w:val="28"/>
        </w:rPr>
        <w:t xml:space="preserve">3 PROCENTŲ NEKILNOJAMO TURTO MOKESČIO TARIFAS, SĄRAŠO </w:t>
      </w:r>
      <w:r>
        <w:rPr>
          <w:b/>
          <w:sz w:val="28"/>
          <w:szCs w:val="28"/>
        </w:rPr>
        <w:t>PATVIRTINIMO“</w:t>
      </w:r>
      <w:r w:rsidR="00AB4545">
        <w:rPr>
          <w:b/>
          <w:sz w:val="28"/>
          <w:szCs w:val="28"/>
        </w:rPr>
        <w:t xml:space="preserve">, </w:t>
      </w:r>
      <w:r w:rsidR="008357FF">
        <w:rPr>
          <w:b/>
          <w:sz w:val="28"/>
          <w:szCs w:val="28"/>
        </w:rPr>
        <w:t>2016 M. VASARIO 11</w:t>
      </w:r>
      <w:r w:rsidR="00AB4545">
        <w:rPr>
          <w:b/>
          <w:sz w:val="28"/>
          <w:szCs w:val="28"/>
        </w:rPr>
        <w:t xml:space="preserve"> D. SPRENDIMO</w:t>
      </w:r>
      <w:r w:rsidR="008357FF">
        <w:rPr>
          <w:b/>
          <w:sz w:val="28"/>
          <w:szCs w:val="28"/>
        </w:rPr>
        <w:t xml:space="preserve"> NR. T1-1</w:t>
      </w:r>
      <w:r w:rsidR="00AB4545" w:rsidRPr="00852B08">
        <w:rPr>
          <w:b/>
          <w:sz w:val="28"/>
          <w:szCs w:val="28"/>
        </w:rPr>
        <w:t xml:space="preserve">2 </w:t>
      </w:r>
      <w:r w:rsidR="00AB4545">
        <w:rPr>
          <w:b/>
          <w:sz w:val="28"/>
          <w:szCs w:val="28"/>
        </w:rPr>
        <w:t>„DĖL P</w:t>
      </w:r>
      <w:r w:rsidR="008357FF">
        <w:rPr>
          <w:b/>
          <w:sz w:val="28"/>
          <w:szCs w:val="28"/>
        </w:rPr>
        <w:t>ATALPŲ IR STATINIŲ, KURIEMS 2015</w:t>
      </w:r>
      <w:r w:rsidR="00AB4545">
        <w:rPr>
          <w:b/>
          <w:sz w:val="28"/>
          <w:szCs w:val="28"/>
        </w:rPr>
        <w:t xml:space="preserve"> METAIS TAIKOMAS </w:t>
      </w:r>
      <w:r w:rsidR="00AB4545" w:rsidRPr="00852B08">
        <w:rPr>
          <w:b/>
          <w:sz w:val="28"/>
          <w:szCs w:val="28"/>
        </w:rPr>
        <w:t xml:space="preserve">3 PROCENTŲ NEKILNOJAMO TURTO MOKESČIO TARIFAS, SĄRAŠO </w:t>
      </w:r>
      <w:r w:rsidR="00AB4545">
        <w:rPr>
          <w:b/>
          <w:sz w:val="28"/>
          <w:szCs w:val="28"/>
        </w:rPr>
        <w:t xml:space="preserve">PATVIRTINIMO“ </w:t>
      </w:r>
      <w:r w:rsidR="008357FF">
        <w:rPr>
          <w:b/>
          <w:sz w:val="28"/>
          <w:szCs w:val="28"/>
        </w:rPr>
        <w:t>2017 M. VASARIO 15 D. SPRENDIMO</w:t>
      </w:r>
      <w:r w:rsidR="008357FF" w:rsidRPr="00852B08">
        <w:rPr>
          <w:b/>
          <w:sz w:val="28"/>
          <w:szCs w:val="28"/>
        </w:rPr>
        <w:t xml:space="preserve"> NR. T1-32 </w:t>
      </w:r>
      <w:r w:rsidR="008357FF">
        <w:rPr>
          <w:b/>
          <w:sz w:val="28"/>
          <w:szCs w:val="28"/>
        </w:rPr>
        <w:t xml:space="preserve">„DĖL PATALPŲ IR STATINIŲ, KURIEMS 2016 METAIS TAIKOMAS </w:t>
      </w:r>
      <w:r w:rsidR="008357FF" w:rsidRPr="00852B08">
        <w:rPr>
          <w:b/>
          <w:sz w:val="28"/>
          <w:szCs w:val="28"/>
        </w:rPr>
        <w:t xml:space="preserve">3 PROCENTŲ NEKILNOJAMO TURTO MOKESČIO TARIFAS, SĄRAŠO </w:t>
      </w:r>
      <w:r w:rsidR="008357FF">
        <w:rPr>
          <w:b/>
          <w:sz w:val="28"/>
          <w:szCs w:val="28"/>
        </w:rPr>
        <w:t xml:space="preserve">PATVIRTINIMO“, </w:t>
      </w:r>
      <w:r>
        <w:rPr>
          <w:b/>
          <w:sz w:val="28"/>
          <w:szCs w:val="28"/>
        </w:rPr>
        <w:t xml:space="preserve"> PAKEITIMO</w:t>
      </w:r>
    </w:p>
    <w:p w:rsidR="00795865" w:rsidRDefault="00795865" w:rsidP="00795865">
      <w:pPr>
        <w:ind w:firstLine="0"/>
        <w:jc w:val="center"/>
        <w:rPr>
          <w:rStyle w:val="Komentaronuoroda"/>
          <w:sz w:val="24"/>
          <w:szCs w:val="24"/>
        </w:rPr>
      </w:pPr>
    </w:p>
    <w:p w:rsidR="00795865" w:rsidRPr="00FB3C96" w:rsidRDefault="00795865" w:rsidP="00795865">
      <w:pPr>
        <w:ind w:firstLine="0"/>
        <w:jc w:val="center"/>
        <w:rPr>
          <w:rStyle w:val="Komentaronuoroda"/>
          <w:sz w:val="24"/>
          <w:szCs w:val="24"/>
        </w:rPr>
      </w:pPr>
      <w:r>
        <w:rPr>
          <w:rStyle w:val="Komentaronuoroda"/>
          <w:sz w:val="24"/>
          <w:szCs w:val="24"/>
        </w:rPr>
        <w:t xml:space="preserve">2020 m. liepos </w:t>
      </w:r>
      <w:r w:rsidR="008E68C4">
        <w:rPr>
          <w:rStyle w:val="Komentaronuoroda"/>
          <w:sz w:val="24"/>
          <w:szCs w:val="24"/>
        </w:rPr>
        <w:t xml:space="preserve">30 </w:t>
      </w:r>
      <w:r>
        <w:rPr>
          <w:rStyle w:val="Komentaronuoroda"/>
          <w:sz w:val="24"/>
          <w:szCs w:val="24"/>
        </w:rPr>
        <w:t>d. Nr.T1-</w:t>
      </w:r>
    </w:p>
    <w:p w:rsidR="00A726C1" w:rsidRDefault="00A726C1" w:rsidP="00795865">
      <w:pPr>
        <w:ind w:firstLine="737"/>
      </w:pPr>
    </w:p>
    <w:p w:rsidR="00795865" w:rsidRDefault="00795865" w:rsidP="008110B7">
      <w:r>
        <w:t xml:space="preserve">Vadovaudamasi Lietuvos Respublikos administracinių bylų teisenos įstatymo </w:t>
      </w:r>
      <w:r w:rsidR="00A726C1" w:rsidRPr="00A726C1">
        <w:t xml:space="preserve">ABTĮ 16 str. 1 d. ir </w:t>
      </w:r>
      <w:r>
        <w:t xml:space="preserve">41 straipsnio 1 ir 3 dalimis, </w:t>
      </w:r>
      <w:r w:rsidR="00CF2AE2">
        <w:t xml:space="preserve">bei </w:t>
      </w:r>
      <w:r>
        <w:t>atsižvelgdama</w:t>
      </w:r>
      <w:r w:rsidR="00AB4545">
        <w:t xml:space="preserve"> į</w:t>
      </w:r>
      <w:r>
        <w:t xml:space="preserve"> Lietuvos vyriausiojo administracinio teismo 2020 m. birželio 17 d. administracinės bylos Nr. Ea-4045-968/2020 nutarties reikalavimus,  Plungės rajono savivaldybės taryba </w:t>
      </w:r>
      <w:r w:rsidRPr="00DE2EB2">
        <w:rPr>
          <w:spacing w:val="40"/>
        </w:rPr>
        <w:t>nusprendžia</w:t>
      </w:r>
      <w:r>
        <w:t>:</w:t>
      </w:r>
    </w:p>
    <w:p w:rsidR="00B92F0F" w:rsidRDefault="00795865" w:rsidP="008110B7">
      <w:r>
        <w:t xml:space="preserve">1. </w:t>
      </w:r>
      <w:r w:rsidR="00B92F0F">
        <w:t>Panaikinti P</w:t>
      </w:r>
      <w:r w:rsidR="00B92F0F" w:rsidRPr="00F33501">
        <w:t xml:space="preserve">lungės </w:t>
      </w:r>
      <w:r w:rsidR="00B92F0F">
        <w:t>rajono savivaldybės tarybos 2014</w:t>
      </w:r>
      <w:r w:rsidR="00B92F0F" w:rsidRPr="00F33501">
        <w:t xml:space="preserve"> </w:t>
      </w:r>
      <w:r w:rsidR="00B92F0F">
        <w:t>m. gruodžio 30 d. sprendimu Nr. T1-384</w:t>
      </w:r>
      <w:r w:rsidR="00B92F0F" w:rsidRPr="00F33501">
        <w:t xml:space="preserve"> patvirtinto</w:t>
      </w:r>
      <w:r w:rsidR="00B92F0F" w:rsidRPr="00F33501">
        <w:rPr>
          <w:bCs/>
        </w:rPr>
        <w:t xml:space="preserve"> </w:t>
      </w:r>
      <w:r w:rsidR="00B92F0F" w:rsidRPr="00F33501">
        <w:t>patalpų ir statinių</w:t>
      </w:r>
      <w:r w:rsidR="00B92F0F" w:rsidRPr="00AF553E">
        <w:t xml:space="preserve"> </w:t>
      </w:r>
      <w:r w:rsidR="00B92F0F">
        <w:t>sąrašo, kuriems 2014</w:t>
      </w:r>
      <w:r w:rsidR="00B92F0F" w:rsidRPr="00F33501">
        <w:t xml:space="preserve"> metais taikomas 3 procentų nekilnojamo turto mokesčio</w:t>
      </w:r>
      <w:r w:rsidR="00B92F0F">
        <w:t xml:space="preserve"> tarifas, 10 ir 11 punktus.</w:t>
      </w:r>
    </w:p>
    <w:p w:rsidR="00B92F0F" w:rsidRDefault="00B92F0F" w:rsidP="008110B7">
      <w:r>
        <w:t>2. Panaikinti P</w:t>
      </w:r>
      <w:r w:rsidRPr="00F33501">
        <w:t xml:space="preserve">lungės </w:t>
      </w:r>
      <w:r w:rsidR="00CF2AE2">
        <w:t>rajono savivaldybės tarybos 2016</w:t>
      </w:r>
      <w:r w:rsidRPr="00F33501">
        <w:t xml:space="preserve"> </w:t>
      </w:r>
      <w:r w:rsidR="00CF2AE2">
        <w:t>m. vasario 11</w:t>
      </w:r>
      <w:r>
        <w:t xml:space="preserve"> d. sprendimu Nr. T</w:t>
      </w:r>
      <w:r w:rsidR="00CF2AE2">
        <w:t>1-12</w:t>
      </w:r>
      <w:r w:rsidRPr="00F33501">
        <w:t xml:space="preserve"> patvirtinto</w:t>
      </w:r>
      <w:r w:rsidRPr="00F33501">
        <w:rPr>
          <w:bCs/>
        </w:rPr>
        <w:t xml:space="preserve"> </w:t>
      </w:r>
      <w:r w:rsidRPr="00F33501">
        <w:t>patalpų ir statinių</w:t>
      </w:r>
      <w:r w:rsidRPr="00AF553E">
        <w:t xml:space="preserve"> </w:t>
      </w:r>
      <w:r>
        <w:t>sąrašo</w:t>
      </w:r>
      <w:r w:rsidR="00CF2AE2">
        <w:t>, kuriems 2015</w:t>
      </w:r>
      <w:r w:rsidRPr="00F33501">
        <w:t xml:space="preserve"> metais taikomas 3 procentų nekilnojamo turto mokesčio</w:t>
      </w:r>
      <w:r w:rsidR="00CF2AE2">
        <w:t xml:space="preserve"> tarifas, 23 ir 24</w:t>
      </w:r>
      <w:r>
        <w:t xml:space="preserve"> punktus.</w:t>
      </w:r>
    </w:p>
    <w:p w:rsidR="00B92F0F" w:rsidRDefault="00CF2AE2" w:rsidP="008110B7">
      <w:r>
        <w:t>3. Panaikinti P</w:t>
      </w:r>
      <w:r w:rsidRPr="00F33501">
        <w:t xml:space="preserve">lungės </w:t>
      </w:r>
      <w:r>
        <w:t>rajono savivaldybės tarybos 2017</w:t>
      </w:r>
      <w:r w:rsidRPr="00F33501">
        <w:t xml:space="preserve"> </w:t>
      </w:r>
      <w:r>
        <w:t>m. va</w:t>
      </w:r>
      <w:r w:rsidR="00AB4545">
        <w:t>sario 15</w:t>
      </w:r>
      <w:r>
        <w:t xml:space="preserve"> d. sprendimu Nr. T</w:t>
      </w:r>
      <w:r w:rsidR="00AB4545">
        <w:t>1-3</w:t>
      </w:r>
      <w:r>
        <w:t>2</w:t>
      </w:r>
      <w:r w:rsidRPr="00F33501">
        <w:t xml:space="preserve"> patvirtinto</w:t>
      </w:r>
      <w:r w:rsidRPr="00F33501">
        <w:rPr>
          <w:bCs/>
        </w:rPr>
        <w:t xml:space="preserve"> </w:t>
      </w:r>
      <w:r w:rsidRPr="00F33501">
        <w:t>patalpų ir statinių</w:t>
      </w:r>
      <w:r w:rsidRPr="00AF553E">
        <w:t xml:space="preserve"> </w:t>
      </w:r>
      <w:r>
        <w:t>sąrašo</w:t>
      </w:r>
      <w:r w:rsidR="00AB4545">
        <w:t>, kuriems 2016</w:t>
      </w:r>
      <w:r w:rsidRPr="00F33501">
        <w:t xml:space="preserve"> metais taikomas 3 procentų nekilnojamo turto mokesčio</w:t>
      </w:r>
      <w:r>
        <w:t xml:space="preserve"> tarifas, 19 ir 20 punktus.</w:t>
      </w:r>
    </w:p>
    <w:p w:rsidR="00795865" w:rsidRDefault="00AB4545" w:rsidP="008110B7">
      <w:pPr>
        <w:tabs>
          <w:tab w:val="left" w:pos="0"/>
          <w:tab w:val="left" w:pos="750"/>
        </w:tabs>
      </w:pPr>
      <w:r>
        <w:t xml:space="preserve">   4</w:t>
      </w:r>
      <w:r w:rsidR="00795865">
        <w:t xml:space="preserve">. Skirti iš Savivaldybės biudžeto 333,75 </w:t>
      </w:r>
      <w:proofErr w:type="spellStart"/>
      <w:r w:rsidR="00795865">
        <w:t>Eur</w:t>
      </w:r>
      <w:proofErr w:type="spellEnd"/>
      <w:r w:rsidR="00795865">
        <w:t xml:space="preserve"> (tris šimtus trisdešimt tris eurus 75 ct) Plungės rajono savivaldyb</w:t>
      </w:r>
      <w:r>
        <w:t>ės administracijai grąžinti piliečiui</w:t>
      </w:r>
      <w:r w:rsidR="00795865">
        <w:t xml:space="preserve"> </w:t>
      </w:r>
      <w:r w:rsidR="00EC2538">
        <w:t>X. X.</w:t>
      </w:r>
      <w:r w:rsidR="00795865">
        <w:t xml:space="preserve"> bylinėjimosi išlaidas, patirtas pirmosios ir apeliacinės instancijos teismuose.  </w:t>
      </w:r>
    </w:p>
    <w:p w:rsidR="00795865" w:rsidRDefault="00795865" w:rsidP="00AB4545">
      <w:pPr>
        <w:ind w:firstLine="0"/>
      </w:pPr>
    </w:p>
    <w:p w:rsidR="00795865" w:rsidRDefault="00795865" w:rsidP="00795865">
      <w:pPr>
        <w:ind w:firstLine="737"/>
      </w:pPr>
    </w:p>
    <w:p w:rsidR="00795865" w:rsidRDefault="00795865" w:rsidP="00795865">
      <w:pPr>
        <w:ind w:firstLine="0"/>
      </w:pPr>
      <w:r>
        <w:t>Savivaldybės meras</w:t>
      </w:r>
      <w:r>
        <w:tab/>
      </w:r>
      <w:r>
        <w:tab/>
      </w:r>
      <w:r>
        <w:tab/>
      </w:r>
      <w:r>
        <w:tab/>
      </w:r>
      <w:r>
        <w:tab/>
      </w:r>
      <w:r>
        <w:tab/>
      </w:r>
      <w:r>
        <w:tab/>
      </w:r>
      <w:r>
        <w:tab/>
        <w:t xml:space="preserve">          </w:t>
      </w:r>
      <w:r>
        <w:tab/>
      </w:r>
      <w:r>
        <w:tab/>
      </w:r>
    </w:p>
    <w:p w:rsidR="00DD5D8B" w:rsidRDefault="00DD5D8B" w:rsidP="00DD5D8B">
      <w:pPr>
        <w:ind w:firstLine="0"/>
      </w:pPr>
    </w:p>
    <w:p w:rsidR="008E68C4" w:rsidRDefault="008E68C4" w:rsidP="00DD5D8B">
      <w:pPr>
        <w:ind w:firstLine="0"/>
      </w:pPr>
      <w:r>
        <w:t>SUDERINTA:</w:t>
      </w:r>
    </w:p>
    <w:p w:rsidR="008E68C4" w:rsidRDefault="008E68C4" w:rsidP="008E68C4"/>
    <w:p w:rsidR="008E68C4" w:rsidRDefault="008E68C4" w:rsidP="00DD5D8B">
      <w:pPr>
        <w:spacing w:line="360" w:lineRule="auto"/>
        <w:ind w:firstLine="0"/>
        <w:rPr>
          <w:rFonts w:eastAsia="Calibri"/>
          <w:iCs/>
        </w:rPr>
      </w:pPr>
      <w:bookmarkStart w:id="0" w:name="Text10"/>
      <w:r>
        <w:rPr>
          <w:rFonts w:eastAsia="Calibri"/>
          <w:iCs/>
        </w:rPr>
        <w:t>Administracijos direktorius   M. Kaunas</w:t>
      </w:r>
      <w:r w:rsidRPr="005C7E64">
        <w:rPr>
          <w:rFonts w:eastAsia="Calibri"/>
          <w:iCs/>
        </w:rPr>
        <w:t> </w:t>
      </w:r>
    </w:p>
    <w:p w:rsidR="008E68C4" w:rsidRPr="00B06AF1" w:rsidRDefault="008E68C4" w:rsidP="00DD5D8B">
      <w:pPr>
        <w:spacing w:line="360" w:lineRule="auto"/>
        <w:ind w:firstLine="0"/>
      </w:pPr>
      <w:r w:rsidRPr="00B06AF1">
        <w:t>Juridinio ir personalo administravimo skyriaus vedėjas</w:t>
      </w:r>
      <w:r>
        <w:t xml:space="preserve">   </w:t>
      </w:r>
      <w:r w:rsidRPr="00B06AF1">
        <w:t>Vytautas Tumas</w:t>
      </w:r>
    </w:p>
    <w:p w:rsidR="008E68C4" w:rsidRDefault="008E68C4" w:rsidP="00DD5D8B">
      <w:pPr>
        <w:spacing w:line="360" w:lineRule="auto"/>
        <w:ind w:firstLine="0"/>
        <w:rPr>
          <w:rFonts w:eastAsia="Calibri"/>
          <w:iCs/>
        </w:rPr>
      </w:pPr>
      <w:r>
        <w:rPr>
          <w:rFonts w:eastAsia="Calibri"/>
          <w:iCs/>
        </w:rPr>
        <w:t xml:space="preserve">Vietos ūkio skyriaus vyriausia specialistė, </w:t>
      </w:r>
    </w:p>
    <w:p w:rsidR="008E68C4" w:rsidRDefault="008E68C4" w:rsidP="00DD5D8B">
      <w:pPr>
        <w:spacing w:line="360" w:lineRule="auto"/>
        <w:ind w:firstLine="0"/>
        <w:rPr>
          <w:rFonts w:eastAsia="Calibri"/>
          <w:iCs/>
        </w:rPr>
      </w:pPr>
      <w:r>
        <w:rPr>
          <w:rFonts w:eastAsia="Calibri"/>
          <w:iCs/>
        </w:rPr>
        <w:t>pavaduojanti vietos ūkio skyriaus vedėją</w:t>
      </w:r>
      <w:r w:rsidRPr="005C7E64">
        <w:rPr>
          <w:rFonts w:eastAsia="Calibri"/>
          <w:iCs/>
        </w:rPr>
        <w:t>    </w:t>
      </w:r>
      <w:r>
        <w:rPr>
          <w:rFonts w:eastAsia="Calibri"/>
          <w:iCs/>
        </w:rPr>
        <w:t xml:space="preserve">Odeta </w:t>
      </w:r>
      <w:proofErr w:type="spellStart"/>
      <w:r>
        <w:rPr>
          <w:rFonts w:eastAsia="Calibri"/>
          <w:iCs/>
        </w:rPr>
        <w:t>Petkuvienė</w:t>
      </w:r>
      <w:proofErr w:type="spellEnd"/>
    </w:p>
    <w:p w:rsidR="008E68C4" w:rsidRDefault="008E68C4" w:rsidP="00DD5D8B">
      <w:pPr>
        <w:spacing w:line="360" w:lineRule="auto"/>
        <w:ind w:firstLine="0"/>
        <w:rPr>
          <w:sz w:val="23"/>
          <w:szCs w:val="23"/>
        </w:rPr>
      </w:pPr>
      <w:r>
        <w:rPr>
          <w:sz w:val="23"/>
          <w:szCs w:val="23"/>
        </w:rPr>
        <w:t>Kalbos tvarkytoja</w:t>
      </w:r>
      <w:r w:rsidR="00DD5D8B">
        <w:rPr>
          <w:sz w:val="23"/>
          <w:szCs w:val="23"/>
        </w:rPr>
        <w:t xml:space="preserve">   Aušra </w:t>
      </w:r>
      <w:proofErr w:type="spellStart"/>
      <w:r w:rsidR="00DD5D8B">
        <w:rPr>
          <w:sz w:val="23"/>
          <w:szCs w:val="23"/>
        </w:rPr>
        <w:t>Dirvonskienė</w:t>
      </w:r>
      <w:proofErr w:type="spellEnd"/>
    </w:p>
    <w:p w:rsidR="008110B7" w:rsidRDefault="008110B7">
      <w:pPr>
        <w:spacing w:after="160" w:line="259" w:lineRule="auto"/>
        <w:ind w:firstLine="0"/>
        <w:jc w:val="left"/>
        <w:rPr>
          <w:sz w:val="23"/>
          <w:szCs w:val="23"/>
        </w:rPr>
      </w:pPr>
      <w:r>
        <w:rPr>
          <w:sz w:val="23"/>
          <w:szCs w:val="23"/>
        </w:rPr>
        <w:br w:type="page"/>
      </w:r>
    </w:p>
    <w:p w:rsidR="008110B7" w:rsidRPr="006D0A87" w:rsidRDefault="008110B7" w:rsidP="008110B7">
      <w:pPr>
        <w:jc w:val="center"/>
        <w:rPr>
          <w:b/>
        </w:rPr>
      </w:pPr>
      <w:r>
        <w:rPr>
          <w:b/>
        </w:rPr>
        <w:lastRenderedPageBreak/>
        <w:t>PLUNGĖS RAJONO SAVIVALDYBĖS ADMINISTRACIJOS</w:t>
      </w:r>
    </w:p>
    <w:p w:rsidR="008110B7" w:rsidRDefault="008110B7" w:rsidP="008110B7">
      <w:pPr>
        <w:jc w:val="center"/>
        <w:rPr>
          <w:b/>
          <w:sz w:val="32"/>
          <w:szCs w:val="32"/>
        </w:rPr>
      </w:pPr>
      <w:r>
        <w:rPr>
          <w:b/>
        </w:rPr>
        <w:t xml:space="preserve">VIETOS ŪKIO SKYRIUS </w:t>
      </w:r>
    </w:p>
    <w:p w:rsidR="008110B7" w:rsidRDefault="008110B7" w:rsidP="008110B7">
      <w:pPr>
        <w:rPr>
          <w:b/>
        </w:rPr>
      </w:pPr>
    </w:p>
    <w:p w:rsidR="008110B7" w:rsidRDefault="008110B7" w:rsidP="008110B7">
      <w:pPr>
        <w:jc w:val="center"/>
        <w:rPr>
          <w:b/>
        </w:rPr>
      </w:pPr>
      <w:r>
        <w:rPr>
          <w:b/>
        </w:rPr>
        <w:t>AIŠKINAMASIS RAŠTAS</w:t>
      </w:r>
    </w:p>
    <w:tbl>
      <w:tblPr>
        <w:tblW w:w="10071" w:type="dxa"/>
        <w:tblLook w:val="01E0" w:firstRow="1" w:lastRow="1" w:firstColumn="1" w:lastColumn="1" w:noHBand="0" w:noVBand="0"/>
      </w:tblPr>
      <w:tblGrid>
        <w:gridCol w:w="10071"/>
      </w:tblGrid>
      <w:tr w:rsidR="008110B7" w:rsidTr="000219CA">
        <w:trPr>
          <w:trHeight w:val="13376"/>
        </w:trPr>
        <w:tc>
          <w:tcPr>
            <w:tcW w:w="10071" w:type="dxa"/>
          </w:tcPr>
          <w:tbl>
            <w:tblPr>
              <w:tblpPr w:leftFromText="180" w:rightFromText="180" w:vertAnchor="text" w:horzAnchor="margin" w:tblpXSpec="center" w:tblpY="-242"/>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8110B7" w:rsidRPr="007D4365" w:rsidTr="000219CA">
              <w:trPr>
                <w:trHeight w:val="1871"/>
              </w:trPr>
              <w:tc>
                <w:tcPr>
                  <w:tcW w:w="9694" w:type="dxa"/>
                  <w:tcBorders>
                    <w:top w:val="nil"/>
                    <w:left w:val="nil"/>
                    <w:bottom w:val="nil"/>
                    <w:right w:val="nil"/>
                  </w:tcBorders>
                </w:tcPr>
                <w:p w:rsidR="008110B7" w:rsidRDefault="008110B7" w:rsidP="008110B7">
                  <w:pPr>
                    <w:jc w:val="center"/>
                    <w:rPr>
                      <w:b/>
                    </w:rPr>
                  </w:pPr>
                  <w:r>
                    <w:rPr>
                      <w:b/>
                    </w:rPr>
                    <w:t>PRIE SPRENDIMO PROJEKTO</w:t>
                  </w:r>
                </w:p>
                <w:p w:rsidR="008110B7" w:rsidRPr="0040251C" w:rsidRDefault="008110B7" w:rsidP="002F275A">
                  <w:pPr>
                    <w:ind w:firstLine="0"/>
                    <w:jc w:val="center"/>
                    <w:rPr>
                      <w:rStyle w:val="Komentaronuoroda"/>
                    </w:rPr>
                  </w:pPr>
                  <w:r>
                    <w:rPr>
                      <w:b/>
                    </w:rPr>
                    <w:t>„</w:t>
                  </w:r>
                  <w:r w:rsidRPr="0040251C">
                    <w:rPr>
                      <w:b/>
                    </w:rPr>
                    <w:t xml:space="preserve">DĖL PLUNGĖS RAJONO SAVIVALDYBĖS TARYBOS 2014 M. GRUODŽIO 30 D. SPRENDIMO NR. T1-384 „DĖL PATALPŲ IR STATINIŲ, KURIEMS 2014 METAIS TAIKOMAS 3 PROCENTŲ NEKILNOJAMO TURTO MOKESČIO TARIFAS, SĄRAŠO PATVIRTINIMO“, 2016 M. VASARIO 11 D. SPRENDIMO NR. T1-12 „DĖL PATALPŲ IR STATINIŲ, KURIEMS 2015 METAIS TAIKOMAS 3 PROCENTŲ NEKILNOJAMO TURTO MOKESČIO TARIFAS, SĄRAŠO PATVIRTINIMO“ 2017 M. VASARIO 15 D. SPRENDIMO NR. T1-32 „DĖL PATALPŲ IR STATINIŲ, KURIEMS 2016 METAIS TAIKOMAS 3 PROCENTŲ NEKILNOJAMO TURTO MOKESČIO TARIFAS, SĄRAŠO PATVIRTINIMO“, </w:t>
                  </w:r>
                  <w:r>
                    <w:rPr>
                      <w:b/>
                    </w:rPr>
                    <w:t xml:space="preserve"> PAKEITIMO</w:t>
                  </w:r>
                  <w:r w:rsidR="002F275A">
                    <w:rPr>
                      <w:b/>
                    </w:rPr>
                    <w:t>“</w:t>
                  </w:r>
                </w:p>
                <w:p w:rsidR="008110B7" w:rsidRPr="007D4365" w:rsidRDefault="008110B7" w:rsidP="000219CA">
                  <w:pPr>
                    <w:ind w:firstLine="142"/>
                    <w:rPr>
                      <w:b/>
                    </w:rPr>
                  </w:pPr>
                </w:p>
              </w:tc>
            </w:tr>
          </w:tbl>
          <w:tbl>
            <w:tblPr>
              <w:tblW w:w="9629" w:type="dxa"/>
              <w:tblLook w:val="01E0" w:firstRow="1" w:lastRow="1" w:firstColumn="1" w:lastColumn="1" w:noHBand="0" w:noVBand="0"/>
            </w:tblPr>
            <w:tblGrid>
              <w:gridCol w:w="9629"/>
            </w:tblGrid>
            <w:tr w:rsidR="008110B7" w:rsidTr="000219CA">
              <w:trPr>
                <w:trHeight w:val="277"/>
              </w:trPr>
              <w:tc>
                <w:tcPr>
                  <w:tcW w:w="9629" w:type="dxa"/>
                </w:tcPr>
                <w:p w:rsidR="008110B7" w:rsidRDefault="008110B7" w:rsidP="000219CA">
                  <w:pPr>
                    <w:jc w:val="center"/>
                  </w:pPr>
                  <w:r>
                    <w:t>2020 m. liepos 16  d.</w:t>
                  </w:r>
                </w:p>
                <w:p w:rsidR="008110B7" w:rsidRDefault="008110B7" w:rsidP="000219CA">
                  <w:pPr>
                    <w:jc w:val="center"/>
                  </w:pPr>
                  <w:r>
                    <w:t>Plungė</w:t>
                  </w:r>
                </w:p>
                <w:p w:rsidR="008110B7" w:rsidRDefault="008110B7" w:rsidP="000219CA">
                  <w:pPr>
                    <w:jc w:val="center"/>
                  </w:pPr>
                </w:p>
              </w:tc>
            </w:tr>
          </w:tbl>
          <w:p w:rsidR="008110B7" w:rsidRPr="00CC36E1" w:rsidRDefault="008110B7" w:rsidP="008110B7">
            <w:r>
              <w:rPr>
                <w:b/>
              </w:rPr>
              <w:t xml:space="preserve">1. </w:t>
            </w:r>
            <w:r w:rsidRPr="00F33501">
              <w:rPr>
                <w:b/>
              </w:rPr>
              <w:t xml:space="preserve">Sprendimo projekto tikslas </w:t>
            </w:r>
            <w:r>
              <w:t>panaikinti P</w:t>
            </w:r>
            <w:r w:rsidRPr="00F33501">
              <w:t xml:space="preserve">lungės </w:t>
            </w:r>
            <w:r>
              <w:t>rajono savivaldybės tarybos 2014</w:t>
            </w:r>
            <w:r w:rsidRPr="00F33501">
              <w:t xml:space="preserve"> </w:t>
            </w:r>
            <w:r>
              <w:t>m. gruodžio 30 d. sprendimu Nr. T1-384</w:t>
            </w:r>
            <w:r w:rsidRPr="00F33501">
              <w:t xml:space="preserve"> patvirtinto</w:t>
            </w:r>
            <w:r w:rsidRPr="00F33501">
              <w:rPr>
                <w:bCs/>
              </w:rPr>
              <w:t xml:space="preserve"> </w:t>
            </w:r>
            <w:r w:rsidRPr="00F33501">
              <w:t>patalpų ir statinių</w:t>
            </w:r>
            <w:r w:rsidRPr="00AF553E">
              <w:t xml:space="preserve"> </w:t>
            </w:r>
            <w:r>
              <w:t>sąrašo, kuriems 2014</w:t>
            </w:r>
            <w:r w:rsidRPr="00F33501">
              <w:t xml:space="preserve"> metais taikomas 3 procentų nekilnojamo turto mokesčio</w:t>
            </w:r>
            <w:r>
              <w:t xml:space="preserve"> tarifas, 10 ir 11 punktus, P</w:t>
            </w:r>
            <w:r w:rsidRPr="00F33501">
              <w:t xml:space="preserve">lungės </w:t>
            </w:r>
            <w:r>
              <w:t>rajono savivaldybės tarybos 2016</w:t>
            </w:r>
            <w:r w:rsidRPr="00F33501">
              <w:t xml:space="preserve"> </w:t>
            </w:r>
            <w:r>
              <w:t>m. vasario 11 d. sprendimu Nr. T1-12</w:t>
            </w:r>
            <w:r w:rsidRPr="00F33501">
              <w:t xml:space="preserve"> patvirtinto</w:t>
            </w:r>
            <w:r w:rsidRPr="00F33501">
              <w:rPr>
                <w:bCs/>
              </w:rPr>
              <w:t xml:space="preserve"> </w:t>
            </w:r>
            <w:r w:rsidRPr="00F33501">
              <w:t>patalpų ir statinių</w:t>
            </w:r>
            <w:r w:rsidRPr="00AF553E">
              <w:t xml:space="preserve"> </w:t>
            </w:r>
            <w:r>
              <w:t>sąrašo, kuriems 2015</w:t>
            </w:r>
            <w:r w:rsidRPr="00F33501">
              <w:t xml:space="preserve"> metais taikomas 3 procentų nekilnojamo turto mokesčio</w:t>
            </w:r>
            <w:r>
              <w:t xml:space="preserve"> tarifas, 23 ir 24 punktus, panaikinti P</w:t>
            </w:r>
            <w:r w:rsidRPr="00F33501">
              <w:t xml:space="preserve">lungės rajono savivaldybės tarybos 2017 </w:t>
            </w:r>
            <w:r>
              <w:t>m. vasario 15 d. sprendimu Nr. T</w:t>
            </w:r>
            <w:r w:rsidRPr="00F33501">
              <w:t>1-32 patvirtinto</w:t>
            </w:r>
            <w:r w:rsidRPr="00F33501">
              <w:rPr>
                <w:bCs/>
              </w:rPr>
              <w:t xml:space="preserve"> </w:t>
            </w:r>
            <w:r w:rsidRPr="00F33501">
              <w:t>patalpų ir statinių</w:t>
            </w:r>
            <w:r>
              <w:t xml:space="preserve"> sąrašo</w:t>
            </w:r>
            <w:r w:rsidRPr="00F33501">
              <w:t>, kuriems 2016 metais taikomas 3 procentų nekilnojamo turto mokesčio</w:t>
            </w:r>
            <w:r>
              <w:t xml:space="preserve"> tarifas 19 ir 20 punktus. </w:t>
            </w:r>
            <w:r w:rsidRPr="00F33501">
              <w:rPr>
                <w:b/>
              </w:rPr>
              <w:t xml:space="preserve"> </w:t>
            </w:r>
          </w:p>
          <w:p w:rsidR="008110B7" w:rsidRPr="00F33501" w:rsidRDefault="008110B7" w:rsidP="008110B7">
            <w:pPr>
              <w:tabs>
                <w:tab w:val="left" w:pos="540"/>
                <w:tab w:val="left" w:pos="567"/>
              </w:tabs>
              <w:rPr>
                <w:b/>
              </w:rPr>
            </w:pPr>
            <w:r>
              <w:rPr>
                <w:b/>
              </w:rPr>
              <w:t>2.  Sprendimo projektas parengtas</w:t>
            </w:r>
            <w:r w:rsidRPr="00F33501">
              <w:rPr>
                <w:b/>
              </w:rPr>
              <w:t xml:space="preserve"> </w:t>
            </w:r>
            <w:r w:rsidRPr="00CC36E1">
              <w:t>Klaipėdos apygardos administracinio teismo</w:t>
            </w:r>
            <w:r>
              <w:rPr>
                <w:b/>
              </w:rPr>
              <w:t xml:space="preserve"> </w:t>
            </w:r>
            <w:r w:rsidRPr="00293E65">
              <w:t>2017 m.</w:t>
            </w:r>
            <w:r>
              <w:t xml:space="preserve"> lapkričio 20 d. nutartimi, vadovaujantis Lietuvos Respublikos administracinių bylų teisenos įstatymo 84-88 straipsniais bei</w:t>
            </w:r>
            <w:r>
              <w:rPr>
                <w:b/>
              </w:rPr>
              <w:t xml:space="preserve"> </w:t>
            </w:r>
            <w:r>
              <w:t xml:space="preserve">Lietuvos vyriausiojo administracinio teismo 2020 m. birželio 17 d. nutartimi, vadovaujantis Lietuvos Respublikos administracinių bylų teisenos įstatymo </w:t>
            </w:r>
            <w:r w:rsidRPr="008C0BC2">
              <w:t xml:space="preserve">ABTĮ 16 str. 1 d. </w:t>
            </w:r>
            <w:r>
              <w:t>ir 41 straipsnio 1 ir 3 dalimis.</w:t>
            </w:r>
          </w:p>
          <w:p w:rsidR="008110B7" w:rsidRDefault="008110B7" w:rsidP="008110B7">
            <w:pPr>
              <w:numPr>
                <w:ilvl w:val="0"/>
                <w:numId w:val="2"/>
              </w:numPr>
              <w:tabs>
                <w:tab w:val="clear" w:pos="927"/>
                <w:tab w:val="num" w:pos="0"/>
                <w:tab w:val="left" w:pos="851"/>
              </w:tabs>
              <w:ind w:left="0" w:firstLine="720"/>
            </w:pPr>
            <w:r w:rsidRPr="00492B4C">
              <w:rPr>
                <w:b/>
              </w:rPr>
              <w:t>Teisės</w:t>
            </w:r>
            <w:r>
              <w:rPr>
                <w:b/>
              </w:rPr>
              <w:t xml:space="preserve"> </w:t>
            </w:r>
            <w:r w:rsidRPr="00492B4C">
              <w:rPr>
                <w:b/>
              </w:rPr>
              <w:t>akto</w:t>
            </w:r>
            <w:r>
              <w:rPr>
                <w:b/>
              </w:rPr>
              <w:t xml:space="preserve"> </w:t>
            </w:r>
            <w:r w:rsidRPr="00492B4C">
              <w:rPr>
                <w:b/>
              </w:rPr>
              <w:t>projekto</w:t>
            </w:r>
            <w:r>
              <w:rPr>
                <w:b/>
              </w:rPr>
              <w:t xml:space="preserve"> </w:t>
            </w:r>
            <w:r w:rsidRPr="00492B4C">
              <w:rPr>
                <w:b/>
              </w:rPr>
              <w:t>esmė,</w:t>
            </w:r>
            <w:r>
              <w:rPr>
                <w:b/>
              </w:rPr>
              <w:t xml:space="preserve"> </w:t>
            </w:r>
            <w:r w:rsidRPr="00492B4C">
              <w:rPr>
                <w:b/>
              </w:rPr>
              <w:t>rengimo</w:t>
            </w:r>
            <w:r>
              <w:rPr>
                <w:b/>
              </w:rPr>
              <w:t xml:space="preserve"> </w:t>
            </w:r>
            <w:r w:rsidRPr="00492B4C">
              <w:rPr>
                <w:b/>
              </w:rPr>
              <w:t>priežastys</w:t>
            </w:r>
            <w:r>
              <w:rPr>
                <w:b/>
              </w:rPr>
              <w:t xml:space="preserve"> </w:t>
            </w:r>
            <w:r w:rsidRPr="00492B4C">
              <w:rPr>
                <w:b/>
              </w:rPr>
              <w:t>ir</w:t>
            </w:r>
            <w:r>
              <w:rPr>
                <w:b/>
              </w:rPr>
              <w:t xml:space="preserve"> </w:t>
            </w:r>
            <w:r w:rsidRPr="00492B4C">
              <w:rPr>
                <w:b/>
              </w:rPr>
              <w:t>motyvai.</w:t>
            </w:r>
            <w:r>
              <w:rPr>
                <w:b/>
              </w:rPr>
              <w:t xml:space="preserve"> </w:t>
            </w:r>
            <w:r>
              <w:t>P</w:t>
            </w:r>
            <w:r w:rsidRPr="00AD5C45">
              <w:t>atalpų ir statinių, kuriems 2016 metais taikomas 3 procentų nekilnojamo turt</w:t>
            </w:r>
            <w:r>
              <w:t>o mokesčio tarifas, sąrašas  sudarytas</w:t>
            </w:r>
            <w:r w:rsidRPr="00AD5C45">
              <w:t xml:space="preserve"> v</w:t>
            </w:r>
            <w:r>
              <w:t>adovaujantis  Nenaudojamų, naudojamų ne pagal paskirtį arba neprižiūrimų statinių ir patalpų nustatymo, jų sąrašo sudarymo ir keitimo tvarkos aprašu, patvirtintu Plungės rajono savivaldybės tarybos 2016</w:t>
            </w:r>
            <w:r w:rsidRPr="004D1C00">
              <w:t xml:space="preserve"> m.</w:t>
            </w:r>
            <w:r>
              <w:t xml:space="preserve"> gegužės </w:t>
            </w:r>
            <w:r w:rsidRPr="004D1C00">
              <w:t xml:space="preserve">30 </w:t>
            </w:r>
            <w:r>
              <w:t xml:space="preserve">d. sprendimu Nr. T1-149, atsižvelgiant į Lietuvos Respublikos nekilnojamojo turto mokesčio įstatymo Nr. X-233 7 straipsnio nuostatas, duomenis, įrodančius, kad į sąrašą įtraukti pastatai, atitinka Tvarkos aprašo 11.1 – 11.6 punktuose išvardytas vieną ar kelias aplinkybes. Į sąrašą įtraukiami pastatai, kurie yra nenaudojami, netvarkomi, fiziškai pažeisti, apleisti arba neprižiūrimi, neatitinka Lietuvos Respublikos statybos įstatymo reikalavimų, todėl, pagal Lietuvos Respublikos nekilnojamojo turto mokesčio įstatymą, jų savininkams taikomas 3 procentų nekilnojamojo turto mokesčio tarifas. Mokestinis laikotarpis - 2016 metai. Vadovaujantis Tvarkos aprašo nuostatomis, į Sąrašą buvo įtraukti pil. </w:t>
            </w:r>
            <w:r w:rsidR="00EC2538">
              <w:t>X. X.</w:t>
            </w:r>
            <w:r>
              <w:t xml:space="preserve"> priklausantys nekilnojamojo turto objektai: automobilinės svarstyklės (unikalus Nr. </w:t>
            </w:r>
            <w:proofErr w:type="spellStart"/>
            <w:r w:rsidR="00EC2538">
              <w:t>xxxx</w:t>
            </w:r>
            <w:r>
              <w:t>-</w:t>
            </w:r>
            <w:r w:rsidR="00EC2538">
              <w:t>xxxx</w:t>
            </w:r>
            <w:r>
              <w:t>-</w:t>
            </w:r>
            <w:r w:rsidR="00EC2538">
              <w:t>xxxx</w:t>
            </w:r>
            <w:r>
              <w:t>)</w:t>
            </w:r>
            <w:proofErr w:type="spellEnd"/>
            <w:r>
              <w:t xml:space="preserve"> esančios </w:t>
            </w:r>
            <w:proofErr w:type="spellStart"/>
            <w:r w:rsidR="00EC2538">
              <w:t>Xx</w:t>
            </w:r>
            <w:proofErr w:type="spellEnd"/>
            <w:r w:rsidR="00EC2538">
              <w:t>.</w:t>
            </w:r>
            <w:r>
              <w:t xml:space="preserve"> g. </w:t>
            </w:r>
            <w:r w:rsidR="00EC2538">
              <w:t>x</w:t>
            </w:r>
            <w:r>
              <w:t xml:space="preserve"> ir malūnas (unikalus Nr. </w:t>
            </w:r>
            <w:proofErr w:type="spellStart"/>
            <w:r w:rsidR="00EC2538">
              <w:t>xxxx-xxxx-xxxx</w:t>
            </w:r>
            <w:r>
              <w:t>),</w:t>
            </w:r>
            <w:proofErr w:type="spellEnd"/>
            <w:r>
              <w:t xml:space="preserve"> esantis </w:t>
            </w:r>
            <w:proofErr w:type="spellStart"/>
            <w:r w:rsidR="00EC2538">
              <w:t>Xx</w:t>
            </w:r>
            <w:proofErr w:type="spellEnd"/>
            <w:r w:rsidR="00EC2538">
              <w:t>.</w:t>
            </w:r>
            <w:r>
              <w:t xml:space="preserve"> g. </w:t>
            </w:r>
            <w:r w:rsidR="00EC2538">
              <w:t>x X. X. X.</w:t>
            </w:r>
            <w:r>
              <w:t xml:space="preserve"> r. (19 ir 20 punktai)</w:t>
            </w:r>
          </w:p>
          <w:p w:rsidR="008110B7" w:rsidRDefault="008110B7" w:rsidP="008110B7">
            <w:pPr>
              <w:tabs>
                <w:tab w:val="left" w:pos="0"/>
                <w:tab w:val="left" w:pos="750"/>
              </w:tabs>
            </w:pPr>
            <w:r>
              <w:t xml:space="preserve">Nekilnojamojo turto savininkas </w:t>
            </w:r>
            <w:r w:rsidR="00EC2538">
              <w:t>X. X.</w:t>
            </w:r>
            <w:r>
              <w:t xml:space="preserve">, nesutikdamas su Plungės rajono savivaldybės tarybos sprendimu, skundu kreipėsi į Regionų apygardos administracinį teismą dėl Plungės rajono savivaldybės tarybos sprendimo dalies panaikinimo, kuris 2020 m. vasario 19 d. viešame teismo posėdyje išnagrinėjo administracinę bylą ir nusprendė pareiškėjo </w:t>
            </w:r>
            <w:r w:rsidR="00EC2538">
              <w:t>X. X.</w:t>
            </w:r>
            <w:r>
              <w:t xml:space="preserve"> skundą, dėl P</w:t>
            </w:r>
            <w:r w:rsidRPr="00F33501">
              <w:t xml:space="preserve">lungės rajono savivaldybės tarybos 2017 </w:t>
            </w:r>
            <w:r>
              <w:t>m. vasario 15 d. sprendimu Nr. T</w:t>
            </w:r>
            <w:r w:rsidRPr="00F33501">
              <w:t>1-32 patvirtinto</w:t>
            </w:r>
            <w:r w:rsidRPr="00F33501">
              <w:rPr>
                <w:bCs/>
              </w:rPr>
              <w:t xml:space="preserve"> </w:t>
            </w:r>
            <w:r w:rsidRPr="00F33501">
              <w:t>patalpų ir statinių, kuriems 2016 metais taikomas 3 procentų nekilnojamo turto mokesčio</w:t>
            </w:r>
            <w:r>
              <w:t xml:space="preserve"> tarifas, sąrašo 19 ir 20 punktų panaikinimo, atmesti kaip nepagrįstą.</w:t>
            </w:r>
          </w:p>
          <w:p w:rsidR="008110B7" w:rsidRDefault="008110B7" w:rsidP="008110B7">
            <w:pPr>
              <w:tabs>
                <w:tab w:val="left" w:pos="0"/>
                <w:tab w:val="left" w:pos="750"/>
              </w:tabs>
            </w:pPr>
            <w:r>
              <w:t xml:space="preserve">Dėl priimto nepalankaus sprendimo </w:t>
            </w:r>
            <w:r w:rsidR="00EC2538">
              <w:t>X. X.</w:t>
            </w:r>
            <w:r>
              <w:t xml:space="preserve"> apeliaciniu skundu kreipėsi Lietuvos vyriausiąjį </w:t>
            </w:r>
            <w:r>
              <w:lastRenderedPageBreak/>
              <w:t>administracinį teismą, kuris 2020 m. birželio 17 d. apeliacine rašytinio proceso tvarka išna</w:t>
            </w:r>
            <w:bookmarkStart w:id="1" w:name="_GoBack"/>
            <w:bookmarkEnd w:id="1"/>
            <w:r>
              <w:t xml:space="preserve">grinėjo administracinę bylą ir nutarė pareiškėjo </w:t>
            </w:r>
            <w:r w:rsidR="00EC2538">
              <w:t>X. X.</w:t>
            </w:r>
            <w:r>
              <w:t xml:space="preserve"> apeliacinį skundą tenkinti ir panaikinti P</w:t>
            </w:r>
            <w:r w:rsidRPr="00F33501">
              <w:t xml:space="preserve">lungės rajono savivaldybės tarybos 2017 </w:t>
            </w:r>
            <w:r>
              <w:t>m. vasario 15 d. sprendimu Nr. T</w:t>
            </w:r>
            <w:r w:rsidRPr="00F33501">
              <w:t>1-32 patvirtinto</w:t>
            </w:r>
            <w:r w:rsidRPr="00F33501">
              <w:rPr>
                <w:bCs/>
              </w:rPr>
              <w:t xml:space="preserve"> </w:t>
            </w:r>
            <w:r w:rsidRPr="00F33501">
              <w:t>patalpų ir statinių, kuriems 2016 metais taikomas 3 procentų nekilnojamo turto mokesčio</w:t>
            </w:r>
            <w:r>
              <w:t xml:space="preserve"> tarifas, sąrašo 19 ir 20 punktus ir priteisti pareiškėjui </w:t>
            </w:r>
            <w:r w:rsidR="00EC2538">
              <w:t>X. X.</w:t>
            </w:r>
            <w:r>
              <w:t xml:space="preserve"> iš atsakovo Plungės rajono savivaldybės tarybos 322,50 (tris šimtus dvidešimt du eurus 50 ct) bylinėjimosi išlaidų, patirtų pirmosios instancijos teisme. Ir priteisti 11,25 </w:t>
            </w:r>
            <w:proofErr w:type="spellStart"/>
            <w:r>
              <w:t>Eur</w:t>
            </w:r>
            <w:proofErr w:type="spellEnd"/>
            <w:r>
              <w:t xml:space="preserve"> (vienuolika eurų 25 ct) bylinėjimosi išlaidų, patirtų apeliacinės instancijos teisme. </w:t>
            </w:r>
          </w:p>
          <w:p w:rsidR="008110B7" w:rsidRDefault="008110B7" w:rsidP="008110B7">
            <w:pPr>
              <w:tabs>
                <w:tab w:val="left" w:pos="0"/>
                <w:tab w:val="left" w:pos="750"/>
              </w:tabs>
            </w:pPr>
            <w:r>
              <w:t>Teismas pažymėjo, kad Plungės rajono savivaldybės taryba 2017 m. vasario 15 d. sprendimą Nr. T1-32 priėmė remdamasi teisės aktais, tačiau neanalizavo faktinių aplinkybių, sprendime nenurodė argumentų, nors pareiškėjas nurodė, kad egzistavo objektyvios aplinkybės, kurioms esant jam priklausantis nekilnojamasis turtas neturėjo būti įtrauktas į Sąrašą. Šio turto areštavimas ginčijamų sprendimų priėmimo metu duoda prielaidą, kad tai galėjo būti aplinkybės, kurios būtų sudarę galimybę šį turtą išbraukti iš Sąrašo. Teismui pritrūko duomenų, kurių pagrindu galima būtų konstatuoti, kad priimant sprendimą šios aplinkybės buvo išnagrinėtos ir įvertintos nagrinėjant Vietos ūkio ir ekologijos komiteto 2017 m. vasario 7 d. posėdyje.</w:t>
            </w:r>
          </w:p>
          <w:p w:rsidR="008110B7" w:rsidRPr="008110B7" w:rsidRDefault="008110B7" w:rsidP="008110B7">
            <w:pPr>
              <w:numPr>
                <w:ilvl w:val="0"/>
                <w:numId w:val="2"/>
              </w:numPr>
              <w:tabs>
                <w:tab w:val="left" w:pos="555"/>
              </w:tabs>
              <w:ind w:left="0" w:firstLine="720"/>
              <w:rPr>
                <w:b/>
              </w:rPr>
            </w:pPr>
            <w:r w:rsidRPr="008110B7">
              <w:rPr>
                <w:b/>
              </w:rPr>
              <w:t xml:space="preserve">Lėšų poreikis. </w:t>
            </w:r>
            <w:r>
              <w:t>Iš Savivaldybės biudžeto</w:t>
            </w:r>
            <w:r w:rsidRPr="00797ED4">
              <w:t xml:space="preserve"> </w:t>
            </w:r>
            <w:r>
              <w:t>t</w:t>
            </w:r>
            <w:r w:rsidRPr="00797ED4">
              <w:t>eisės aktui įgyvendinti reikalinga 333,75 Eurų</w:t>
            </w:r>
            <w:r>
              <w:t xml:space="preserve"> </w:t>
            </w:r>
          </w:p>
          <w:p w:rsidR="008110B7" w:rsidRDefault="008110B7" w:rsidP="008110B7">
            <w:pPr>
              <w:rPr>
                <w:b/>
              </w:rPr>
            </w:pPr>
            <w:r>
              <w:rPr>
                <w:b/>
              </w:rPr>
              <w:t>5. Laukiami rezultatai.</w:t>
            </w:r>
            <w:r>
              <w:t xml:space="preserve"> </w:t>
            </w:r>
          </w:p>
          <w:p w:rsidR="008110B7" w:rsidRDefault="008110B7" w:rsidP="008110B7">
            <w:r>
              <w:rPr>
                <w:b/>
              </w:rPr>
              <w:t>6. Kita svarbi informacija</w:t>
            </w:r>
            <w:r>
              <w:t xml:space="preserve"> </w:t>
            </w:r>
          </w:p>
          <w:p w:rsidR="008110B7" w:rsidRDefault="008110B7" w:rsidP="008110B7">
            <w:pPr>
              <w:rPr>
                <w:b/>
              </w:rPr>
            </w:pPr>
            <w:r>
              <w:rPr>
                <w:b/>
              </w:rPr>
              <w:t>7. 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2977"/>
              <w:gridCol w:w="3223"/>
            </w:tblGrid>
            <w:tr w:rsidR="008110B7" w:rsidTr="000219CA">
              <w:trPr>
                <w:trHeight w:val="285"/>
              </w:trPr>
              <w:tc>
                <w:tcPr>
                  <w:tcW w:w="3515" w:type="dxa"/>
                  <w:vMerge w:val="restart"/>
                  <w:tcBorders>
                    <w:top w:val="single" w:sz="4" w:space="0" w:color="auto"/>
                    <w:left w:val="single" w:sz="4" w:space="0" w:color="auto"/>
                    <w:bottom w:val="single" w:sz="4" w:space="0" w:color="auto"/>
                    <w:right w:val="single" w:sz="4" w:space="0" w:color="000000"/>
                  </w:tcBorders>
                  <w:vAlign w:val="center"/>
                </w:tcPr>
                <w:p w:rsidR="008110B7" w:rsidRDefault="008110B7" w:rsidP="000219CA">
                  <w:pPr>
                    <w:widowControl w:val="0"/>
                    <w:jc w:val="center"/>
                    <w:rPr>
                      <w:rFonts w:eastAsia="Lucida Sans Unicode"/>
                      <w:b/>
                      <w:kern w:val="2"/>
                      <w:lang w:bidi="lo-LA"/>
                    </w:rPr>
                  </w:pPr>
                  <w:r>
                    <w:rPr>
                      <w:rFonts w:eastAsia="Lucida Sans Unicode"/>
                      <w:b/>
                      <w:kern w:val="2"/>
                    </w:rPr>
                    <w:t>Sritys</w:t>
                  </w:r>
                </w:p>
              </w:tc>
              <w:tc>
                <w:tcPr>
                  <w:tcW w:w="6200" w:type="dxa"/>
                  <w:gridSpan w:val="2"/>
                  <w:tcBorders>
                    <w:top w:val="single" w:sz="4" w:space="0" w:color="auto"/>
                    <w:left w:val="single" w:sz="4" w:space="0" w:color="000000"/>
                    <w:bottom w:val="single" w:sz="4" w:space="0" w:color="auto"/>
                    <w:right w:val="single" w:sz="4" w:space="0" w:color="auto"/>
                  </w:tcBorders>
                  <w:vAlign w:val="center"/>
                </w:tcPr>
                <w:p w:rsidR="008110B7" w:rsidRDefault="008110B7" w:rsidP="000219CA">
                  <w:pPr>
                    <w:widowControl w:val="0"/>
                    <w:jc w:val="center"/>
                    <w:rPr>
                      <w:rFonts w:eastAsia="Lucida Sans Unicode"/>
                      <w:b/>
                      <w:bCs/>
                      <w:kern w:val="2"/>
                    </w:rPr>
                  </w:pPr>
                  <w:r>
                    <w:rPr>
                      <w:rFonts w:eastAsia="Lucida Sans Unicode"/>
                      <w:b/>
                      <w:bCs/>
                      <w:kern w:val="2"/>
                    </w:rPr>
                    <w:t>Numatomo teisinio reguliavimo poveikio vertinimo rezultatai</w:t>
                  </w:r>
                </w:p>
              </w:tc>
            </w:tr>
            <w:tr w:rsidR="008110B7" w:rsidTr="000219CA">
              <w:trPr>
                <w:trHeight w:val="540"/>
              </w:trPr>
              <w:tc>
                <w:tcPr>
                  <w:tcW w:w="3515" w:type="dxa"/>
                  <w:vMerge/>
                  <w:tcBorders>
                    <w:top w:val="single" w:sz="4" w:space="0" w:color="auto"/>
                    <w:left w:val="single" w:sz="4" w:space="0" w:color="000000"/>
                    <w:bottom w:val="single" w:sz="4" w:space="0" w:color="000000"/>
                    <w:right w:val="single" w:sz="4" w:space="0" w:color="000000"/>
                  </w:tcBorders>
                  <w:vAlign w:val="center"/>
                </w:tcPr>
                <w:p w:rsidR="008110B7" w:rsidRDefault="008110B7" w:rsidP="000219CA">
                  <w:pPr>
                    <w:jc w:val="cente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vAlign w:val="center"/>
                </w:tcPr>
                <w:p w:rsidR="008110B7" w:rsidRDefault="008110B7" w:rsidP="000219CA">
                  <w:pPr>
                    <w:widowControl w:val="0"/>
                    <w:jc w:val="center"/>
                    <w:rPr>
                      <w:rFonts w:eastAsia="Lucida Sans Unicode"/>
                      <w:b/>
                      <w:kern w:val="2"/>
                    </w:rPr>
                  </w:pPr>
                  <w:r>
                    <w:rPr>
                      <w:rFonts w:eastAsia="Lucida Sans Unicode"/>
                      <w:b/>
                      <w:kern w:val="2"/>
                    </w:rPr>
                    <w:t>Teigiamas poveikis</w:t>
                  </w:r>
                </w:p>
              </w:tc>
              <w:tc>
                <w:tcPr>
                  <w:tcW w:w="3223" w:type="dxa"/>
                  <w:tcBorders>
                    <w:top w:val="single" w:sz="4" w:space="0" w:color="auto"/>
                    <w:left w:val="single" w:sz="4" w:space="0" w:color="000000"/>
                    <w:bottom w:val="single" w:sz="4" w:space="0" w:color="000000"/>
                    <w:right w:val="single" w:sz="4" w:space="0" w:color="000000"/>
                  </w:tcBorders>
                  <w:vAlign w:val="center"/>
                </w:tcPr>
                <w:p w:rsidR="008110B7" w:rsidRDefault="008110B7" w:rsidP="000219CA">
                  <w:pPr>
                    <w:widowControl w:val="0"/>
                    <w:jc w:val="center"/>
                    <w:rPr>
                      <w:rFonts w:eastAsia="Lucida Sans Unicode"/>
                      <w:b/>
                      <w:kern w:val="2"/>
                      <w:lang w:bidi="lo-LA"/>
                    </w:rPr>
                  </w:pPr>
                  <w:r>
                    <w:rPr>
                      <w:rFonts w:eastAsia="Lucida Sans Unicode"/>
                      <w:b/>
                      <w:kern w:val="2"/>
                    </w:rPr>
                    <w:t>Neigiamas poveikis</w:t>
                  </w:r>
                </w:p>
              </w:tc>
            </w:tr>
            <w:tr w:rsidR="008110B7" w:rsidTr="000219CA">
              <w:tc>
                <w:tcPr>
                  <w:tcW w:w="3515"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jc w:val="center"/>
                    <w:rPr>
                      <w:rFonts w:eastAsia="Lucida Sans Unicode"/>
                      <w:i/>
                      <w:kern w:val="2"/>
                      <w:lang w:bidi="lo-LA"/>
                    </w:rPr>
                  </w:pPr>
                  <w:r>
                    <w:rPr>
                      <w:rFonts w:eastAsia="Lucida Sans Unicode"/>
                      <w:i/>
                      <w:kern w:val="2"/>
                      <w:lang w:bidi="lo-LA"/>
                    </w:rPr>
                    <w:t>-</w:t>
                  </w:r>
                </w:p>
              </w:tc>
              <w:tc>
                <w:tcPr>
                  <w:tcW w:w="3223"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000000"/>
                    <w:left w:val="single" w:sz="4" w:space="0" w:color="000000"/>
                    <w:bottom w:val="single" w:sz="4" w:space="0" w:color="auto"/>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auto"/>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000000"/>
                    <w:left w:val="single" w:sz="4" w:space="0" w:color="000000"/>
                    <w:bottom w:val="single" w:sz="4" w:space="0" w:color="auto"/>
                    <w:right w:val="single" w:sz="4" w:space="0" w:color="000000"/>
                  </w:tcBorders>
                </w:tcPr>
                <w:p w:rsidR="008110B7" w:rsidRDefault="008110B7" w:rsidP="000219CA">
                  <w:pPr>
                    <w:jc w:val="center"/>
                  </w:pPr>
                  <w:r>
                    <w:rPr>
                      <w:rFonts w:eastAsia="Lucida Sans Unicode"/>
                      <w:i/>
                      <w:kern w:val="2"/>
                      <w:lang w:bidi="lo-LA"/>
                    </w:rPr>
                    <w:t>Nenumatytos išlaidos</w:t>
                  </w:r>
                </w:p>
              </w:tc>
            </w:tr>
            <w:tr w:rsidR="008110B7" w:rsidTr="000219CA">
              <w:tc>
                <w:tcPr>
                  <w:tcW w:w="3515" w:type="dxa"/>
                  <w:tcBorders>
                    <w:top w:val="single" w:sz="4" w:space="0" w:color="auto"/>
                    <w:left w:val="single" w:sz="4" w:space="0" w:color="auto"/>
                    <w:bottom w:val="single" w:sz="4" w:space="0" w:color="auto"/>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Socialinei aplinkai</w:t>
                  </w:r>
                </w:p>
              </w:tc>
              <w:tc>
                <w:tcPr>
                  <w:tcW w:w="2977" w:type="dxa"/>
                  <w:tcBorders>
                    <w:top w:val="single" w:sz="4" w:space="0" w:color="auto"/>
                    <w:left w:val="single" w:sz="4" w:space="0" w:color="000000"/>
                    <w:bottom w:val="single" w:sz="4" w:space="0" w:color="auto"/>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auto"/>
                    <w:left w:val="single" w:sz="4" w:space="0" w:color="000000"/>
                    <w:bottom w:val="single" w:sz="4" w:space="0" w:color="auto"/>
                    <w:right w:val="single" w:sz="4" w:space="0" w:color="auto"/>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auto"/>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Viešajam administravimui</w:t>
                  </w:r>
                </w:p>
              </w:tc>
              <w:tc>
                <w:tcPr>
                  <w:tcW w:w="2977" w:type="dxa"/>
                  <w:tcBorders>
                    <w:top w:val="single" w:sz="4" w:space="0" w:color="auto"/>
                    <w:left w:val="single" w:sz="4" w:space="0" w:color="000000"/>
                    <w:bottom w:val="single" w:sz="4" w:space="0" w:color="000000"/>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auto"/>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r w:rsidR="008110B7" w:rsidTr="000219CA">
              <w:tc>
                <w:tcPr>
                  <w:tcW w:w="3515" w:type="dxa"/>
                  <w:tcBorders>
                    <w:top w:val="single" w:sz="4" w:space="0" w:color="000000"/>
                    <w:left w:val="single" w:sz="4" w:space="0" w:color="000000"/>
                    <w:bottom w:val="single" w:sz="4" w:space="0" w:color="000000"/>
                    <w:right w:val="single" w:sz="4" w:space="0" w:color="000000"/>
                  </w:tcBorders>
                </w:tcPr>
                <w:p w:rsidR="008110B7" w:rsidRDefault="008110B7" w:rsidP="000219CA">
                  <w:pPr>
                    <w:widowControl w:val="0"/>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CF1687">
                    <w:rPr>
                      <w:rFonts w:eastAsia="Lucida Sans Unicode"/>
                      <w:i/>
                      <w:kern w:val="2"/>
                      <w:lang w:bidi="lo-LA"/>
                    </w:rPr>
                    <w:t>-</w:t>
                  </w:r>
                </w:p>
              </w:tc>
              <w:tc>
                <w:tcPr>
                  <w:tcW w:w="3223" w:type="dxa"/>
                  <w:tcBorders>
                    <w:top w:val="single" w:sz="4" w:space="0" w:color="000000"/>
                    <w:left w:val="single" w:sz="4" w:space="0" w:color="000000"/>
                    <w:bottom w:val="single" w:sz="4" w:space="0" w:color="000000"/>
                    <w:right w:val="single" w:sz="4" w:space="0" w:color="000000"/>
                  </w:tcBorders>
                </w:tcPr>
                <w:p w:rsidR="008110B7" w:rsidRDefault="008110B7" w:rsidP="000219CA">
                  <w:pPr>
                    <w:jc w:val="center"/>
                  </w:pPr>
                  <w:r w:rsidRPr="001724F6">
                    <w:rPr>
                      <w:rFonts w:eastAsia="Lucida Sans Unicode"/>
                      <w:i/>
                      <w:kern w:val="2"/>
                      <w:lang w:bidi="lo-LA"/>
                    </w:rPr>
                    <w:t>-</w:t>
                  </w:r>
                </w:p>
              </w:tc>
            </w:tr>
          </w:tbl>
          <w:p w:rsidR="008110B7" w:rsidRDefault="008110B7" w:rsidP="000219CA">
            <w:pPr>
              <w:widowControl w:val="0"/>
              <w:rPr>
                <w:rFonts w:eastAsia="Lucida Sans Unicode"/>
                <w:kern w:val="2"/>
                <w:lang w:bidi="lo-LA"/>
              </w:rPr>
            </w:pPr>
          </w:p>
          <w:p w:rsidR="008110B7" w:rsidRDefault="008110B7" w:rsidP="000219CA">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8110B7" w:rsidRDefault="008110B7" w:rsidP="000219CA">
            <w:pPr>
              <w:widowControl w:val="0"/>
              <w:rPr>
                <w:rFonts w:eastAsia="Lucida Sans Unicode"/>
                <w:kern w:val="2"/>
              </w:rPr>
            </w:pPr>
          </w:p>
          <w:p w:rsidR="008110B7" w:rsidRDefault="008110B7" w:rsidP="000219CA">
            <w:pPr>
              <w:widowControl w:val="0"/>
              <w:rPr>
                <w:rFonts w:eastAsia="Lucida Sans Unicode"/>
                <w:kern w:val="2"/>
              </w:rPr>
            </w:pPr>
          </w:p>
          <w:p w:rsidR="008110B7" w:rsidRDefault="008110B7" w:rsidP="008110B7">
            <w:pPr>
              <w:widowControl w:val="0"/>
              <w:ind w:firstLine="0"/>
              <w:rPr>
                <w:rFonts w:eastAsia="Lucida Sans Unicode"/>
                <w:kern w:val="2"/>
                <w:lang w:eastAsia="ar-SA"/>
              </w:rPr>
            </w:pPr>
            <w:r>
              <w:rPr>
                <w:rFonts w:eastAsia="Lucida Sans Unicode"/>
                <w:kern w:val="2"/>
              </w:rPr>
              <w:t>Rengėjas:</w:t>
            </w:r>
            <w:r>
              <w:rPr>
                <w:rFonts w:eastAsia="Lucida Sans Unicode"/>
                <w:kern w:val="2"/>
              </w:rPr>
              <w:tab/>
            </w:r>
            <w:r>
              <w:rPr>
                <w:rFonts w:eastAsia="Lucida Sans Unicode"/>
                <w:kern w:val="2"/>
              </w:rPr>
              <w:tab/>
              <w:t xml:space="preserve">                                                    </w:t>
            </w:r>
          </w:p>
          <w:p w:rsidR="008110B7" w:rsidRPr="00D06C3D" w:rsidRDefault="008110B7" w:rsidP="008110B7">
            <w:pPr>
              <w:widowControl w:val="0"/>
              <w:ind w:firstLine="0"/>
              <w:rPr>
                <w:rFonts w:eastAsia="Lucida Sans Unicode" w:cs="Tahoma"/>
                <w:bCs/>
              </w:rPr>
            </w:pPr>
            <w:r>
              <w:rPr>
                <w:rFonts w:eastAsia="Lucida Sans Unicode"/>
                <w:kern w:val="2"/>
              </w:rPr>
              <w:t>Vietos ūkio</w:t>
            </w:r>
            <w:r w:rsidRPr="00D06C3D">
              <w:rPr>
                <w:rFonts w:eastAsia="Lucida Sans Unicode"/>
                <w:kern w:val="2"/>
              </w:rPr>
              <w:t xml:space="preserve"> skyriaus</w:t>
            </w:r>
            <w:r w:rsidRPr="00D06C3D">
              <w:rPr>
                <w:rFonts w:eastAsia="Lucida Sans Unicode" w:cs="Tahoma"/>
                <w:bCs/>
              </w:rPr>
              <w:t xml:space="preserve"> vyriausias specialistas </w:t>
            </w:r>
            <w:r>
              <w:rPr>
                <w:rFonts w:eastAsia="Lucida Sans Unicode" w:cs="Tahoma"/>
                <w:bCs/>
              </w:rPr>
              <w:t xml:space="preserve">                                                          V</w:t>
            </w:r>
            <w:r w:rsidRPr="00D06C3D">
              <w:rPr>
                <w:rFonts w:eastAsia="Lucida Sans Unicode" w:cs="Tahoma"/>
                <w:bCs/>
              </w:rPr>
              <w:t xml:space="preserve">italijus </w:t>
            </w:r>
            <w:proofErr w:type="spellStart"/>
            <w:r w:rsidRPr="00D06C3D">
              <w:rPr>
                <w:rFonts w:eastAsia="Lucida Sans Unicode" w:cs="Tahoma"/>
                <w:bCs/>
              </w:rPr>
              <w:t>Grigorjevas</w:t>
            </w:r>
            <w:proofErr w:type="spellEnd"/>
            <w:r w:rsidRPr="00D06C3D">
              <w:rPr>
                <w:rFonts w:eastAsia="Lucida Sans Unicode" w:cs="Tahoma"/>
                <w:bCs/>
              </w:rPr>
              <w:t xml:space="preserve">     </w:t>
            </w:r>
            <w:r w:rsidRPr="00D06C3D">
              <w:rPr>
                <w:rFonts w:eastAsia="Lucida Sans Unicode" w:cs="Tahoma"/>
                <w:b/>
                <w:bCs/>
              </w:rPr>
              <w:t xml:space="preserve">                                                                             </w:t>
            </w:r>
            <w:r>
              <w:rPr>
                <w:rFonts w:eastAsia="Lucida Sans Unicode" w:cs="Tahoma"/>
                <w:b/>
                <w:bCs/>
              </w:rPr>
              <w:t xml:space="preserve">           </w:t>
            </w:r>
          </w:p>
          <w:p w:rsidR="008110B7" w:rsidRPr="00554A63" w:rsidRDefault="008110B7" w:rsidP="000219CA">
            <w:pPr>
              <w:widowControl w:val="0"/>
              <w:rPr>
                <w:sz w:val="16"/>
                <w:szCs w:val="16"/>
              </w:rPr>
            </w:pPr>
            <w:r>
              <w:rPr>
                <w:rFonts w:eastAsia="Lucida Sans Unicode" w:cs="Tahoma"/>
                <w:b/>
                <w:bCs/>
              </w:rPr>
              <w:t xml:space="preserve">                           </w:t>
            </w:r>
            <w:r w:rsidRPr="00554A63">
              <w:rPr>
                <w:rFonts w:eastAsia="Lucida Sans Unicode" w:cs="Tahoma"/>
                <w:bCs/>
                <w:sz w:val="16"/>
                <w:szCs w:val="16"/>
              </w:rPr>
              <w:t xml:space="preserve">(pareigos)                                                               (parašas)                              </w:t>
            </w:r>
            <w:r>
              <w:rPr>
                <w:rFonts w:eastAsia="Lucida Sans Unicode" w:cs="Tahoma"/>
                <w:bCs/>
                <w:sz w:val="16"/>
                <w:szCs w:val="16"/>
              </w:rPr>
              <w:t xml:space="preserve">    </w:t>
            </w:r>
            <w:r w:rsidRPr="00554A63">
              <w:rPr>
                <w:rFonts w:eastAsia="Lucida Sans Unicode" w:cs="Tahoma"/>
                <w:bCs/>
                <w:sz w:val="16"/>
                <w:szCs w:val="16"/>
              </w:rPr>
              <w:t>(vardas, pavardė)</w:t>
            </w:r>
          </w:p>
          <w:p w:rsidR="008110B7" w:rsidRPr="00554A63" w:rsidRDefault="008110B7" w:rsidP="000219CA">
            <w:pPr>
              <w:rPr>
                <w:sz w:val="16"/>
                <w:szCs w:val="16"/>
              </w:rPr>
            </w:pPr>
          </w:p>
          <w:p w:rsidR="008110B7" w:rsidRDefault="008110B7" w:rsidP="000219CA">
            <w:pPr>
              <w:rPr>
                <w:b/>
                <w:caps/>
              </w:rPr>
            </w:pPr>
          </w:p>
        </w:tc>
      </w:tr>
      <w:tr w:rsidR="008110B7" w:rsidTr="000219CA">
        <w:tc>
          <w:tcPr>
            <w:tcW w:w="10071" w:type="dxa"/>
          </w:tcPr>
          <w:p w:rsidR="008110B7" w:rsidRDefault="008110B7" w:rsidP="000219CA">
            <w:pPr>
              <w:jc w:val="center"/>
              <w:rPr>
                <w:b/>
              </w:rPr>
            </w:pPr>
          </w:p>
        </w:tc>
      </w:tr>
    </w:tbl>
    <w:p w:rsidR="00DD5D8B" w:rsidRDefault="00DD5D8B" w:rsidP="008E68C4">
      <w:pPr>
        <w:rPr>
          <w:sz w:val="23"/>
          <w:szCs w:val="23"/>
        </w:rPr>
      </w:pPr>
    </w:p>
    <w:p w:rsidR="008E68C4" w:rsidRPr="005C7E64" w:rsidRDefault="008E68C4" w:rsidP="008E68C4">
      <w:pPr>
        <w:rPr>
          <w:rFonts w:eastAsia="Calibri"/>
          <w:iCs/>
        </w:rPr>
      </w:pPr>
      <w:r w:rsidRPr="005C7E64">
        <w:rPr>
          <w:rFonts w:eastAsia="Calibri"/>
          <w:iCs/>
        </w:rPr>
        <w:t xml:space="preserve">                    </w:t>
      </w:r>
      <w:r>
        <w:rPr>
          <w:rFonts w:eastAsia="Calibri"/>
          <w:iCs/>
        </w:rPr>
        <w:t xml:space="preserve">                                                  </w:t>
      </w:r>
    </w:p>
    <w:p w:rsidR="008E68C4" w:rsidRDefault="008E68C4" w:rsidP="00AB4545">
      <w:r>
        <w:t xml:space="preserve"> </w:t>
      </w:r>
      <w:bookmarkStart w:id="2" w:name="Text11"/>
      <w:bookmarkEnd w:id="0"/>
      <w:r>
        <w:t xml:space="preserve">  </w:t>
      </w:r>
    </w:p>
    <w:bookmarkEnd w:id="2"/>
    <w:p w:rsidR="008E68C4" w:rsidRPr="00B06AF1" w:rsidRDefault="008E68C4" w:rsidP="008357FF">
      <w:pPr>
        <w:ind w:firstLine="0"/>
      </w:pPr>
    </w:p>
    <w:sectPr w:rsidR="008E68C4" w:rsidRPr="00B06AF1" w:rsidSect="008110B7">
      <w:headerReference w:type="default" r:id="rId8"/>
      <w:pgSz w:w="11906" w:h="16838"/>
      <w:pgMar w:top="81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65" w:rsidRDefault="00795865" w:rsidP="00795865">
      <w:r>
        <w:separator/>
      </w:r>
    </w:p>
  </w:endnote>
  <w:endnote w:type="continuationSeparator" w:id="0">
    <w:p w:rsidR="00795865" w:rsidRDefault="00795865" w:rsidP="0079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65" w:rsidRDefault="00795865" w:rsidP="00795865">
      <w:r>
        <w:separator/>
      </w:r>
    </w:p>
  </w:footnote>
  <w:footnote w:type="continuationSeparator" w:id="0">
    <w:p w:rsidR="00795865" w:rsidRDefault="00795865" w:rsidP="00795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5C" w:rsidRPr="00E2045C" w:rsidRDefault="00EC2538" w:rsidP="00E2045C">
    <w:pPr>
      <w:pStyle w:val="Antrat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F2F"/>
    <w:multiLevelType w:val="hybridMultilevel"/>
    <w:tmpl w:val="2BCCBB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CB818C7"/>
    <w:multiLevelType w:val="hybridMultilevel"/>
    <w:tmpl w:val="A5286046"/>
    <w:lvl w:ilvl="0" w:tplc="C22830B2">
      <w:start w:val="3"/>
      <w:numFmt w:val="decimal"/>
      <w:lvlText w:val="%1."/>
      <w:lvlJc w:val="left"/>
      <w:pPr>
        <w:tabs>
          <w:tab w:val="num" w:pos="927"/>
        </w:tabs>
        <w:ind w:left="927" w:hanging="360"/>
      </w:pPr>
      <w:rPr>
        <w:rFonts w:hint="default"/>
        <w:b/>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65"/>
    <w:rsid w:val="000C77A5"/>
    <w:rsid w:val="000D2585"/>
    <w:rsid w:val="002F275A"/>
    <w:rsid w:val="00422BA9"/>
    <w:rsid w:val="00795865"/>
    <w:rsid w:val="008110B7"/>
    <w:rsid w:val="008357FF"/>
    <w:rsid w:val="008E68C4"/>
    <w:rsid w:val="00A726C1"/>
    <w:rsid w:val="00AB4545"/>
    <w:rsid w:val="00B92F0F"/>
    <w:rsid w:val="00CF2AE2"/>
    <w:rsid w:val="00DD5D8B"/>
    <w:rsid w:val="00EC25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865"/>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795865"/>
    <w:rPr>
      <w:sz w:val="16"/>
    </w:rPr>
  </w:style>
  <w:style w:type="paragraph" w:styleId="Porat">
    <w:name w:val="footer"/>
    <w:basedOn w:val="prastasis"/>
    <w:link w:val="PoratDiagrama"/>
    <w:semiHidden/>
    <w:rsid w:val="00795865"/>
    <w:pPr>
      <w:tabs>
        <w:tab w:val="center" w:pos="4819"/>
        <w:tab w:val="right" w:pos="9638"/>
      </w:tabs>
    </w:pPr>
  </w:style>
  <w:style w:type="character" w:customStyle="1" w:styleId="PoratDiagrama">
    <w:name w:val="Poraštė Diagrama"/>
    <w:basedOn w:val="Numatytasispastraiposriftas"/>
    <w:link w:val="Porat"/>
    <w:semiHidden/>
    <w:rsid w:val="00795865"/>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795865"/>
    <w:pPr>
      <w:tabs>
        <w:tab w:val="center" w:pos="4819"/>
        <w:tab w:val="right" w:pos="9638"/>
      </w:tabs>
    </w:pPr>
  </w:style>
  <w:style w:type="character" w:customStyle="1" w:styleId="AntratsDiagrama">
    <w:name w:val="Antraštės Diagrama"/>
    <w:basedOn w:val="Numatytasispastraiposriftas"/>
    <w:link w:val="Antrats"/>
    <w:uiPriority w:val="99"/>
    <w:rsid w:val="00795865"/>
    <w:rPr>
      <w:rFonts w:ascii="Times New Roman" w:eastAsia="Times New Roman" w:hAnsi="Times New Roman" w:cs="Times New Roman"/>
      <w:sz w:val="24"/>
      <w:szCs w:val="20"/>
    </w:rPr>
  </w:style>
  <w:style w:type="paragraph" w:styleId="Sraopastraipa">
    <w:name w:val="List Paragraph"/>
    <w:basedOn w:val="prastasis"/>
    <w:uiPriority w:val="34"/>
    <w:qFormat/>
    <w:rsid w:val="008E68C4"/>
    <w:pPr>
      <w:ind w:left="720" w:firstLine="0"/>
      <w:contextualSpacing/>
      <w:jc w:val="left"/>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865"/>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795865"/>
    <w:rPr>
      <w:sz w:val="16"/>
    </w:rPr>
  </w:style>
  <w:style w:type="paragraph" w:styleId="Porat">
    <w:name w:val="footer"/>
    <w:basedOn w:val="prastasis"/>
    <w:link w:val="PoratDiagrama"/>
    <w:semiHidden/>
    <w:rsid w:val="00795865"/>
    <w:pPr>
      <w:tabs>
        <w:tab w:val="center" w:pos="4819"/>
        <w:tab w:val="right" w:pos="9638"/>
      </w:tabs>
    </w:pPr>
  </w:style>
  <w:style w:type="character" w:customStyle="1" w:styleId="PoratDiagrama">
    <w:name w:val="Poraštė Diagrama"/>
    <w:basedOn w:val="Numatytasispastraiposriftas"/>
    <w:link w:val="Porat"/>
    <w:semiHidden/>
    <w:rsid w:val="00795865"/>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795865"/>
    <w:pPr>
      <w:tabs>
        <w:tab w:val="center" w:pos="4819"/>
        <w:tab w:val="right" w:pos="9638"/>
      </w:tabs>
    </w:pPr>
  </w:style>
  <w:style w:type="character" w:customStyle="1" w:styleId="AntratsDiagrama">
    <w:name w:val="Antraštės Diagrama"/>
    <w:basedOn w:val="Numatytasispastraiposriftas"/>
    <w:link w:val="Antrats"/>
    <w:uiPriority w:val="99"/>
    <w:rsid w:val="00795865"/>
    <w:rPr>
      <w:rFonts w:ascii="Times New Roman" w:eastAsia="Times New Roman" w:hAnsi="Times New Roman" w:cs="Times New Roman"/>
      <w:sz w:val="24"/>
      <w:szCs w:val="20"/>
    </w:rPr>
  </w:style>
  <w:style w:type="paragraph" w:styleId="Sraopastraipa">
    <w:name w:val="List Paragraph"/>
    <w:basedOn w:val="prastasis"/>
    <w:uiPriority w:val="34"/>
    <w:qFormat/>
    <w:rsid w:val="008E68C4"/>
    <w:pPr>
      <w:ind w:left="720" w:firstLine="0"/>
      <w:contextualSpacing/>
      <w:jc w:val="left"/>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4000AE2</Template>
  <TotalTime>15</TotalTime>
  <Pages>3</Pages>
  <Words>5683</Words>
  <Characters>3240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Pavardenis</dc:creator>
  <cp:lastModifiedBy>Jovita Šumskienė</cp:lastModifiedBy>
  <cp:revision>6</cp:revision>
  <dcterms:created xsi:type="dcterms:W3CDTF">2020-07-16T11:55:00Z</dcterms:created>
  <dcterms:modified xsi:type="dcterms:W3CDTF">2020-07-17T07:20:00Z</dcterms:modified>
</cp:coreProperties>
</file>