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62" w:rsidRPr="001401C8" w:rsidRDefault="00B10662" w:rsidP="00B10662">
      <w:pPr>
        <w:jc w:val="right"/>
        <w:rPr>
          <w:b/>
        </w:rPr>
      </w:pPr>
      <w:r w:rsidRPr="001401C8">
        <w:rPr>
          <w:b/>
        </w:rPr>
        <w:t>Projektas</w:t>
      </w:r>
    </w:p>
    <w:p w:rsidR="005C2D0E" w:rsidRPr="001401C8" w:rsidRDefault="005C2D0E" w:rsidP="005C2D0E">
      <w:pPr>
        <w:jc w:val="center"/>
        <w:rPr>
          <w:b/>
          <w:sz w:val="28"/>
        </w:rPr>
      </w:pPr>
      <w:r w:rsidRPr="001401C8">
        <w:rPr>
          <w:b/>
          <w:sz w:val="28"/>
        </w:rPr>
        <w:t>PLUNGĖS RAJONO SAVIVALDYBĖS</w:t>
      </w:r>
    </w:p>
    <w:p w:rsidR="005C2D0E" w:rsidRPr="001401C8" w:rsidRDefault="005C2D0E" w:rsidP="005C2D0E">
      <w:pPr>
        <w:jc w:val="center"/>
        <w:rPr>
          <w:b/>
          <w:sz w:val="28"/>
        </w:rPr>
      </w:pPr>
      <w:r w:rsidRPr="001401C8">
        <w:rPr>
          <w:b/>
          <w:sz w:val="28"/>
        </w:rPr>
        <w:t>TARYBA</w:t>
      </w:r>
    </w:p>
    <w:p w:rsidR="005C2D0E" w:rsidRPr="001401C8" w:rsidRDefault="005C2D0E" w:rsidP="005C2D0E">
      <w:pPr>
        <w:jc w:val="center"/>
        <w:rPr>
          <w:b/>
        </w:rPr>
      </w:pPr>
    </w:p>
    <w:p w:rsidR="005C2D0E" w:rsidRPr="001401C8" w:rsidRDefault="005C2D0E" w:rsidP="005C2D0E">
      <w:pPr>
        <w:jc w:val="center"/>
        <w:rPr>
          <w:rStyle w:val="Komentaronuoroda"/>
          <w:sz w:val="28"/>
          <w:szCs w:val="28"/>
        </w:rPr>
      </w:pPr>
      <w:r w:rsidRPr="001401C8">
        <w:rPr>
          <w:rStyle w:val="Komentaronuoroda"/>
          <w:b/>
          <w:sz w:val="28"/>
          <w:szCs w:val="28"/>
        </w:rPr>
        <w:t>SPRENDIMAS</w:t>
      </w:r>
    </w:p>
    <w:p w:rsidR="005C2D0E" w:rsidRPr="001401C8" w:rsidRDefault="005C2D0E" w:rsidP="005C2D0E">
      <w:pPr>
        <w:tabs>
          <w:tab w:val="left" w:pos="0"/>
        </w:tabs>
        <w:jc w:val="center"/>
        <w:rPr>
          <w:rStyle w:val="Komentaronuoroda"/>
          <w:b/>
          <w:sz w:val="28"/>
          <w:szCs w:val="28"/>
        </w:rPr>
      </w:pPr>
      <w:r w:rsidRPr="001401C8">
        <w:rPr>
          <w:rStyle w:val="Komentaronuoroda"/>
          <w:b/>
          <w:sz w:val="28"/>
          <w:szCs w:val="28"/>
        </w:rPr>
        <w:t xml:space="preserve">DĖL </w:t>
      </w:r>
      <w:r w:rsidR="00B6470A">
        <w:rPr>
          <w:rStyle w:val="Komentaronuoroda"/>
          <w:b/>
          <w:sz w:val="28"/>
          <w:szCs w:val="28"/>
        </w:rPr>
        <w:t xml:space="preserve">PRITARIMO </w:t>
      </w:r>
      <w:r w:rsidRPr="001401C8">
        <w:rPr>
          <w:rStyle w:val="Komentaronuoroda"/>
          <w:b/>
          <w:sz w:val="28"/>
          <w:szCs w:val="28"/>
        </w:rPr>
        <w:t xml:space="preserve">UAB  „PLUNGĖS VANDENYS“ </w:t>
      </w:r>
      <w:r w:rsidRPr="001401C8">
        <w:rPr>
          <w:b/>
          <w:sz w:val="28"/>
          <w:szCs w:val="28"/>
        </w:rPr>
        <w:t xml:space="preserve"> </w:t>
      </w:r>
      <w:r w:rsidR="00E417F5">
        <w:rPr>
          <w:b/>
          <w:sz w:val="28"/>
          <w:szCs w:val="28"/>
        </w:rPr>
        <w:t xml:space="preserve">PROJEKTO „GERIAMOJO VANDENS TIEKIMO IR NUOTEKŲ SURINKIMO TINKLŲ PLĖTRA PLUNGĖS MIESTE“ </w:t>
      </w:r>
      <w:r w:rsidR="007B5C5B">
        <w:rPr>
          <w:b/>
          <w:sz w:val="28"/>
          <w:szCs w:val="28"/>
        </w:rPr>
        <w:t>VYKDYM</w:t>
      </w:r>
      <w:r w:rsidR="00B6470A">
        <w:rPr>
          <w:b/>
          <w:sz w:val="28"/>
          <w:szCs w:val="28"/>
        </w:rPr>
        <w:t>UI</w:t>
      </w:r>
    </w:p>
    <w:p w:rsidR="005C2D0E" w:rsidRPr="001401C8" w:rsidRDefault="005C2D0E" w:rsidP="005C2D0E">
      <w:pPr>
        <w:jc w:val="center"/>
        <w:rPr>
          <w:rStyle w:val="Komentaronuoroda"/>
          <w:sz w:val="28"/>
          <w:szCs w:val="28"/>
        </w:rPr>
      </w:pPr>
    </w:p>
    <w:p w:rsidR="005C2D0E" w:rsidRPr="001401C8" w:rsidRDefault="00EC55A3" w:rsidP="005C2D0E">
      <w:pPr>
        <w:jc w:val="center"/>
        <w:rPr>
          <w:rStyle w:val="Komentaronuoroda"/>
          <w:b/>
          <w:sz w:val="24"/>
        </w:rPr>
      </w:pPr>
      <w:r>
        <w:rPr>
          <w:rStyle w:val="Komentaronuoroda"/>
          <w:sz w:val="24"/>
        </w:rPr>
        <w:t>2019 m. lapkričio</w:t>
      </w:r>
      <w:r w:rsidR="005C2D0E" w:rsidRPr="001401C8">
        <w:rPr>
          <w:rStyle w:val="Komentaronuoroda"/>
          <w:sz w:val="24"/>
        </w:rPr>
        <w:t xml:space="preserve"> 28 d. Nr. T1-</w:t>
      </w:r>
    </w:p>
    <w:p w:rsidR="005C2D0E" w:rsidRPr="001401C8" w:rsidRDefault="005C2D0E" w:rsidP="005C2D0E">
      <w:pPr>
        <w:jc w:val="center"/>
        <w:rPr>
          <w:rStyle w:val="Komentaronuoroda"/>
          <w:sz w:val="24"/>
        </w:rPr>
      </w:pPr>
      <w:r w:rsidRPr="001401C8">
        <w:rPr>
          <w:rStyle w:val="Komentaronuoroda"/>
          <w:sz w:val="24"/>
        </w:rPr>
        <w:t>Plungė</w:t>
      </w:r>
    </w:p>
    <w:p w:rsidR="005C2D0E" w:rsidRPr="001401C8" w:rsidRDefault="005C2D0E" w:rsidP="005C2D0E">
      <w:pPr>
        <w:jc w:val="center"/>
        <w:rPr>
          <w:rStyle w:val="Komentaronuoroda"/>
          <w:sz w:val="24"/>
        </w:rPr>
      </w:pPr>
    </w:p>
    <w:p w:rsidR="005C2D0E" w:rsidRPr="001401C8" w:rsidRDefault="005C2D0E" w:rsidP="00EC55A3">
      <w:pPr>
        <w:ind w:firstLine="720"/>
        <w:jc w:val="both"/>
      </w:pPr>
      <w:r w:rsidRPr="001401C8">
        <w:t xml:space="preserve">Vadovaudamasi Lietuvos Respublikos vietos savivaldos įstatymo 16 straipsnio 2 dalies 40 punktu, Lietuvos Respublikos geriamojo vandens tiekimo ir nuotekų tvarkymo įstatymo 10 straipsnio </w:t>
      </w:r>
      <w:r w:rsidR="006C449B">
        <w:t>1</w:t>
      </w:r>
      <w:r w:rsidR="005D78A8">
        <w:t xml:space="preserve"> </w:t>
      </w:r>
      <w:r w:rsidR="006C449B">
        <w:t>dalies 1</w:t>
      </w:r>
      <w:r w:rsidRPr="001401C8">
        <w:t xml:space="preserve"> punkt</w:t>
      </w:r>
      <w:r w:rsidR="002A7B21" w:rsidRPr="001401C8">
        <w:t>u</w:t>
      </w:r>
      <w:r w:rsidR="000220E0" w:rsidRPr="001401C8">
        <w:t xml:space="preserve"> ir</w:t>
      </w:r>
      <w:r w:rsidRPr="001401C8">
        <w:t xml:space="preserve"> atsižvelgdama į UAB „Plungės vandenys“ valdybos 2019 m. </w:t>
      </w:r>
      <w:r w:rsidR="00FB357B">
        <w:t xml:space="preserve">lapkričio </w:t>
      </w:r>
      <w:r w:rsidR="000220E0" w:rsidRPr="001401C8">
        <w:t>2</w:t>
      </w:r>
      <w:r w:rsidR="00FB357B">
        <w:t>5</w:t>
      </w:r>
      <w:r w:rsidRPr="001401C8">
        <w:t xml:space="preserve"> d. posėdžio protokol</w:t>
      </w:r>
      <w:r w:rsidR="000220E0" w:rsidRPr="001401C8">
        <w:t>ą</w:t>
      </w:r>
      <w:r w:rsidRPr="001401C8">
        <w:t xml:space="preserve"> Nr.</w:t>
      </w:r>
      <w:r w:rsidR="000220E0" w:rsidRPr="001401C8">
        <w:t xml:space="preserve"> </w:t>
      </w:r>
      <w:r w:rsidR="00FB357B">
        <w:t>8</w:t>
      </w:r>
      <w:r w:rsidRPr="001401C8">
        <w:t xml:space="preserve">, Plungės rajono savivaldybės taryba n u  s p r e n d ž  i a: </w:t>
      </w:r>
    </w:p>
    <w:p w:rsidR="007B5C5B" w:rsidRDefault="00D55F1F" w:rsidP="00EC55A3">
      <w:pPr>
        <w:tabs>
          <w:tab w:val="left" w:pos="851"/>
        </w:tabs>
        <w:ind w:firstLine="720"/>
        <w:jc w:val="both"/>
      </w:pPr>
      <w:r>
        <w:t xml:space="preserve">1. </w:t>
      </w:r>
      <w:r w:rsidR="007B5C5B" w:rsidRPr="007B5C5B">
        <w:t xml:space="preserve">Pritarti </w:t>
      </w:r>
      <w:r w:rsidR="007B5C5B">
        <w:t xml:space="preserve">projekto </w:t>
      </w:r>
      <w:r w:rsidR="007B5C5B" w:rsidRPr="007B5C5B">
        <w:t>„Geriamojo vandens tiekimo ir nuotekų surinkimo tinklų plėtra Plungės mieste“</w:t>
      </w:r>
      <w:r w:rsidR="005D78A8">
        <w:t>, teikiam</w:t>
      </w:r>
      <w:r w:rsidR="00C17BD5">
        <w:t>o</w:t>
      </w:r>
      <w:r w:rsidR="005D78A8">
        <w:t xml:space="preserve"> </w:t>
      </w:r>
      <w:r w:rsidR="007B5C5B">
        <w:t>finans</w:t>
      </w:r>
      <w:r w:rsidR="005D78A8">
        <w:t>avimui gauti</w:t>
      </w:r>
      <w:r w:rsidR="007B5C5B">
        <w:t xml:space="preserve"> pagal priemonę Nr.</w:t>
      </w:r>
      <w:r w:rsidR="005D78A8">
        <w:t xml:space="preserve"> </w:t>
      </w:r>
      <w:r w:rsidR="007B5C5B">
        <w:t xml:space="preserve">05.3.2.-VIPA-T-024 „Nuotekų surinkimo plėtra“ ir priemonę </w:t>
      </w:r>
      <w:r w:rsidR="005D78A8">
        <w:t xml:space="preserve">Nr. </w:t>
      </w:r>
      <w:r w:rsidR="008A76FE">
        <w:t>05.3.2-FM-F-015 „</w:t>
      </w:r>
      <w:proofErr w:type="spellStart"/>
      <w:r w:rsidR="008A76FE">
        <w:t>Vandentvarkos</w:t>
      </w:r>
      <w:proofErr w:type="spellEnd"/>
      <w:r w:rsidR="008A76FE">
        <w:t xml:space="preserve"> fondas“</w:t>
      </w:r>
      <w:r w:rsidR="005D78A8">
        <w:t>,</w:t>
      </w:r>
      <w:r w:rsidR="008A76FE">
        <w:t xml:space="preserve"> </w:t>
      </w:r>
      <w:r w:rsidR="007B5C5B" w:rsidRPr="007B5C5B">
        <w:t>vykdym</w:t>
      </w:r>
      <w:r w:rsidR="00054830">
        <w:t>ui</w:t>
      </w:r>
      <w:r w:rsidR="00FA25A4">
        <w:t>.</w:t>
      </w:r>
    </w:p>
    <w:p w:rsidR="00666555" w:rsidRPr="007B5C5B" w:rsidRDefault="00D55F1F" w:rsidP="00EC55A3">
      <w:pPr>
        <w:tabs>
          <w:tab w:val="left" w:pos="851"/>
        </w:tabs>
        <w:ind w:firstLine="720"/>
        <w:jc w:val="both"/>
      </w:pPr>
      <w:r>
        <w:t xml:space="preserve">2. </w:t>
      </w:r>
      <w:r w:rsidR="00666555">
        <w:t>Papildyti UAB „Plungės vandenys“ 2018-2020 m. veiklos ir plėtros planą</w:t>
      </w:r>
      <w:r w:rsidR="009F77E5">
        <w:t>, patvirtint</w:t>
      </w:r>
      <w:r w:rsidR="005D78A8">
        <w:t>ą</w:t>
      </w:r>
      <w:r w:rsidR="009F77E5">
        <w:t xml:space="preserve"> Plungės rajono savivaldybės tarybos 2018 m. rugsėjo 27 d. sprendimu Nr. T1-203 „Dėl UAB „Plungės vandenys“ 2018-2020 metų veiklos-plėtros plano patvirtinimo“, </w:t>
      </w:r>
      <w:r w:rsidR="00666555">
        <w:t>projekto</w:t>
      </w:r>
      <w:r w:rsidR="00554F0E">
        <w:t xml:space="preserve"> </w:t>
      </w:r>
      <w:r w:rsidR="005D78A8">
        <w:t>„</w:t>
      </w:r>
      <w:r w:rsidR="005D78A8" w:rsidRPr="007B5C5B">
        <w:t>Geriamojo vandens tiekimo ir nuotekų surinkimo tinklų plėtra Plungės mieste“</w:t>
      </w:r>
      <w:r w:rsidR="005D78A8">
        <w:t xml:space="preserve"> </w:t>
      </w:r>
      <w:r w:rsidR="00554F0E">
        <w:t>vykdymo plane numatyt</w:t>
      </w:r>
      <w:r w:rsidR="005D78A8">
        <w:t>omis</w:t>
      </w:r>
      <w:r w:rsidR="00554F0E">
        <w:t xml:space="preserve"> </w:t>
      </w:r>
      <w:r w:rsidR="00C17BD5">
        <w:t xml:space="preserve">2020 metais </w:t>
      </w:r>
      <w:r w:rsidR="00554F0E">
        <w:t>investicij</w:t>
      </w:r>
      <w:r w:rsidR="005D78A8">
        <w:t>omis</w:t>
      </w:r>
      <w:r w:rsidR="00554F0E">
        <w:t xml:space="preserve"> </w:t>
      </w:r>
      <w:r w:rsidR="00FA25A4">
        <w:t>(</w:t>
      </w:r>
      <w:r w:rsidR="00C17BD5">
        <w:t>projekto vykdymo planas – sprendimo</w:t>
      </w:r>
      <w:r w:rsidR="005D78A8">
        <w:t xml:space="preserve"> </w:t>
      </w:r>
      <w:r w:rsidR="00FA25A4">
        <w:t>pri</w:t>
      </w:r>
      <w:r w:rsidR="005D78A8">
        <w:t>ed</w:t>
      </w:r>
      <w:r w:rsidR="00C17BD5">
        <w:t>e</w:t>
      </w:r>
      <w:r w:rsidR="00FA25A4">
        <w:t>).</w:t>
      </w:r>
    </w:p>
    <w:p w:rsidR="005C2D0E" w:rsidRPr="001401C8" w:rsidRDefault="005C2D0E"/>
    <w:p w:rsidR="005C2D0E" w:rsidRPr="001401C8" w:rsidRDefault="005C2D0E"/>
    <w:p w:rsidR="005C2D0E" w:rsidRPr="001401C8" w:rsidRDefault="005C2D0E" w:rsidP="005C2D0E">
      <w:pPr>
        <w:jc w:val="both"/>
        <w:rPr>
          <w:lang w:eastAsia="en-US"/>
        </w:rPr>
      </w:pPr>
      <w:r w:rsidRPr="001401C8">
        <w:t xml:space="preserve">Savivaldybės meras                                                                                            </w:t>
      </w:r>
    </w:p>
    <w:p w:rsidR="005C2D0E" w:rsidRPr="001401C8" w:rsidRDefault="005C2D0E" w:rsidP="005C2D0E">
      <w:pPr>
        <w:jc w:val="both"/>
        <w:rPr>
          <w:lang w:eastAsia="en-US"/>
        </w:rPr>
      </w:pPr>
    </w:p>
    <w:p w:rsidR="005C2D0E" w:rsidRPr="001401C8" w:rsidRDefault="005C2D0E" w:rsidP="005C2D0E">
      <w:pPr>
        <w:jc w:val="both"/>
        <w:rPr>
          <w:lang w:eastAsia="en-US"/>
        </w:rPr>
      </w:pPr>
    </w:p>
    <w:p w:rsidR="005C2D0E" w:rsidRPr="001401C8" w:rsidRDefault="005C2D0E" w:rsidP="005C2D0E">
      <w:pPr>
        <w:jc w:val="both"/>
        <w:rPr>
          <w:lang w:eastAsia="en-US"/>
        </w:rPr>
      </w:pPr>
    </w:p>
    <w:p w:rsidR="005C2D0E" w:rsidRPr="001401C8" w:rsidRDefault="005C2D0E" w:rsidP="005C2D0E">
      <w:pPr>
        <w:jc w:val="both"/>
        <w:rPr>
          <w:lang w:eastAsia="en-US"/>
        </w:rPr>
      </w:pPr>
      <w:r w:rsidRPr="001401C8">
        <w:rPr>
          <w:lang w:eastAsia="en-US"/>
        </w:rPr>
        <w:t>SUDERINTA:</w:t>
      </w:r>
    </w:p>
    <w:p w:rsidR="005C2D0E" w:rsidRPr="001401C8" w:rsidRDefault="005C2D0E" w:rsidP="005C2D0E">
      <w:pPr>
        <w:jc w:val="both"/>
        <w:rPr>
          <w:lang w:eastAsia="en-US"/>
        </w:rPr>
      </w:pPr>
      <w:r w:rsidRPr="001401C8">
        <w:rPr>
          <w:lang w:eastAsia="en-US"/>
        </w:rPr>
        <w:t>Administracijos direktorius M. Kaunas</w:t>
      </w:r>
    </w:p>
    <w:p w:rsidR="005C2D0E" w:rsidRPr="001401C8" w:rsidRDefault="005C2D0E" w:rsidP="005C2D0E">
      <w:pPr>
        <w:jc w:val="both"/>
        <w:rPr>
          <w:lang w:eastAsia="en-US"/>
        </w:rPr>
      </w:pPr>
    </w:p>
    <w:p w:rsidR="005C2D0E" w:rsidRPr="001401C8" w:rsidRDefault="005C2D0E" w:rsidP="005C2D0E">
      <w:pPr>
        <w:jc w:val="both"/>
        <w:rPr>
          <w:lang w:eastAsia="en-US"/>
        </w:rPr>
      </w:pPr>
      <w:r w:rsidRPr="001401C8">
        <w:rPr>
          <w:lang w:eastAsia="en-US"/>
        </w:rPr>
        <w:t xml:space="preserve">Laikinai einantis Vietos ūkio  skyriaus vedėjo pareigas Arvydas Liutika  </w:t>
      </w:r>
    </w:p>
    <w:p w:rsidR="005C2D0E" w:rsidRPr="001401C8" w:rsidRDefault="005C2D0E" w:rsidP="005C2D0E">
      <w:pPr>
        <w:jc w:val="both"/>
        <w:rPr>
          <w:lang w:eastAsia="en-US"/>
        </w:rPr>
      </w:pPr>
    </w:p>
    <w:p w:rsidR="005C2D0E" w:rsidRPr="001401C8" w:rsidRDefault="005C2D0E" w:rsidP="005C2D0E">
      <w:pPr>
        <w:jc w:val="both"/>
        <w:rPr>
          <w:lang w:eastAsia="en-US"/>
        </w:rPr>
      </w:pPr>
      <w:r w:rsidRPr="001401C8">
        <w:rPr>
          <w:lang w:eastAsia="en-US"/>
        </w:rPr>
        <w:t xml:space="preserve">Kalbos tvarkytojas A. Eidukaitis </w:t>
      </w:r>
    </w:p>
    <w:p w:rsidR="005C2D0E" w:rsidRPr="001401C8" w:rsidRDefault="005C2D0E" w:rsidP="005C2D0E">
      <w:pPr>
        <w:jc w:val="both"/>
        <w:rPr>
          <w:lang w:eastAsia="en-US"/>
        </w:rPr>
      </w:pPr>
    </w:p>
    <w:p w:rsidR="005C2D0E" w:rsidRPr="001401C8" w:rsidRDefault="005C2D0E" w:rsidP="005C2D0E">
      <w:pPr>
        <w:jc w:val="both"/>
        <w:rPr>
          <w:lang w:eastAsia="en-US"/>
        </w:rPr>
      </w:pPr>
      <w:r w:rsidRPr="001401C8">
        <w:rPr>
          <w:lang w:eastAsia="en-US"/>
        </w:rPr>
        <w:t xml:space="preserve">Juridinio ir personalo administravimo skyriaus vedėjas V. Tumas </w:t>
      </w:r>
    </w:p>
    <w:p w:rsidR="007B3D13" w:rsidRPr="001401C8" w:rsidRDefault="007B3D13" w:rsidP="005C2D0E">
      <w:pPr>
        <w:jc w:val="both"/>
        <w:rPr>
          <w:lang w:eastAsia="en-US"/>
        </w:rPr>
      </w:pPr>
    </w:p>
    <w:p w:rsidR="007B3D13" w:rsidRPr="001401C8" w:rsidRDefault="007B3D13" w:rsidP="005C2D0E">
      <w:pPr>
        <w:jc w:val="both"/>
        <w:rPr>
          <w:lang w:eastAsia="en-US"/>
        </w:rPr>
      </w:pPr>
    </w:p>
    <w:p w:rsidR="007B3D13" w:rsidRPr="001401C8" w:rsidRDefault="007B3D13" w:rsidP="005C2D0E">
      <w:pPr>
        <w:jc w:val="both"/>
        <w:rPr>
          <w:lang w:eastAsia="en-US"/>
        </w:rPr>
      </w:pPr>
    </w:p>
    <w:p w:rsidR="007B3D13" w:rsidRDefault="007B3D13" w:rsidP="005C2D0E">
      <w:pPr>
        <w:jc w:val="both"/>
        <w:rPr>
          <w:lang w:eastAsia="en-US"/>
        </w:rPr>
      </w:pPr>
    </w:p>
    <w:p w:rsidR="00054830" w:rsidRDefault="00054830" w:rsidP="005C2D0E">
      <w:pPr>
        <w:jc w:val="both"/>
        <w:rPr>
          <w:lang w:eastAsia="en-US"/>
        </w:rPr>
      </w:pPr>
    </w:p>
    <w:p w:rsidR="00054830" w:rsidRPr="001401C8" w:rsidRDefault="00054830" w:rsidP="005C2D0E">
      <w:pPr>
        <w:jc w:val="both"/>
        <w:rPr>
          <w:lang w:eastAsia="en-US"/>
        </w:rPr>
      </w:pPr>
    </w:p>
    <w:p w:rsidR="007B5C5B" w:rsidRPr="001401C8" w:rsidRDefault="007B5C5B" w:rsidP="005C2D0E">
      <w:pPr>
        <w:jc w:val="both"/>
        <w:rPr>
          <w:lang w:eastAsia="en-US"/>
        </w:rPr>
      </w:pPr>
    </w:p>
    <w:p w:rsidR="00B10662" w:rsidRPr="001401C8" w:rsidRDefault="00B10662" w:rsidP="005C2D0E">
      <w:pPr>
        <w:jc w:val="both"/>
        <w:rPr>
          <w:lang w:eastAsia="en-US"/>
        </w:rPr>
      </w:pPr>
    </w:p>
    <w:p w:rsidR="005C2D0E" w:rsidRPr="001401C8" w:rsidRDefault="005C2D0E" w:rsidP="005C2D0E">
      <w:pPr>
        <w:jc w:val="both"/>
        <w:rPr>
          <w:lang w:eastAsia="en-US"/>
        </w:rPr>
      </w:pPr>
    </w:p>
    <w:p w:rsidR="005C2D0E" w:rsidRPr="001401C8" w:rsidRDefault="005C2D0E" w:rsidP="005C2D0E">
      <w:pPr>
        <w:jc w:val="both"/>
        <w:rPr>
          <w:lang w:eastAsia="en-US"/>
        </w:rPr>
      </w:pPr>
      <w:r w:rsidRPr="001401C8">
        <w:rPr>
          <w:lang w:eastAsia="en-US"/>
        </w:rPr>
        <w:t xml:space="preserve">Sprendimą rengė laikinai einantis Vietos ūkio  skyriaus vedėjo pareigas Arvydas Liutika  </w:t>
      </w:r>
    </w:p>
    <w:p w:rsidR="006C449B" w:rsidRDefault="006C449B" w:rsidP="006C449B">
      <w:pPr>
        <w:rPr>
          <w:b/>
          <w:bCs/>
        </w:rPr>
      </w:pPr>
      <w:r>
        <w:rPr>
          <w:b/>
          <w:bCs/>
        </w:rPr>
        <w:t xml:space="preserve">                                 </w:t>
      </w:r>
    </w:p>
    <w:p w:rsidR="006C449B" w:rsidRDefault="006C449B" w:rsidP="006C449B">
      <w:pPr>
        <w:rPr>
          <w:b/>
          <w:bCs/>
        </w:rPr>
      </w:pPr>
    </w:p>
    <w:p w:rsidR="006C449B" w:rsidRDefault="006C449B" w:rsidP="006C449B">
      <w:pPr>
        <w:rPr>
          <w:b/>
          <w:bCs/>
        </w:rPr>
      </w:pPr>
    </w:p>
    <w:p w:rsidR="00EC55A3" w:rsidRDefault="00D55F1F" w:rsidP="004D6147">
      <w:pPr>
        <w:ind w:left="5184"/>
        <w:rPr>
          <w:bCs/>
        </w:rPr>
      </w:pPr>
      <w:r w:rsidRPr="004D6147">
        <w:rPr>
          <w:bCs/>
        </w:rPr>
        <w:lastRenderedPageBreak/>
        <w:t>Plungės rajono savivaldybės</w:t>
      </w:r>
    </w:p>
    <w:p w:rsidR="00EC55A3" w:rsidRDefault="00D55F1F" w:rsidP="00EC55A3">
      <w:pPr>
        <w:ind w:left="5184"/>
        <w:rPr>
          <w:bCs/>
        </w:rPr>
      </w:pPr>
      <w:r w:rsidRPr="004D6147">
        <w:rPr>
          <w:bCs/>
        </w:rPr>
        <w:t xml:space="preserve">tarybos </w:t>
      </w:r>
      <w:r w:rsidR="006C449B" w:rsidRPr="004D6147">
        <w:rPr>
          <w:bCs/>
        </w:rPr>
        <w:t>201</w:t>
      </w:r>
      <w:r w:rsidRPr="004D6147">
        <w:rPr>
          <w:bCs/>
        </w:rPr>
        <w:t xml:space="preserve">9 m. lapkričio 28 d. </w:t>
      </w:r>
    </w:p>
    <w:p w:rsidR="00EC55A3" w:rsidRDefault="00EC55A3" w:rsidP="00EC55A3">
      <w:pPr>
        <w:ind w:left="5184"/>
        <w:rPr>
          <w:bCs/>
        </w:rPr>
      </w:pPr>
      <w:r>
        <w:rPr>
          <w:bCs/>
        </w:rPr>
        <w:t>sprendimo</w:t>
      </w:r>
      <w:r w:rsidR="00D55F1F" w:rsidRPr="004D6147">
        <w:rPr>
          <w:bCs/>
        </w:rPr>
        <w:t xml:space="preserve"> Nr. </w:t>
      </w:r>
      <w:r w:rsidR="005D78A8">
        <w:rPr>
          <w:bCs/>
        </w:rPr>
        <w:t>T1-</w:t>
      </w:r>
    </w:p>
    <w:p w:rsidR="00B10662" w:rsidRPr="004D6147" w:rsidRDefault="00D55F1F" w:rsidP="00EC55A3">
      <w:pPr>
        <w:ind w:left="5184"/>
        <w:rPr>
          <w:bCs/>
        </w:rPr>
      </w:pPr>
      <w:r w:rsidRPr="004D6147">
        <w:rPr>
          <w:bCs/>
        </w:rPr>
        <w:t>p</w:t>
      </w:r>
      <w:r w:rsidR="00B10662" w:rsidRPr="004D6147">
        <w:rPr>
          <w:bCs/>
        </w:rPr>
        <w:t>riedas</w:t>
      </w:r>
    </w:p>
    <w:p w:rsidR="00D55F1F" w:rsidRPr="004D6147" w:rsidRDefault="00D55F1F" w:rsidP="00FA25A4">
      <w:pPr>
        <w:jc w:val="center"/>
        <w:rPr>
          <w:bCs/>
        </w:rPr>
      </w:pPr>
    </w:p>
    <w:p w:rsidR="006F41DD" w:rsidRPr="001401C8" w:rsidRDefault="007B5C5B" w:rsidP="00FA25A4">
      <w:pPr>
        <w:jc w:val="center"/>
        <w:rPr>
          <w:b/>
          <w:bCs/>
        </w:rPr>
      </w:pPr>
      <w:r>
        <w:rPr>
          <w:b/>
          <w:bCs/>
        </w:rPr>
        <w:t>Projekto „Geriamojo vandens tiekimo ir nuotekų surinkimo tinklų plėtra Plungės mieste“ vykdymo planas</w:t>
      </w:r>
    </w:p>
    <w:p w:rsidR="006F41DD" w:rsidRPr="001401C8" w:rsidRDefault="006F41DD"/>
    <w:tbl>
      <w:tblPr>
        <w:tblW w:w="10338"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58"/>
        <w:gridCol w:w="709"/>
        <w:gridCol w:w="709"/>
        <w:gridCol w:w="708"/>
        <w:gridCol w:w="709"/>
        <w:gridCol w:w="851"/>
        <w:gridCol w:w="708"/>
        <w:gridCol w:w="709"/>
        <w:gridCol w:w="709"/>
        <w:gridCol w:w="709"/>
        <w:gridCol w:w="850"/>
      </w:tblGrid>
      <w:tr w:rsidR="00B10662" w:rsidRPr="001401C8" w:rsidTr="00EC55A3">
        <w:trPr>
          <w:trHeight w:val="231"/>
        </w:trPr>
        <w:tc>
          <w:tcPr>
            <w:tcW w:w="709" w:type="dxa"/>
            <w:vMerge w:val="restart"/>
            <w:shd w:val="clear" w:color="auto" w:fill="auto"/>
            <w:vAlign w:val="center"/>
            <w:hideMark/>
          </w:tcPr>
          <w:p w:rsidR="0010306C" w:rsidRPr="0010306C" w:rsidRDefault="0010306C" w:rsidP="0010306C">
            <w:pPr>
              <w:jc w:val="center"/>
              <w:rPr>
                <w:sz w:val="18"/>
                <w:szCs w:val="18"/>
              </w:rPr>
            </w:pPr>
            <w:r w:rsidRPr="0010306C">
              <w:rPr>
                <w:sz w:val="18"/>
                <w:szCs w:val="18"/>
              </w:rPr>
              <w:t>Eil. Nr.</w:t>
            </w:r>
          </w:p>
        </w:tc>
        <w:tc>
          <w:tcPr>
            <w:tcW w:w="225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Įsigytas (atstatytas) ilgalaikis</w:t>
            </w:r>
          </w:p>
        </w:tc>
        <w:tc>
          <w:tcPr>
            <w:tcW w:w="709"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right"/>
              <w:rPr>
                <w:b/>
                <w:bCs/>
                <w:sz w:val="18"/>
                <w:szCs w:val="18"/>
              </w:rPr>
            </w:pPr>
            <w:r w:rsidRPr="0010306C">
              <w:rPr>
                <w:b/>
                <w:bCs/>
                <w:sz w:val="18"/>
                <w:szCs w:val="18"/>
              </w:rPr>
              <w:t>2020</w:t>
            </w:r>
          </w:p>
        </w:tc>
        <w:tc>
          <w:tcPr>
            <w:tcW w:w="708" w:type="dxa"/>
            <w:shd w:val="clear" w:color="auto" w:fill="auto"/>
            <w:noWrap/>
            <w:vAlign w:val="center"/>
            <w:hideMark/>
          </w:tcPr>
          <w:p w:rsidR="0010306C" w:rsidRPr="0010306C" w:rsidRDefault="0010306C" w:rsidP="00B10662">
            <w:pPr>
              <w:jc w:val="center"/>
              <w:rPr>
                <w:b/>
                <w:bCs/>
                <w:sz w:val="18"/>
                <w:szCs w:val="18"/>
              </w:rPr>
            </w:pPr>
            <w:r w:rsidRPr="0010306C">
              <w:rPr>
                <w:b/>
                <w:bCs/>
                <w:sz w:val="18"/>
                <w:szCs w:val="18"/>
              </w:rPr>
              <w:t>metai</w:t>
            </w:r>
          </w:p>
        </w:tc>
        <w:tc>
          <w:tcPr>
            <w:tcW w:w="709"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c>
          <w:tcPr>
            <w:tcW w:w="851"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c>
          <w:tcPr>
            <w:tcW w:w="708"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right"/>
              <w:rPr>
                <w:b/>
                <w:bCs/>
                <w:sz w:val="18"/>
                <w:szCs w:val="18"/>
              </w:rPr>
            </w:pPr>
            <w:r w:rsidRPr="0010306C">
              <w:rPr>
                <w:b/>
                <w:bCs/>
                <w:sz w:val="18"/>
                <w:szCs w:val="18"/>
              </w:rPr>
              <w:t>2021</w:t>
            </w:r>
          </w:p>
        </w:tc>
        <w:tc>
          <w:tcPr>
            <w:tcW w:w="709" w:type="dxa"/>
            <w:shd w:val="clear" w:color="auto" w:fill="auto"/>
            <w:noWrap/>
            <w:vAlign w:val="center"/>
            <w:hideMark/>
          </w:tcPr>
          <w:p w:rsidR="0010306C" w:rsidRPr="0010306C" w:rsidRDefault="0010306C" w:rsidP="0010306C">
            <w:pPr>
              <w:rPr>
                <w:b/>
                <w:bCs/>
                <w:sz w:val="18"/>
                <w:szCs w:val="18"/>
              </w:rPr>
            </w:pPr>
            <w:r w:rsidRPr="0010306C">
              <w:rPr>
                <w:b/>
                <w:bCs/>
                <w:sz w:val="18"/>
                <w:szCs w:val="18"/>
              </w:rPr>
              <w:t xml:space="preserve"> metai</w:t>
            </w:r>
          </w:p>
        </w:tc>
        <w:tc>
          <w:tcPr>
            <w:tcW w:w="709"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c>
          <w:tcPr>
            <w:tcW w:w="850" w:type="dxa"/>
            <w:shd w:val="clear" w:color="auto" w:fill="auto"/>
            <w:noWrap/>
            <w:vAlign w:val="center"/>
            <w:hideMark/>
          </w:tcPr>
          <w:p w:rsidR="0010306C" w:rsidRPr="0010306C" w:rsidRDefault="0010306C" w:rsidP="0010306C">
            <w:pPr>
              <w:rPr>
                <w:b/>
                <w:bCs/>
                <w:sz w:val="18"/>
                <w:szCs w:val="18"/>
              </w:rPr>
            </w:pPr>
            <w:r w:rsidRPr="0010306C">
              <w:rPr>
                <w:b/>
                <w:bCs/>
                <w:sz w:val="18"/>
                <w:szCs w:val="18"/>
              </w:rPr>
              <w:t> </w:t>
            </w:r>
          </w:p>
        </w:tc>
      </w:tr>
      <w:tr w:rsidR="00B10662" w:rsidRPr="001401C8" w:rsidTr="00EC55A3">
        <w:trPr>
          <w:trHeight w:val="246"/>
        </w:trPr>
        <w:tc>
          <w:tcPr>
            <w:tcW w:w="709" w:type="dxa"/>
            <w:vMerge/>
            <w:vAlign w:val="center"/>
            <w:hideMark/>
          </w:tcPr>
          <w:p w:rsidR="0010306C" w:rsidRPr="0010306C" w:rsidRDefault="0010306C" w:rsidP="0010306C">
            <w:pPr>
              <w:rPr>
                <w:sz w:val="18"/>
                <w:szCs w:val="18"/>
              </w:rPr>
            </w:pPr>
          </w:p>
        </w:tc>
        <w:tc>
          <w:tcPr>
            <w:tcW w:w="225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xml:space="preserve"> t  u  r  t  a  s</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II</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III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IV</w:t>
            </w:r>
          </w:p>
        </w:tc>
        <w:tc>
          <w:tcPr>
            <w:tcW w:w="851"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Iš viso</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III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IV</w:t>
            </w:r>
          </w:p>
        </w:tc>
        <w:tc>
          <w:tcPr>
            <w:tcW w:w="850"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Iš viso</w:t>
            </w:r>
          </w:p>
        </w:tc>
      </w:tr>
      <w:tr w:rsidR="00B10662" w:rsidRPr="001401C8" w:rsidTr="00EC55A3">
        <w:trPr>
          <w:trHeight w:val="246"/>
        </w:trPr>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1.</w:t>
            </w:r>
          </w:p>
        </w:tc>
        <w:tc>
          <w:tcPr>
            <w:tcW w:w="2258" w:type="dxa"/>
            <w:shd w:val="clear" w:color="auto" w:fill="auto"/>
            <w:noWrap/>
            <w:vAlign w:val="center"/>
            <w:hideMark/>
          </w:tcPr>
          <w:p w:rsidR="0010306C" w:rsidRPr="0010306C" w:rsidRDefault="0010306C" w:rsidP="0010306C">
            <w:pPr>
              <w:rPr>
                <w:b/>
                <w:bCs/>
                <w:sz w:val="18"/>
                <w:szCs w:val="18"/>
              </w:rPr>
            </w:pPr>
            <w:r w:rsidRPr="0010306C">
              <w:rPr>
                <w:b/>
                <w:bCs/>
                <w:sz w:val="18"/>
                <w:szCs w:val="18"/>
              </w:rPr>
              <w:t>Ilgalaikio turto įsigijimo šaltiniai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64,58</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64,60</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64,58</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64,59</w:t>
            </w:r>
          </w:p>
        </w:tc>
        <w:tc>
          <w:tcPr>
            <w:tcW w:w="851"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258,35</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85,37</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85,39</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85,37</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85,37</w:t>
            </w:r>
          </w:p>
        </w:tc>
        <w:tc>
          <w:tcPr>
            <w:tcW w:w="850"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341,50</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1.1.</w:t>
            </w:r>
          </w:p>
        </w:tc>
        <w:tc>
          <w:tcPr>
            <w:tcW w:w="2258" w:type="dxa"/>
            <w:shd w:val="clear" w:color="auto" w:fill="auto"/>
            <w:noWrap/>
            <w:vAlign w:val="center"/>
            <w:hideMark/>
          </w:tcPr>
          <w:p w:rsidR="0010306C" w:rsidRPr="004D6147" w:rsidRDefault="0010306C" w:rsidP="0010306C">
            <w:pPr>
              <w:rPr>
                <w:sz w:val="18"/>
                <w:szCs w:val="18"/>
              </w:rPr>
            </w:pPr>
            <w:r w:rsidRPr="00B6470A">
              <w:rPr>
                <w:sz w:val="18"/>
                <w:szCs w:val="18"/>
              </w:rPr>
              <w:t>Ilgalaikio turto nusidėvėjimo lėšos</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851"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850"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r>
      <w:tr w:rsidR="00B10662" w:rsidRPr="001401C8" w:rsidTr="00EC55A3">
        <w:trPr>
          <w:trHeight w:val="449"/>
        </w:trPr>
        <w:tc>
          <w:tcPr>
            <w:tcW w:w="709" w:type="dxa"/>
            <w:shd w:val="clear" w:color="auto" w:fill="auto"/>
            <w:noWrap/>
            <w:vAlign w:val="center"/>
            <w:hideMark/>
          </w:tcPr>
          <w:p w:rsidR="0010306C" w:rsidRPr="004D6147" w:rsidRDefault="0010306C" w:rsidP="0010306C">
            <w:pPr>
              <w:jc w:val="center"/>
              <w:rPr>
                <w:iCs/>
                <w:sz w:val="18"/>
                <w:szCs w:val="18"/>
              </w:rPr>
            </w:pPr>
            <w:r w:rsidRPr="004D6147">
              <w:rPr>
                <w:iCs/>
                <w:sz w:val="18"/>
                <w:szCs w:val="18"/>
              </w:rPr>
              <w:t>1.1.1.</w:t>
            </w:r>
          </w:p>
        </w:tc>
        <w:tc>
          <w:tcPr>
            <w:tcW w:w="2258" w:type="dxa"/>
            <w:shd w:val="clear" w:color="auto" w:fill="auto"/>
            <w:vAlign w:val="center"/>
            <w:hideMark/>
          </w:tcPr>
          <w:p w:rsidR="0010306C" w:rsidRPr="004D6147" w:rsidRDefault="0010306C" w:rsidP="0010306C">
            <w:pPr>
              <w:rPr>
                <w:iCs/>
                <w:sz w:val="18"/>
                <w:szCs w:val="18"/>
              </w:rPr>
            </w:pPr>
            <w:r w:rsidRPr="004D6147">
              <w:rPr>
                <w:iCs/>
                <w:sz w:val="18"/>
                <w:szCs w:val="18"/>
              </w:rPr>
              <w:t xml:space="preserve">iš šio skaičiaus </w:t>
            </w:r>
            <w:r w:rsidR="00B6470A" w:rsidRPr="004D6147">
              <w:rPr>
                <w:iCs/>
                <w:sz w:val="18"/>
                <w:szCs w:val="18"/>
              </w:rPr>
              <w:t xml:space="preserve">- </w:t>
            </w:r>
            <w:r w:rsidRPr="004D6147">
              <w:rPr>
                <w:iCs/>
                <w:sz w:val="18"/>
                <w:szCs w:val="18"/>
              </w:rPr>
              <w:t>paviršinių nuotekų ilgalaikio turto nusidėvėjimo lėšos</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8"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851"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8"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c>
          <w:tcPr>
            <w:tcW w:w="850"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 </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1.2.</w:t>
            </w:r>
          </w:p>
        </w:tc>
        <w:tc>
          <w:tcPr>
            <w:tcW w:w="2258" w:type="dxa"/>
            <w:shd w:val="clear" w:color="auto" w:fill="auto"/>
            <w:noWrap/>
            <w:vAlign w:val="center"/>
            <w:hideMark/>
          </w:tcPr>
          <w:p w:rsidR="0010306C" w:rsidRPr="004D6147" w:rsidRDefault="0010306C" w:rsidP="0010306C">
            <w:pPr>
              <w:rPr>
                <w:sz w:val="18"/>
                <w:szCs w:val="18"/>
              </w:rPr>
            </w:pPr>
            <w:r w:rsidRPr="00B6470A">
              <w:rPr>
                <w:sz w:val="18"/>
                <w:szCs w:val="18"/>
              </w:rPr>
              <w:t>Valstybės subsidijų ir dotacijų lėšos</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851"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c>
          <w:tcPr>
            <w:tcW w:w="850" w:type="dxa"/>
            <w:shd w:val="clear" w:color="auto" w:fill="auto"/>
            <w:noWrap/>
            <w:vAlign w:val="bottom"/>
            <w:hideMark/>
          </w:tcPr>
          <w:p w:rsidR="0010306C" w:rsidRPr="0010306C" w:rsidRDefault="0010306C" w:rsidP="0010306C">
            <w:pPr>
              <w:jc w:val="center"/>
              <w:rPr>
                <w:sz w:val="18"/>
                <w:szCs w:val="18"/>
              </w:rPr>
            </w:pPr>
            <w:r w:rsidRPr="0010306C">
              <w:rPr>
                <w:sz w:val="18"/>
                <w:szCs w:val="18"/>
              </w:rPr>
              <w:t> </w:t>
            </w:r>
          </w:p>
        </w:tc>
      </w:tr>
      <w:tr w:rsidR="00B10662" w:rsidRPr="001401C8" w:rsidTr="00EC55A3">
        <w:trPr>
          <w:trHeight w:val="275"/>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1.2.1.</w:t>
            </w:r>
          </w:p>
        </w:tc>
        <w:tc>
          <w:tcPr>
            <w:tcW w:w="2258" w:type="dxa"/>
            <w:shd w:val="clear" w:color="auto" w:fill="auto"/>
            <w:vAlign w:val="center"/>
            <w:hideMark/>
          </w:tcPr>
          <w:p w:rsidR="0010306C" w:rsidRPr="00B6470A" w:rsidRDefault="0010306C" w:rsidP="0010306C">
            <w:pPr>
              <w:rPr>
                <w:sz w:val="18"/>
                <w:szCs w:val="18"/>
              </w:rPr>
            </w:pPr>
            <w:r w:rsidRPr="00B6470A">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1"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0"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1.3.</w:t>
            </w:r>
          </w:p>
        </w:tc>
        <w:tc>
          <w:tcPr>
            <w:tcW w:w="2258" w:type="dxa"/>
            <w:shd w:val="clear" w:color="auto" w:fill="auto"/>
            <w:noWrap/>
            <w:vAlign w:val="center"/>
            <w:hideMark/>
          </w:tcPr>
          <w:p w:rsidR="0010306C" w:rsidRPr="00B6470A" w:rsidRDefault="0010306C" w:rsidP="00B6470A">
            <w:pPr>
              <w:rPr>
                <w:sz w:val="18"/>
                <w:szCs w:val="18"/>
              </w:rPr>
            </w:pPr>
            <w:r w:rsidRPr="00B6470A">
              <w:rPr>
                <w:sz w:val="18"/>
                <w:szCs w:val="18"/>
              </w:rPr>
              <w:t xml:space="preserve">Savivaldybės subsidijų ir dotacijų lėšos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851"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850"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r>
      <w:tr w:rsidR="00B10662" w:rsidRPr="001401C8" w:rsidTr="00EC55A3">
        <w:trPr>
          <w:trHeight w:val="260"/>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1.3.1.</w:t>
            </w:r>
          </w:p>
        </w:tc>
        <w:tc>
          <w:tcPr>
            <w:tcW w:w="2258" w:type="dxa"/>
            <w:shd w:val="clear" w:color="auto" w:fill="auto"/>
            <w:vAlign w:val="center"/>
            <w:hideMark/>
          </w:tcPr>
          <w:p w:rsidR="0010306C" w:rsidRPr="00B6470A" w:rsidRDefault="0010306C" w:rsidP="0010306C">
            <w:pPr>
              <w:rPr>
                <w:sz w:val="18"/>
                <w:szCs w:val="18"/>
              </w:rPr>
            </w:pPr>
            <w:r w:rsidRPr="00B6470A">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1"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0" w:type="dxa"/>
            <w:shd w:val="clear" w:color="auto" w:fill="auto"/>
            <w:noWrap/>
            <w:vAlign w:val="center"/>
            <w:hideMark/>
          </w:tcPr>
          <w:p w:rsidR="0010306C" w:rsidRPr="0010306C" w:rsidRDefault="0010306C" w:rsidP="0010306C">
            <w:pPr>
              <w:jc w:val="center"/>
              <w:rPr>
                <w:sz w:val="18"/>
                <w:szCs w:val="18"/>
              </w:rPr>
            </w:pPr>
            <w:r w:rsidRPr="0010306C">
              <w:rPr>
                <w:sz w:val="18"/>
                <w:szCs w:val="18"/>
              </w:rPr>
              <w:t> </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1.4.</w:t>
            </w:r>
          </w:p>
        </w:tc>
        <w:tc>
          <w:tcPr>
            <w:tcW w:w="2258" w:type="dxa"/>
            <w:shd w:val="clear" w:color="auto" w:fill="auto"/>
            <w:noWrap/>
            <w:vAlign w:val="center"/>
            <w:hideMark/>
          </w:tcPr>
          <w:p w:rsidR="0010306C" w:rsidRPr="004D6147" w:rsidRDefault="0010306C" w:rsidP="0010306C">
            <w:pPr>
              <w:rPr>
                <w:b/>
                <w:bCs/>
                <w:sz w:val="18"/>
                <w:szCs w:val="18"/>
              </w:rPr>
            </w:pPr>
            <w:r w:rsidRPr="00B6470A">
              <w:rPr>
                <w:b/>
                <w:bCs/>
                <w:sz w:val="18"/>
                <w:szCs w:val="18"/>
              </w:rPr>
              <w:t>Paskolos investicijų projektams įgyvendinti</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43,46</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43,47</w:t>
            </w:r>
          </w:p>
        </w:tc>
        <w:tc>
          <w:tcPr>
            <w:tcW w:w="708"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43,46</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43,46</w:t>
            </w:r>
          </w:p>
        </w:tc>
        <w:tc>
          <w:tcPr>
            <w:tcW w:w="851"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173,85</w:t>
            </w:r>
          </w:p>
        </w:tc>
        <w:tc>
          <w:tcPr>
            <w:tcW w:w="708"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57,45</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57,46</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57,45</w:t>
            </w:r>
          </w:p>
        </w:tc>
        <w:tc>
          <w:tcPr>
            <w:tcW w:w="709"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57,45</w:t>
            </w:r>
          </w:p>
        </w:tc>
        <w:tc>
          <w:tcPr>
            <w:tcW w:w="850" w:type="dxa"/>
            <w:shd w:val="clear" w:color="auto" w:fill="auto"/>
            <w:vAlign w:val="center"/>
            <w:hideMark/>
          </w:tcPr>
          <w:p w:rsidR="0010306C" w:rsidRPr="0010306C" w:rsidRDefault="0010306C" w:rsidP="0010306C">
            <w:pPr>
              <w:jc w:val="center"/>
              <w:rPr>
                <w:b/>
                <w:bCs/>
                <w:sz w:val="18"/>
                <w:szCs w:val="18"/>
              </w:rPr>
            </w:pPr>
            <w:r w:rsidRPr="0010306C">
              <w:rPr>
                <w:b/>
                <w:bCs/>
                <w:sz w:val="18"/>
                <w:szCs w:val="18"/>
              </w:rPr>
              <w:t>229,81</w:t>
            </w:r>
          </w:p>
        </w:tc>
      </w:tr>
      <w:tr w:rsidR="00B10662" w:rsidRPr="001401C8" w:rsidTr="00EC55A3">
        <w:trPr>
          <w:trHeight w:val="564"/>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1.4.1.</w:t>
            </w:r>
          </w:p>
        </w:tc>
        <w:tc>
          <w:tcPr>
            <w:tcW w:w="2258" w:type="dxa"/>
            <w:shd w:val="clear" w:color="auto" w:fill="auto"/>
            <w:vAlign w:val="center"/>
            <w:hideMark/>
          </w:tcPr>
          <w:p w:rsidR="0010306C" w:rsidRPr="004D6147" w:rsidRDefault="00B10662" w:rsidP="00B6470A">
            <w:pPr>
              <w:rPr>
                <w:iCs/>
                <w:sz w:val="18"/>
                <w:szCs w:val="18"/>
              </w:rPr>
            </w:pPr>
            <w:r w:rsidRPr="004D6147">
              <w:rPr>
                <w:iCs/>
                <w:sz w:val="18"/>
                <w:szCs w:val="18"/>
              </w:rPr>
              <w:t>L</w:t>
            </w:r>
            <w:r w:rsidR="0010306C" w:rsidRPr="004D6147">
              <w:rPr>
                <w:iCs/>
                <w:sz w:val="18"/>
                <w:szCs w:val="18"/>
              </w:rPr>
              <w:t xml:space="preserve">engvatinė paskola </w:t>
            </w:r>
            <w:r w:rsidR="00B6470A" w:rsidRPr="004D6147">
              <w:rPr>
                <w:iCs/>
                <w:sz w:val="18"/>
                <w:szCs w:val="18"/>
              </w:rPr>
              <w:t>„</w:t>
            </w:r>
            <w:proofErr w:type="spellStart"/>
            <w:r w:rsidR="0010306C" w:rsidRPr="004D6147">
              <w:rPr>
                <w:iCs/>
                <w:sz w:val="18"/>
                <w:szCs w:val="18"/>
              </w:rPr>
              <w:t>Vandentvarkos</w:t>
            </w:r>
            <w:proofErr w:type="spellEnd"/>
            <w:r w:rsidR="0010306C" w:rsidRPr="004D6147">
              <w:rPr>
                <w:iCs/>
                <w:sz w:val="18"/>
                <w:szCs w:val="18"/>
              </w:rPr>
              <w:t xml:space="preserve"> fondas</w:t>
            </w:r>
            <w:r w:rsidR="00B6470A" w:rsidRPr="004D6147">
              <w:rPr>
                <w:iCs/>
                <w:sz w:val="18"/>
                <w:szCs w:val="18"/>
              </w:rPr>
              <w:t>“</w:t>
            </w:r>
            <w:r w:rsidR="0010306C" w:rsidRPr="004D6147">
              <w:rPr>
                <w:iCs/>
                <w:sz w:val="18"/>
                <w:szCs w:val="18"/>
              </w:rPr>
              <w:t xml:space="preserve"> 05.3.2-FM-F-015 priemonė</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43,46</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43,47</w:t>
            </w:r>
          </w:p>
        </w:tc>
        <w:tc>
          <w:tcPr>
            <w:tcW w:w="708" w:type="dxa"/>
            <w:shd w:val="clear" w:color="auto" w:fill="auto"/>
            <w:vAlign w:val="center"/>
            <w:hideMark/>
          </w:tcPr>
          <w:p w:rsidR="0010306C" w:rsidRPr="004D6147" w:rsidRDefault="0010306C" w:rsidP="0010306C">
            <w:pPr>
              <w:jc w:val="center"/>
              <w:rPr>
                <w:iCs/>
                <w:sz w:val="18"/>
                <w:szCs w:val="18"/>
              </w:rPr>
            </w:pPr>
            <w:r w:rsidRPr="004D6147">
              <w:rPr>
                <w:iCs/>
                <w:sz w:val="18"/>
                <w:szCs w:val="18"/>
              </w:rPr>
              <w:t>43,46</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43,46</w:t>
            </w:r>
          </w:p>
        </w:tc>
        <w:tc>
          <w:tcPr>
            <w:tcW w:w="851" w:type="dxa"/>
            <w:shd w:val="clear" w:color="auto" w:fill="auto"/>
            <w:vAlign w:val="center"/>
            <w:hideMark/>
          </w:tcPr>
          <w:p w:rsidR="0010306C" w:rsidRPr="004D6147" w:rsidRDefault="0010306C" w:rsidP="0010306C">
            <w:pPr>
              <w:jc w:val="center"/>
              <w:rPr>
                <w:iCs/>
                <w:sz w:val="18"/>
                <w:szCs w:val="18"/>
              </w:rPr>
            </w:pPr>
            <w:r w:rsidRPr="004D6147">
              <w:rPr>
                <w:iCs/>
                <w:sz w:val="18"/>
                <w:szCs w:val="18"/>
              </w:rPr>
              <w:t>173,85</w:t>
            </w:r>
          </w:p>
        </w:tc>
        <w:tc>
          <w:tcPr>
            <w:tcW w:w="708" w:type="dxa"/>
            <w:shd w:val="clear" w:color="auto" w:fill="auto"/>
            <w:vAlign w:val="center"/>
            <w:hideMark/>
          </w:tcPr>
          <w:p w:rsidR="0010306C" w:rsidRPr="004D6147" w:rsidRDefault="0010306C" w:rsidP="0010306C">
            <w:pPr>
              <w:jc w:val="center"/>
              <w:rPr>
                <w:iCs/>
                <w:sz w:val="18"/>
                <w:szCs w:val="18"/>
              </w:rPr>
            </w:pPr>
            <w:r w:rsidRPr="004D6147">
              <w:rPr>
                <w:iCs/>
                <w:sz w:val="18"/>
                <w:szCs w:val="18"/>
              </w:rPr>
              <w:t>57,45</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57,46</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57,45</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57,45</w:t>
            </w:r>
          </w:p>
        </w:tc>
        <w:tc>
          <w:tcPr>
            <w:tcW w:w="850" w:type="dxa"/>
            <w:shd w:val="clear" w:color="auto" w:fill="auto"/>
            <w:vAlign w:val="center"/>
            <w:hideMark/>
          </w:tcPr>
          <w:p w:rsidR="0010306C" w:rsidRPr="004D6147" w:rsidRDefault="0010306C" w:rsidP="0010306C">
            <w:pPr>
              <w:jc w:val="center"/>
              <w:rPr>
                <w:iCs/>
                <w:sz w:val="18"/>
                <w:szCs w:val="18"/>
              </w:rPr>
            </w:pPr>
            <w:r w:rsidRPr="004D6147">
              <w:rPr>
                <w:iCs/>
                <w:sz w:val="18"/>
                <w:szCs w:val="18"/>
              </w:rPr>
              <w:t>229,81</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1.5.</w:t>
            </w:r>
          </w:p>
        </w:tc>
        <w:tc>
          <w:tcPr>
            <w:tcW w:w="2258" w:type="dxa"/>
            <w:shd w:val="clear" w:color="auto" w:fill="auto"/>
            <w:noWrap/>
            <w:vAlign w:val="center"/>
            <w:hideMark/>
          </w:tcPr>
          <w:p w:rsidR="0010306C" w:rsidRPr="004D6147" w:rsidRDefault="0010306C" w:rsidP="00B6470A">
            <w:pPr>
              <w:rPr>
                <w:b/>
                <w:bCs/>
                <w:sz w:val="18"/>
                <w:szCs w:val="18"/>
              </w:rPr>
            </w:pPr>
            <w:r w:rsidRPr="00B6470A">
              <w:rPr>
                <w:b/>
                <w:bCs/>
                <w:sz w:val="18"/>
                <w:szCs w:val="18"/>
              </w:rPr>
              <w:t xml:space="preserve">Europos </w:t>
            </w:r>
            <w:r w:rsidR="00B6470A" w:rsidRPr="00B6470A">
              <w:rPr>
                <w:b/>
                <w:bCs/>
                <w:sz w:val="18"/>
                <w:szCs w:val="18"/>
              </w:rPr>
              <w:t>S</w:t>
            </w:r>
            <w:r w:rsidRPr="00B6470A">
              <w:rPr>
                <w:b/>
                <w:bCs/>
                <w:sz w:val="18"/>
                <w:szCs w:val="18"/>
              </w:rPr>
              <w:t>ąjungos fondų lėšos</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21,12</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21,13</w:t>
            </w:r>
          </w:p>
        </w:tc>
        <w:tc>
          <w:tcPr>
            <w:tcW w:w="708"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21,12</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21,13</w:t>
            </w:r>
          </w:p>
        </w:tc>
        <w:tc>
          <w:tcPr>
            <w:tcW w:w="851"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84,50</w:t>
            </w:r>
          </w:p>
        </w:tc>
        <w:tc>
          <w:tcPr>
            <w:tcW w:w="708"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27,92</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27,93</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27,92</w:t>
            </w:r>
          </w:p>
        </w:tc>
        <w:tc>
          <w:tcPr>
            <w:tcW w:w="709"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27,92</w:t>
            </w:r>
          </w:p>
        </w:tc>
        <w:tc>
          <w:tcPr>
            <w:tcW w:w="850" w:type="dxa"/>
            <w:shd w:val="clear" w:color="auto" w:fill="auto"/>
            <w:vAlign w:val="center"/>
            <w:hideMark/>
          </w:tcPr>
          <w:p w:rsidR="0010306C" w:rsidRPr="004D6147" w:rsidRDefault="0010306C" w:rsidP="0010306C">
            <w:pPr>
              <w:jc w:val="center"/>
              <w:rPr>
                <w:b/>
                <w:bCs/>
                <w:sz w:val="18"/>
                <w:szCs w:val="18"/>
              </w:rPr>
            </w:pPr>
            <w:r w:rsidRPr="004D6147">
              <w:rPr>
                <w:b/>
                <w:bCs/>
                <w:sz w:val="18"/>
                <w:szCs w:val="18"/>
              </w:rPr>
              <w:t>111,69</w:t>
            </w:r>
          </w:p>
        </w:tc>
      </w:tr>
      <w:tr w:rsidR="00B10662" w:rsidRPr="001401C8" w:rsidTr="00EC55A3">
        <w:trPr>
          <w:trHeight w:val="81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1.5.1.</w:t>
            </w:r>
          </w:p>
        </w:tc>
        <w:tc>
          <w:tcPr>
            <w:tcW w:w="2258" w:type="dxa"/>
            <w:shd w:val="clear" w:color="auto" w:fill="auto"/>
            <w:vAlign w:val="center"/>
            <w:hideMark/>
          </w:tcPr>
          <w:p w:rsidR="0010306C" w:rsidRPr="00B6470A" w:rsidRDefault="00B10662" w:rsidP="00B6470A">
            <w:pPr>
              <w:rPr>
                <w:b/>
                <w:bCs/>
                <w:sz w:val="18"/>
                <w:szCs w:val="18"/>
              </w:rPr>
            </w:pPr>
            <w:r w:rsidRPr="00B6470A">
              <w:rPr>
                <w:b/>
                <w:bCs/>
                <w:sz w:val="18"/>
                <w:szCs w:val="18"/>
              </w:rPr>
              <w:t>G</w:t>
            </w:r>
            <w:r w:rsidR="0010306C" w:rsidRPr="00B6470A">
              <w:rPr>
                <w:b/>
                <w:bCs/>
                <w:sz w:val="18"/>
                <w:szCs w:val="18"/>
              </w:rPr>
              <w:t xml:space="preserve">rąžinamoji subsidija 05.3.2-VIPA-T-24 priemonė </w:t>
            </w:r>
            <w:r w:rsidR="00B6470A" w:rsidRPr="00B6470A">
              <w:rPr>
                <w:b/>
                <w:bCs/>
                <w:sz w:val="18"/>
                <w:szCs w:val="18"/>
              </w:rPr>
              <w:t>„</w:t>
            </w:r>
            <w:r w:rsidR="0010306C" w:rsidRPr="00B6470A">
              <w:rPr>
                <w:b/>
                <w:bCs/>
                <w:sz w:val="18"/>
                <w:szCs w:val="18"/>
              </w:rPr>
              <w:t>Nuotekų surinkimo tinklų plėtra</w:t>
            </w:r>
            <w:r w:rsidR="00B6470A" w:rsidRPr="00B6470A">
              <w:rPr>
                <w:b/>
                <w:bCs/>
                <w:sz w:val="18"/>
                <w:szCs w:val="18"/>
              </w:rPr>
              <w:t>“</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21,12</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21,13</w:t>
            </w:r>
          </w:p>
        </w:tc>
        <w:tc>
          <w:tcPr>
            <w:tcW w:w="708" w:type="dxa"/>
            <w:shd w:val="clear" w:color="auto" w:fill="auto"/>
            <w:vAlign w:val="center"/>
            <w:hideMark/>
          </w:tcPr>
          <w:p w:rsidR="0010306C" w:rsidRPr="004D6147" w:rsidRDefault="0010306C" w:rsidP="0010306C">
            <w:pPr>
              <w:jc w:val="center"/>
              <w:rPr>
                <w:iCs/>
                <w:sz w:val="18"/>
                <w:szCs w:val="18"/>
              </w:rPr>
            </w:pPr>
            <w:r w:rsidRPr="004D6147">
              <w:rPr>
                <w:iCs/>
                <w:sz w:val="18"/>
                <w:szCs w:val="18"/>
              </w:rPr>
              <w:t>21,12</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21,13</w:t>
            </w:r>
          </w:p>
        </w:tc>
        <w:tc>
          <w:tcPr>
            <w:tcW w:w="851" w:type="dxa"/>
            <w:shd w:val="clear" w:color="auto" w:fill="auto"/>
            <w:vAlign w:val="center"/>
            <w:hideMark/>
          </w:tcPr>
          <w:p w:rsidR="0010306C" w:rsidRPr="004D6147" w:rsidRDefault="0010306C" w:rsidP="0010306C">
            <w:pPr>
              <w:jc w:val="center"/>
              <w:rPr>
                <w:iCs/>
                <w:sz w:val="18"/>
                <w:szCs w:val="18"/>
              </w:rPr>
            </w:pPr>
            <w:r w:rsidRPr="004D6147">
              <w:rPr>
                <w:iCs/>
                <w:sz w:val="18"/>
                <w:szCs w:val="18"/>
              </w:rPr>
              <w:t>84,50</w:t>
            </w:r>
          </w:p>
        </w:tc>
        <w:tc>
          <w:tcPr>
            <w:tcW w:w="708" w:type="dxa"/>
            <w:shd w:val="clear" w:color="auto" w:fill="auto"/>
            <w:vAlign w:val="center"/>
            <w:hideMark/>
          </w:tcPr>
          <w:p w:rsidR="0010306C" w:rsidRPr="004D6147" w:rsidRDefault="0010306C" w:rsidP="0010306C">
            <w:pPr>
              <w:jc w:val="center"/>
              <w:rPr>
                <w:iCs/>
                <w:sz w:val="18"/>
                <w:szCs w:val="18"/>
              </w:rPr>
            </w:pPr>
            <w:r w:rsidRPr="004D6147">
              <w:rPr>
                <w:iCs/>
                <w:sz w:val="18"/>
                <w:szCs w:val="18"/>
              </w:rPr>
              <w:t>27,92</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27,93</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27,92</w:t>
            </w:r>
          </w:p>
        </w:tc>
        <w:tc>
          <w:tcPr>
            <w:tcW w:w="709" w:type="dxa"/>
            <w:shd w:val="clear" w:color="auto" w:fill="auto"/>
            <w:vAlign w:val="center"/>
            <w:hideMark/>
          </w:tcPr>
          <w:p w:rsidR="0010306C" w:rsidRPr="004D6147" w:rsidRDefault="0010306C" w:rsidP="0010306C">
            <w:pPr>
              <w:jc w:val="center"/>
              <w:rPr>
                <w:iCs/>
                <w:sz w:val="18"/>
                <w:szCs w:val="18"/>
              </w:rPr>
            </w:pPr>
            <w:r w:rsidRPr="004D6147">
              <w:rPr>
                <w:iCs/>
                <w:sz w:val="18"/>
                <w:szCs w:val="18"/>
              </w:rPr>
              <w:t>27,92</w:t>
            </w:r>
          </w:p>
        </w:tc>
        <w:tc>
          <w:tcPr>
            <w:tcW w:w="850" w:type="dxa"/>
            <w:shd w:val="clear" w:color="auto" w:fill="auto"/>
            <w:vAlign w:val="center"/>
            <w:hideMark/>
          </w:tcPr>
          <w:p w:rsidR="0010306C" w:rsidRPr="004D6147" w:rsidRDefault="0010306C" w:rsidP="0010306C">
            <w:pPr>
              <w:jc w:val="center"/>
              <w:rPr>
                <w:iCs/>
                <w:sz w:val="18"/>
                <w:szCs w:val="18"/>
              </w:rPr>
            </w:pPr>
            <w:r w:rsidRPr="004D6147">
              <w:rPr>
                <w:iCs/>
                <w:sz w:val="18"/>
                <w:szCs w:val="18"/>
              </w:rPr>
              <w:t>111,69</w:t>
            </w:r>
          </w:p>
        </w:tc>
      </w:tr>
      <w:tr w:rsidR="00B10662" w:rsidRPr="001401C8" w:rsidTr="00EC55A3">
        <w:trPr>
          <w:trHeight w:val="23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1.6.</w:t>
            </w:r>
          </w:p>
        </w:tc>
        <w:tc>
          <w:tcPr>
            <w:tcW w:w="2258" w:type="dxa"/>
            <w:shd w:val="clear" w:color="auto" w:fill="auto"/>
            <w:noWrap/>
            <w:vAlign w:val="center"/>
            <w:hideMark/>
          </w:tcPr>
          <w:p w:rsidR="0010306C" w:rsidRPr="00B6470A" w:rsidRDefault="0010306C" w:rsidP="0010306C">
            <w:pPr>
              <w:rPr>
                <w:sz w:val="18"/>
                <w:szCs w:val="18"/>
              </w:rPr>
            </w:pPr>
            <w:r w:rsidRPr="00B6470A">
              <w:rPr>
                <w:sz w:val="18"/>
                <w:szCs w:val="18"/>
              </w:rPr>
              <w:t>Kitos nuosavos lėšos</w:t>
            </w:r>
          </w:p>
        </w:tc>
        <w:tc>
          <w:tcPr>
            <w:tcW w:w="709" w:type="dxa"/>
            <w:shd w:val="clear" w:color="auto" w:fill="auto"/>
            <w:noWrap/>
            <w:vAlign w:val="center"/>
            <w:hideMark/>
          </w:tcPr>
          <w:p w:rsidR="0010306C" w:rsidRPr="00B6470A" w:rsidRDefault="0010306C" w:rsidP="0010306C">
            <w:pPr>
              <w:rPr>
                <w:sz w:val="18"/>
                <w:szCs w:val="18"/>
              </w:rPr>
            </w:pPr>
            <w:r w:rsidRPr="00B6470A">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1"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0" w:type="dxa"/>
            <w:shd w:val="clear" w:color="auto" w:fill="auto"/>
            <w:noWrap/>
            <w:vAlign w:val="center"/>
            <w:hideMark/>
          </w:tcPr>
          <w:p w:rsidR="0010306C" w:rsidRPr="004D6147" w:rsidRDefault="0010306C" w:rsidP="0010306C">
            <w:pPr>
              <w:rPr>
                <w:sz w:val="18"/>
                <w:szCs w:val="18"/>
              </w:rPr>
            </w:pPr>
            <w:r w:rsidRPr="004D6147">
              <w:rPr>
                <w:sz w:val="18"/>
                <w:szCs w:val="18"/>
              </w:rPr>
              <w:t> </w:t>
            </w:r>
          </w:p>
        </w:tc>
      </w:tr>
      <w:tr w:rsidR="00B10662" w:rsidRPr="001401C8" w:rsidTr="00EC55A3">
        <w:trPr>
          <w:trHeight w:val="23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1.6.1.</w:t>
            </w:r>
          </w:p>
        </w:tc>
        <w:tc>
          <w:tcPr>
            <w:tcW w:w="2258" w:type="dxa"/>
            <w:shd w:val="clear" w:color="auto" w:fill="auto"/>
            <w:vAlign w:val="center"/>
            <w:hideMark/>
          </w:tcPr>
          <w:p w:rsidR="0010306C" w:rsidRPr="004D6147" w:rsidRDefault="0010306C" w:rsidP="0010306C">
            <w:pPr>
              <w:rPr>
                <w:sz w:val="18"/>
                <w:szCs w:val="18"/>
              </w:rPr>
            </w:pPr>
            <w:r w:rsidRPr="00B6470A">
              <w:rPr>
                <w:sz w:val="18"/>
                <w:szCs w:val="18"/>
              </w:rPr>
              <w:t>Ataskaitinio laikotarpio pelno dalis</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1"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0"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r>
      <w:tr w:rsidR="00B10662" w:rsidRPr="001401C8" w:rsidTr="00EC55A3">
        <w:trPr>
          <w:trHeight w:val="23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1.6.2.</w:t>
            </w:r>
          </w:p>
        </w:tc>
        <w:tc>
          <w:tcPr>
            <w:tcW w:w="2258" w:type="dxa"/>
            <w:shd w:val="clear" w:color="auto" w:fill="auto"/>
            <w:noWrap/>
            <w:vAlign w:val="center"/>
            <w:hideMark/>
          </w:tcPr>
          <w:p w:rsidR="0010306C" w:rsidRPr="004D6147" w:rsidRDefault="0010306C" w:rsidP="0010306C">
            <w:pPr>
              <w:rPr>
                <w:sz w:val="18"/>
                <w:szCs w:val="18"/>
              </w:rPr>
            </w:pPr>
            <w:r w:rsidRPr="00B6470A">
              <w:rPr>
                <w:sz w:val="18"/>
                <w:szCs w:val="18"/>
              </w:rPr>
              <w:t>Ankstesniais laikotarpiais sukauptos piniginės lėšos</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1"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0"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r>
      <w:tr w:rsidR="00B10662" w:rsidRPr="001401C8" w:rsidTr="00EC55A3">
        <w:trPr>
          <w:trHeight w:val="23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1.6.3.</w:t>
            </w:r>
          </w:p>
        </w:tc>
        <w:tc>
          <w:tcPr>
            <w:tcW w:w="2258" w:type="dxa"/>
            <w:shd w:val="clear" w:color="auto" w:fill="auto"/>
            <w:noWrap/>
            <w:vAlign w:val="center"/>
            <w:hideMark/>
          </w:tcPr>
          <w:p w:rsidR="0010306C" w:rsidRPr="00B6470A" w:rsidRDefault="0010306C" w:rsidP="0010306C">
            <w:pPr>
              <w:rPr>
                <w:sz w:val="18"/>
                <w:szCs w:val="18"/>
              </w:rPr>
            </w:pPr>
            <w:r w:rsidRPr="00B6470A">
              <w:rPr>
                <w:sz w:val="18"/>
                <w:szCs w:val="18"/>
              </w:rPr>
              <w:t xml:space="preserve">Kitos </w:t>
            </w:r>
          </w:p>
        </w:tc>
        <w:tc>
          <w:tcPr>
            <w:tcW w:w="709" w:type="dxa"/>
            <w:shd w:val="clear" w:color="auto" w:fill="auto"/>
            <w:noWrap/>
            <w:vAlign w:val="center"/>
            <w:hideMark/>
          </w:tcPr>
          <w:p w:rsidR="0010306C" w:rsidRPr="00B6470A" w:rsidRDefault="0010306C" w:rsidP="0010306C">
            <w:pPr>
              <w:rPr>
                <w:sz w:val="18"/>
                <w:szCs w:val="18"/>
              </w:rPr>
            </w:pPr>
            <w:r w:rsidRPr="00B6470A">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1"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c>
          <w:tcPr>
            <w:tcW w:w="708"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709" w:type="dxa"/>
            <w:shd w:val="clear" w:color="auto" w:fill="auto"/>
            <w:noWrap/>
            <w:vAlign w:val="center"/>
            <w:hideMark/>
          </w:tcPr>
          <w:p w:rsidR="0010306C" w:rsidRPr="004D6147" w:rsidRDefault="0010306C" w:rsidP="0010306C">
            <w:pPr>
              <w:rPr>
                <w:sz w:val="18"/>
                <w:szCs w:val="18"/>
              </w:rPr>
            </w:pPr>
            <w:r w:rsidRPr="004D6147">
              <w:rPr>
                <w:sz w:val="18"/>
                <w:szCs w:val="18"/>
              </w:rPr>
              <w:t> </w:t>
            </w:r>
          </w:p>
        </w:tc>
        <w:tc>
          <w:tcPr>
            <w:tcW w:w="850" w:type="dxa"/>
            <w:shd w:val="clear" w:color="auto" w:fill="auto"/>
            <w:noWrap/>
            <w:vAlign w:val="center"/>
            <w:hideMark/>
          </w:tcPr>
          <w:p w:rsidR="0010306C" w:rsidRPr="004D6147" w:rsidRDefault="0010306C" w:rsidP="0010306C">
            <w:pPr>
              <w:jc w:val="center"/>
              <w:rPr>
                <w:sz w:val="18"/>
                <w:szCs w:val="18"/>
              </w:rPr>
            </w:pPr>
            <w:r w:rsidRPr="004D6147">
              <w:rPr>
                <w:sz w:val="18"/>
                <w:szCs w:val="18"/>
              </w:rPr>
              <w:t> </w:t>
            </w:r>
          </w:p>
        </w:tc>
      </w:tr>
      <w:tr w:rsidR="00B10662" w:rsidRPr="001401C8" w:rsidTr="00EC55A3">
        <w:trPr>
          <w:trHeight w:val="246"/>
        </w:trPr>
        <w:tc>
          <w:tcPr>
            <w:tcW w:w="709" w:type="dxa"/>
            <w:shd w:val="clear" w:color="auto" w:fill="auto"/>
            <w:noWrap/>
            <w:vAlign w:val="center"/>
            <w:hideMark/>
          </w:tcPr>
          <w:p w:rsidR="0010306C" w:rsidRPr="00B6470A" w:rsidRDefault="0010306C" w:rsidP="0010306C">
            <w:pPr>
              <w:jc w:val="center"/>
              <w:rPr>
                <w:b/>
                <w:bCs/>
                <w:sz w:val="18"/>
                <w:szCs w:val="18"/>
              </w:rPr>
            </w:pPr>
            <w:r w:rsidRPr="00B6470A">
              <w:rPr>
                <w:b/>
                <w:bCs/>
                <w:sz w:val="18"/>
                <w:szCs w:val="18"/>
              </w:rPr>
              <w:t>2.</w:t>
            </w:r>
          </w:p>
        </w:tc>
        <w:tc>
          <w:tcPr>
            <w:tcW w:w="2258" w:type="dxa"/>
            <w:shd w:val="clear" w:color="auto" w:fill="auto"/>
            <w:noWrap/>
            <w:vAlign w:val="center"/>
            <w:hideMark/>
          </w:tcPr>
          <w:p w:rsidR="0010306C" w:rsidRPr="00B6470A" w:rsidRDefault="0010306C" w:rsidP="0010306C">
            <w:pPr>
              <w:rPr>
                <w:b/>
                <w:bCs/>
                <w:sz w:val="18"/>
                <w:szCs w:val="18"/>
              </w:rPr>
            </w:pPr>
            <w:r w:rsidRPr="00B6470A">
              <w:rPr>
                <w:b/>
                <w:bCs/>
                <w:sz w:val="18"/>
                <w:szCs w:val="18"/>
              </w:rPr>
              <w:t>Lėšų panaudojimas</w:t>
            </w:r>
          </w:p>
        </w:tc>
        <w:tc>
          <w:tcPr>
            <w:tcW w:w="709" w:type="dxa"/>
            <w:shd w:val="clear" w:color="auto" w:fill="auto"/>
            <w:noWrap/>
            <w:vAlign w:val="center"/>
            <w:hideMark/>
          </w:tcPr>
          <w:p w:rsidR="0010306C" w:rsidRPr="00B6470A" w:rsidRDefault="0010306C" w:rsidP="0010306C">
            <w:pPr>
              <w:jc w:val="center"/>
              <w:rPr>
                <w:b/>
                <w:bCs/>
                <w:sz w:val="18"/>
                <w:szCs w:val="18"/>
              </w:rPr>
            </w:pPr>
            <w:r w:rsidRPr="00B6470A">
              <w:rPr>
                <w:b/>
                <w:bCs/>
                <w:sz w:val="18"/>
                <w:szCs w:val="18"/>
              </w:rPr>
              <w:t>64,58</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64,60</w:t>
            </w:r>
          </w:p>
        </w:tc>
        <w:tc>
          <w:tcPr>
            <w:tcW w:w="708"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64,58</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64,59</w:t>
            </w:r>
          </w:p>
        </w:tc>
        <w:tc>
          <w:tcPr>
            <w:tcW w:w="851"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258,35</w:t>
            </w:r>
          </w:p>
        </w:tc>
        <w:tc>
          <w:tcPr>
            <w:tcW w:w="708"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85,39</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850"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341,50</w:t>
            </w:r>
          </w:p>
        </w:tc>
      </w:tr>
      <w:tr w:rsidR="00B10662" w:rsidRPr="001401C8" w:rsidTr="00EC55A3">
        <w:trPr>
          <w:trHeight w:val="243"/>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2.1.</w:t>
            </w:r>
          </w:p>
        </w:tc>
        <w:tc>
          <w:tcPr>
            <w:tcW w:w="2258" w:type="dxa"/>
            <w:shd w:val="clear" w:color="auto" w:fill="auto"/>
            <w:noWrap/>
            <w:vAlign w:val="center"/>
            <w:hideMark/>
          </w:tcPr>
          <w:p w:rsidR="0010306C" w:rsidRPr="004D6147" w:rsidRDefault="0010306C" w:rsidP="0010306C">
            <w:pPr>
              <w:rPr>
                <w:b/>
                <w:bCs/>
                <w:sz w:val="18"/>
                <w:szCs w:val="18"/>
              </w:rPr>
            </w:pPr>
            <w:r w:rsidRPr="00B6470A">
              <w:rPr>
                <w:b/>
                <w:bCs/>
                <w:sz w:val="18"/>
                <w:szCs w:val="18"/>
              </w:rPr>
              <w:t>Investicijų ir plėtros projektams įgyvendinti</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64,58</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64,60</w:t>
            </w:r>
          </w:p>
        </w:tc>
        <w:tc>
          <w:tcPr>
            <w:tcW w:w="708"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64,58</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64,59</w:t>
            </w:r>
          </w:p>
        </w:tc>
        <w:tc>
          <w:tcPr>
            <w:tcW w:w="851"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258,35</w:t>
            </w:r>
          </w:p>
        </w:tc>
        <w:tc>
          <w:tcPr>
            <w:tcW w:w="708"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85,39</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709"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85,37</w:t>
            </w:r>
          </w:p>
        </w:tc>
        <w:tc>
          <w:tcPr>
            <w:tcW w:w="850" w:type="dxa"/>
            <w:shd w:val="clear" w:color="auto" w:fill="auto"/>
            <w:noWrap/>
            <w:vAlign w:val="center"/>
            <w:hideMark/>
          </w:tcPr>
          <w:p w:rsidR="0010306C" w:rsidRPr="004D6147" w:rsidRDefault="0010306C" w:rsidP="0010306C">
            <w:pPr>
              <w:jc w:val="center"/>
              <w:rPr>
                <w:b/>
                <w:bCs/>
                <w:sz w:val="18"/>
                <w:szCs w:val="18"/>
              </w:rPr>
            </w:pPr>
            <w:r w:rsidRPr="004D6147">
              <w:rPr>
                <w:b/>
                <w:bCs/>
                <w:sz w:val="18"/>
                <w:szCs w:val="18"/>
              </w:rPr>
              <w:t>341,50</w:t>
            </w:r>
          </w:p>
        </w:tc>
      </w:tr>
      <w:tr w:rsidR="00B10662" w:rsidRPr="001401C8" w:rsidTr="00EC55A3">
        <w:trPr>
          <w:trHeight w:val="535"/>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2.1.1.</w:t>
            </w:r>
          </w:p>
        </w:tc>
        <w:tc>
          <w:tcPr>
            <w:tcW w:w="2258" w:type="dxa"/>
            <w:shd w:val="clear" w:color="auto" w:fill="auto"/>
            <w:vAlign w:val="center"/>
            <w:hideMark/>
          </w:tcPr>
          <w:p w:rsidR="0010306C" w:rsidRPr="004D6147" w:rsidRDefault="00B6470A" w:rsidP="00B6470A">
            <w:pPr>
              <w:rPr>
                <w:b/>
                <w:bCs/>
                <w:iCs/>
                <w:sz w:val="18"/>
                <w:szCs w:val="18"/>
              </w:rPr>
            </w:pPr>
            <w:r w:rsidRPr="004D6147">
              <w:rPr>
                <w:b/>
                <w:bCs/>
                <w:iCs/>
                <w:sz w:val="18"/>
                <w:szCs w:val="18"/>
              </w:rPr>
              <w:t>„</w:t>
            </w:r>
            <w:r w:rsidR="0010306C" w:rsidRPr="004D6147">
              <w:rPr>
                <w:b/>
                <w:bCs/>
                <w:iCs/>
                <w:sz w:val="18"/>
                <w:szCs w:val="18"/>
              </w:rPr>
              <w:t>Geriamojo vandens tiekimo ir nuotekų surinkimo tinklų plėtra Plungės mieste</w:t>
            </w:r>
            <w:r w:rsidRPr="004D6147">
              <w:rPr>
                <w:b/>
                <w:bCs/>
                <w:iCs/>
                <w:sz w:val="18"/>
                <w:szCs w:val="18"/>
              </w:rPr>
              <w:t>“</w:t>
            </w:r>
          </w:p>
        </w:tc>
        <w:tc>
          <w:tcPr>
            <w:tcW w:w="709" w:type="dxa"/>
            <w:shd w:val="clear" w:color="auto" w:fill="auto"/>
            <w:vAlign w:val="center"/>
            <w:hideMark/>
          </w:tcPr>
          <w:p w:rsidR="0010306C" w:rsidRPr="0010306C" w:rsidRDefault="0010306C" w:rsidP="0010306C">
            <w:pPr>
              <w:jc w:val="center"/>
              <w:rPr>
                <w:i/>
                <w:iCs/>
                <w:sz w:val="18"/>
                <w:szCs w:val="18"/>
              </w:rPr>
            </w:pPr>
            <w:r w:rsidRPr="0010306C">
              <w:rPr>
                <w:i/>
                <w:iCs/>
                <w:sz w:val="18"/>
                <w:szCs w:val="18"/>
              </w:rPr>
              <w:t>64,58</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64,60</w:t>
            </w:r>
          </w:p>
        </w:tc>
        <w:tc>
          <w:tcPr>
            <w:tcW w:w="708"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64,58</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64,59</w:t>
            </w:r>
          </w:p>
        </w:tc>
        <w:tc>
          <w:tcPr>
            <w:tcW w:w="851" w:type="dxa"/>
            <w:shd w:val="clear" w:color="auto" w:fill="auto"/>
            <w:vAlign w:val="center"/>
            <w:hideMark/>
          </w:tcPr>
          <w:p w:rsidR="0010306C" w:rsidRPr="0010306C" w:rsidRDefault="0010306C" w:rsidP="0010306C">
            <w:pPr>
              <w:jc w:val="center"/>
              <w:rPr>
                <w:i/>
                <w:iCs/>
                <w:sz w:val="18"/>
                <w:szCs w:val="18"/>
              </w:rPr>
            </w:pPr>
            <w:r w:rsidRPr="0010306C">
              <w:rPr>
                <w:i/>
                <w:iCs/>
                <w:sz w:val="18"/>
                <w:szCs w:val="18"/>
              </w:rPr>
              <w:t>258,35</w:t>
            </w:r>
          </w:p>
        </w:tc>
        <w:tc>
          <w:tcPr>
            <w:tcW w:w="708" w:type="dxa"/>
            <w:shd w:val="clear" w:color="auto" w:fill="auto"/>
            <w:vAlign w:val="center"/>
            <w:hideMark/>
          </w:tcPr>
          <w:p w:rsidR="0010306C" w:rsidRPr="0010306C" w:rsidRDefault="0010306C" w:rsidP="0010306C">
            <w:pPr>
              <w:jc w:val="center"/>
              <w:rPr>
                <w:i/>
                <w:iCs/>
                <w:sz w:val="18"/>
                <w:szCs w:val="18"/>
              </w:rPr>
            </w:pPr>
            <w:r w:rsidRPr="0010306C">
              <w:rPr>
                <w:i/>
                <w:iCs/>
                <w:sz w:val="18"/>
                <w:szCs w:val="18"/>
              </w:rPr>
              <w:t>85,37</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85,39</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85,37</w:t>
            </w:r>
          </w:p>
        </w:tc>
        <w:tc>
          <w:tcPr>
            <w:tcW w:w="709"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85,37</w:t>
            </w:r>
          </w:p>
        </w:tc>
        <w:tc>
          <w:tcPr>
            <w:tcW w:w="850" w:type="dxa"/>
            <w:shd w:val="clear" w:color="auto" w:fill="auto"/>
            <w:noWrap/>
            <w:vAlign w:val="center"/>
            <w:hideMark/>
          </w:tcPr>
          <w:p w:rsidR="0010306C" w:rsidRPr="0010306C" w:rsidRDefault="0010306C" w:rsidP="0010306C">
            <w:pPr>
              <w:jc w:val="center"/>
              <w:rPr>
                <w:i/>
                <w:iCs/>
                <w:sz w:val="18"/>
                <w:szCs w:val="18"/>
              </w:rPr>
            </w:pPr>
            <w:r w:rsidRPr="0010306C">
              <w:rPr>
                <w:i/>
                <w:iCs/>
                <w:sz w:val="18"/>
                <w:szCs w:val="18"/>
              </w:rPr>
              <w:t>341,50</w:t>
            </w:r>
          </w:p>
        </w:tc>
      </w:tr>
      <w:tr w:rsidR="00B10662" w:rsidRPr="001401C8" w:rsidTr="00EC55A3">
        <w:trPr>
          <w:trHeight w:val="246"/>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2.2.</w:t>
            </w:r>
          </w:p>
        </w:tc>
        <w:tc>
          <w:tcPr>
            <w:tcW w:w="2258" w:type="dxa"/>
            <w:shd w:val="clear" w:color="auto" w:fill="auto"/>
            <w:noWrap/>
            <w:vAlign w:val="center"/>
            <w:hideMark/>
          </w:tcPr>
          <w:p w:rsidR="0010306C" w:rsidRPr="004D6147" w:rsidRDefault="0010306C" w:rsidP="0010306C">
            <w:pPr>
              <w:rPr>
                <w:sz w:val="18"/>
                <w:szCs w:val="18"/>
              </w:rPr>
            </w:pPr>
            <w:r w:rsidRPr="00B6470A">
              <w:rPr>
                <w:sz w:val="18"/>
                <w:szCs w:val="18"/>
              </w:rPr>
              <w:t>Ilgalaikiam turtui įsigyti ir atnaujinti (renovuoti)</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851"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8"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709"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c>
          <w:tcPr>
            <w:tcW w:w="850" w:type="dxa"/>
            <w:shd w:val="clear" w:color="auto" w:fill="auto"/>
            <w:noWrap/>
            <w:vAlign w:val="center"/>
            <w:hideMark/>
          </w:tcPr>
          <w:p w:rsidR="0010306C" w:rsidRPr="0010306C" w:rsidRDefault="0010306C" w:rsidP="0010306C">
            <w:pPr>
              <w:jc w:val="center"/>
              <w:rPr>
                <w:b/>
                <w:bCs/>
                <w:sz w:val="18"/>
                <w:szCs w:val="18"/>
              </w:rPr>
            </w:pPr>
            <w:r w:rsidRPr="0010306C">
              <w:rPr>
                <w:b/>
                <w:bCs/>
                <w:sz w:val="18"/>
                <w:szCs w:val="18"/>
              </w:rPr>
              <w:t> </w:t>
            </w:r>
          </w:p>
        </w:tc>
      </w:tr>
      <w:tr w:rsidR="00B10662" w:rsidRPr="001401C8" w:rsidTr="00EC55A3">
        <w:trPr>
          <w:trHeight w:val="221"/>
        </w:trPr>
        <w:tc>
          <w:tcPr>
            <w:tcW w:w="709" w:type="dxa"/>
            <w:shd w:val="clear" w:color="auto" w:fill="auto"/>
            <w:noWrap/>
            <w:vAlign w:val="center"/>
            <w:hideMark/>
          </w:tcPr>
          <w:p w:rsidR="0010306C" w:rsidRPr="00B6470A" w:rsidRDefault="0010306C" w:rsidP="0010306C">
            <w:pPr>
              <w:jc w:val="center"/>
              <w:rPr>
                <w:sz w:val="18"/>
                <w:szCs w:val="18"/>
              </w:rPr>
            </w:pPr>
            <w:r w:rsidRPr="00B6470A">
              <w:rPr>
                <w:sz w:val="18"/>
                <w:szCs w:val="18"/>
              </w:rPr>
              <w:t>2.2.1.</w:t>
            </w:r>
          </w:p>
        </w:tc>
        <w:tc>
          <w:tcPr>
            <w:tcW w:w="2258" w:type="dxa"/>
            <w:shd w:val="clear" w:color="auto" w:fill="auto"/>
            <w:noWrap/>
            <w:vAlign w:val="center"/>
            <w:hideMark/>
          </w:tcPr>
          <w:p w:rsidR="0010306C" w:rsidRPr="0010306C" w:rsidRDefault="0010306C" w:rsidP="0010306C">
            <w:pPr>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1"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8"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709"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c>
          <w:tcPr>
            <w:tcW w:w="850" w:type="dxa"/>
            <w:shd w:val="clear" w:color="auto" w:fill="auto"/>
            <w:noWrap/>
            <w:vAlign w:val="center"/>
            <w:hideMark/>
          </w:tcPr>
          <w:p w:rsidR="0010306C" w:rsidRPr="0010306C" w:rsidRDefault="0010306C" w:rsidP="0010306C">
            <w:pPr>
              <w:jc w:val="right"/>
              <w:rPr>
                <w:sz w:val="18"/>
                <w:szCs w:val="18"/>
              </w:rPr>
            </w:pPr>
            <w:r w:rsidRPr="0010306C">
              <w:rPr>
                <w:sz w:val="18"/>
                <w:szCs w:val="18"/>
              </w:rPr>
              <w:t> </w:t>
            </w:r>
          </w:p>
        </w:tc>
      </w:tr>
    </w:tbl>
    <w:p w:rsidR="006F41DD" w:rsidRPr="001401C8" w:rsidRDefault="006F41DD"/>
    <w:p w:rsidR="001401C8" w:rsidRPr="001401C8" w:rsidRDefault="00B6470A" w:rsidP="004D6147">
      <w:pPr>
        <w:jc w:val="center"/>
      </w:pPr>
      <w:r>
        <w:t>__________________________________________________</w:t>
      </w:r>
    </w:p>
    <w:p w:rsidR="001401C8" w:rsidRPr="001401C8" w:rsidRDefault="001401C8"/>
    <w:p w:rsidR="001401C8" w:rsidRPr="001401C8" w:rsidRDefault="001401C8"/>
    <w:p w:rsidR="001401C8" w:rsidRDefault="001401C8"/>
    <w:p w:rsidR="00EC55A3" w:rsidRDefault="00EC55A3"/>
    <w:p w:rsidR="00EC55A3" w:rsidRPr="001401C8" w:rsidRDefault="00EC55A3"/>
    <w:p w:rsidR="001401C8" w:rsidRPr="001401C8" w:rsidRDefault="001401C8"/>
    <w:p w:rsidR="001401C8" w:rsidRPr="001401C8" w:rsidRDefault="001401C8"/>
    <w:p w:rsidR="001401C8" w:rsidRPr="001401C8" w:rsidRDefault="001401C8"/>
    <w:p w:rsidR="000F1476" w:rsidRDefault="000F1476" w:rsidP="000F1476">
      <w:pPr>
        <w:ind w:left="5040" w:firstLine="720"/>
      </w:pPr>
      <w:r>
        <w:lastRenderedPageBreak/>
        <w:t>Teisės aktų projektų numatomo teisinio</w:t>
      </w:r>
    </w:p>
    <w:p w:rsidR="00EC55A3" w:rsidRDefault="000F1476" w:rsidP="000F1476">
      <w:pPr>
        <w:ind w:left="5040" w:firstLine="720"/>
      </w:pPr>
      <w:r>
        <w:t>reguliavimo poveikio vertinimo</w:t>
      </w:r>
    </w:p>
    <w:p w:rsidR="000F1476" w:rsidRDefault="000F1476" w:rsidP="000F1476">
      <w:pPr>
        <w:ind w:left="5040" w:firstLine="720"/>
      </w:pPr>
      <w:r>
        <w:t>rezultatų</w:t>
      </w:r>
      <w:r w:rsidR="00EC55A3">
        <w:t xml:space="preserve"> </w:t>
      </w:r>
      <w:r>
        <w:t xml:space="preserve">pateikimo tvarkos aprašo </w:t>
      </w:r>
    </w:p>
    <w:p w:rsidR="000F1476" w:rsidRDefault="000F1476" w:rsidP="000F1476">
      <w:pPr>
        <w:ind w:left="5040" w:firstLine="720"/>
        <w:rPr>
          <w:b/>
        </w:rPr>
      </w:pPr>
      <w:r>
        <w:t>priedas</w:t>
      </w:r>
    </w:p>
    <w:p w:rsidR="000F1476" w:rsidRDefault="000F1476" w:rsidP="000F1476">
      <w:pPr>
        <w:jc w:val="center"/>
        <w:rPr>
          <w:b/>
        </w:rPr>
      </w:pPr>
    </w:p>
    <w:p w:rsidR="000F1476" w:rsidRPr="0019692B" w:rsidRDefault="000F1476" w:rsidP="000F1476">
      <w:pPr>
        <w:jc w:val="center"/>
        <w:rPr>
          <w:b/>
          <w:lang w:eastAsia="my-MM" w:bidi="my-MM"/>
        </w:rPr>
      </w:pPr>
      <w:r w:rsidRPr="0019692B">
        <w:rPr>
          <w:b/>
          <w:lang w:eastAsia="my-MM" w:bidi="my-MM"/>
        </w:rPr>
        <w:t>VIETOS ŪKIO SKYRIUS</w:t>
      </w:r>
    </w:p>
    <w:p w:rsidR="000F1476" w:rsidRPr="00D84429" w:rsidRDefault="000F1476" w:rsidP="000F1476">
      <w:pPr>
        <w:jc w:val="center"/>
        <w:rPr>
          <w:lang w:eastAsia="my-MM" w:bidi="my-MM"/>
        </w:rPr>
      </w:pPr>
    </w:p>
    <w:p w:rsidR="000F1476" w:rsidRPr="006975E2" w:rsidRDefault="000F1476" w:rsidP="000F1476">
      <w:pPr>
        <w:jc w:val="center"/>
        <w:rPr>
          <w:b/>
        </w:rPr>
      </w:pPr>
      <w:r w:rsidRPr="006975E2">
        <w:rPr>
          <w:b/>
        </w:rPr>
        <w:t>AIŠKINAMASIS RAŠTAS</w:t>
      </w:r>
    </w:p>
    <w:p w:rsidR="000F1476" w:rsidRPr="006975E2" w:rsidRDefault="000F1476" w:rsidP="000F1476">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0F1476" w:rsidRPr="006975E2" w:rsidTr="00B6470A">
        <w:tc>
          <w:tcPr>
            <w:tcW w:w="9854" w:type="dxa"/>
            <w:shd w:val="clear" w:color="auto" w:fill="auto"/>
          </w:tcPr>
          <w:p w:rsidR="000F1476" w:rsidRPr="000F1476" w:rsidRDefault="00B6470A" w:rsidP="000F1476">
            <w:pPr>
              <w:tabs>
                <w:tab w:val="left" w:pos="0"/>
              </w:tabs>
              <w:jc w:val="center"/>
              <w:rPr>
                <w:rStyle w:val="Komentaronuoroda"/>
                <w:b/>
                <w:sz w:val="24"/>
              </w:rPr>
            </w:pPr>
            <w:r>
              <w:rPr>
                <w:rStyle w:val="Komentaronuoroda"/>
                <w:b/>
                <w:sz w:val="24"/>
              </w:rPr>
              <w:t>„</w:t>
            </w:r>
            <w:r w:rsidR="000F1476" w:rsidRPr="000F1476">
              <w:rPr>
                <w:rStyle w:val="Komentaronuoroda"/>
                <w:b/>
                <w:sz w:val="24"/>
              </w:rPr>
              <w:t>DĖL</w:t>
            </w:r>
            <w:r>
              <w:rPr>
                <w:rStyle w:val="Komentaronuoroda"/>
                <w:b/>
                <w:sz w:val="24"/>
              </w:rPr>
              <w:t xml:space="preserve"> PRITARIMO</w:t>
            </w:r>
            <w:r w:rsidR="000F1476" w:rsidRPr="000F1476">
              <w:rPr>
                <w:rStyle w:val="Komentaronuoroda"/>
                <w:b/>
                <w:sz w:val="24"/>
              </w:rPr>
              <w:t xml:space="preserve"> UAB  „PLUNGĖS VANDENYS“ </w:t>
            </w:r>
            <w:r w:rsidR="000F1476" w:rsidRPr="000F1476">
              <w:rPr>
                <w:b/>
              </w:rPr>
              <w:t xml:space="preserve"> PROJEKTO „GERIAMOJO VANDENS TIEKIMO IR NUOTEKŲ SURINKIMO TINKLŲ PLĖTRA PLUNGĖS MIESTE“ VYKDYM</w:t>
            </w:r>
            <w:r>
              <w:rPr>
                <w:b/>
              </w:rPr>
              <w:t>UI“</w:t>
            </w:r>
          </w:p>
          <w:p w:rsidR="000F1476" w:rsidRPr="006975E2" w:rsidRDefault="000F1476" w:rsidP="000F1476">
            <w:pPr>
              <w:tabs>
                <w:tab w:val="left" w:pos="0"/>
              </w:tabs>
              <w:jc w:val="center"/>
              <w:rPr>
                <w:b/>
                <w:caps/>
              </w:rPr>
            </w:pPr>
            <w:r w:rsidRPr="006946E5">
              <w:rPr>
                <w:rStyle w:val="Komentaronuoroda"/>
                <w:b/>
                <w:sz w:val="24"/>
              </w:rPr>
              <w:t xml:space="preserve"> </w:t>
            </w:r>
          </w:p>
        </w:tc>
      </w:tr>
      <w:tr w:rsidR="000F1476" w:rsidRPr="002E25C0" w:rsidTr="00B6470A">
        <w:tc>
          <w:tcPr>
            <w:tcW w:w="9854" w:type="dxa"/>
            <w:shd w:val="clear" w:color="auto" w:fill="auto"/>
          </w:tcPr>
          <w:p w:rsidR="000F1476" w:rsidRDefault="000F1476" w:rsidP="00B6470A">
            <w:pPr>
              <w:jc w:val="center"/>
            </w:pPr>
            <w:r>
              <w:t xml:space="preserve">2019 m. lapkričio </w:t>
            </w:r>
            <w:r w:rsidR="00B6470A">
              <w:t>27</w:t>
            </w:r>
            <w:r>
              <w:t xml:space="preserve"> d.</w:t>
            </w:r>
          </w:p>
          <w:p w:rsidR="000F1476" w:rsidRPr="002E25C0" w:rsidRDefault="000F1476" w:rsidP="00B6470A">
            <w:pPr>
              <w:jc w:val="center"/>
            </w:pPr>
            <w:r w:rsidRPr="002E25C0">
              <w:t>Plungė</w:t>
            </w:r>
          </w:p>
        </w:tc>
      </w:tr>
    </w:tbl>
    <w:p w:rsidR="000F1476" w:rsidRDefault="000F1476" w:rsidP="000F1476"/>
    <w:p w:rsidR="00B6470A" w:rsidRDefault="00AA1C89" w:rsidP="00F24249">
      <w:pPr>
        <w:tabs>
          <w:tab w:val="left" w:pos="851"/>
        </w:tabs>
        <w:ind w:firstLine="720"/>
        <w:jc w:val="both"/>
      </w:pPr>
      <w:r>
        <w:rPr>
          <w:b/>
        </w:rPr>
        <w:t xml:space="preserve"> </w:t>
      </w:r>
      <w:r w:rsidR="000F1476">
        <w:rPr>
          <w:b/>
        </w:rPr>
        <w:t xml:space="preserve">1. </w:t>
      </w:r>
      <w:r w:rsidR="000F1476" w:rsidRPr="003F41D4">
        <w:rPr>
          <w:b/>
        </w:rPr>
        <w:t xml:space="preserve">Parengto teisės akto projekto tikslai – </w:t>
      </w:r>
      <w:r w:rsidR="00EC55A3">
        <w:t>pritarti</w:t>
      </w:r>
      <w:r w:rsidR="000F1476">
        <w:t xml:space="preserve"> UAB „Plungės vandenys“ </w:t>
      </w:r>
      <w:r w:rsidR="00FB357B">
        <w:t xml:space="preserve">projekto </w:t>
      </w:r>
      <w:r w:rsidR="00FB357B" w:rsidRPr="007B5C5B">
        <w:t>„Geriamojo vandens tiekimo ir nuotekų surinkimo tinklų plėtra Plungės mieste“</w:t>
      </w:r>
      <w:r w:rsidR="00B6470A">
        <w:t>, teikiamo finansavimui gauti pagal priemonę Nr. 05.3.2.-VIPA-T-024 „Nuotekų surinkimo plėtra“ ir priemonę Nr. 05.3.2-FM-F-015 „</w:t>
      </w:r>
      <w:proofErr w:type="spellStart"/>
      <w:r w:rsidR="00B6470A">
        <w:t>Vandentvarkos</w:t>
      </w:r>
      <w:proofErr w:type="spellEnd"/>
      <w:r w:rsidR="00B6470A">
        <w:t xml:space="preserve"> fondas“, </w:t>
      </w:r>
      <w:r w:rsidR="00B6470A" w:rsidRPr="007B5C5B">
        <w:t>vykdym</w:t>
      </w:r>
      <w:r w:rsidR="00B6470A">
        <w:t>ui ir papildyti UAB „Plungės vandenys“ 2018-2020 m. veiklos ir plėtros planą, patvirtintą Plungės rajono savivaldybės tarybos 2018 m. rugsėjo 27 d. sprendimu Nr. T1-203 „Dėl UAB „Plungės vandenys“ 2018-2020 metų veiklos-plėtros plano patvirtinimo“,  projekto „</w:t>
      </w:r>
      <w:r w:rsidR="00B6470A" w:rsidRPr="007B5C5B">
        <w:t>Geriamojo vandens tiekimo ir nuotekų surinkimo tinklų plėtra Plungės mieste“</w:t>
      </w:r>
      <w:r w:rsidR="00B6470A">
        <w:t xml:space="preserve"> vykdymo plane numatytomis 2020 metais investicijomis.</w:t>
      </w:r>
    </w:p>
    <w:p w:rsidR="0067592C" w:rsidRDefault="000F1476" w:rsidP="00F24249">
      <w:pPr>
        <w:tabs>
          <w:tab w:val="left" w:pos="851"/>
        </w:tabs>
        <w:ind w:firstLine="720"/>
        <w:jc w:val="both"/>
      </w:pPr>
      <w:r w:rsidRPr="009F3DBF">
        <w:rPr>
          <w:b/>
        </w:rPr>
        <w:t xml:space="preserve">2. Teisės akto projekto esmė, rengimo priežastys ir motyvai. </w:t>
      </w:r>
      <w:r>
        <w:t xml:space="preserve">Vadovaujantis  </w:t>
      </w:r>
      <w:r w:rsidR="00FB357B" w:rsidRPr="001401C8">
        <w:t xml:space="preserve">Lietuvos Respublikos vietos savivaldos įstatymo 16 straipsnio 2 dalies 40 punktu, Lietuvos Respublikos geriamojo vandens tiekimo ir nuotekų tvarkymo įstatymo 10 straipsnio </w:t>
      </w:r>
      <w:r w:rsidR="00FB357B">
        <w:t>1dalies 1</w:t>
      </w:r>
      <w:r w:rsidR="00FB357B" w:rsidRPr="001401C8">
        <w:t xml:space="preserve"> punktu ir atsižvelg</w:t>
      </w:r>
      <w:r w:rsidR="00B6470A">
        <w:t>iant</w:t>
      </w:r>
      <w:r w:rsidR="00FB357B" w:rsidRPr="001401C8">
        <w:t xml:space="preserve"> į UAB „Plungės vandenys“ valdybos 2019 m. </w:t>
      </w:r>
      <w:r w:rsidR="00FB357B">
        <w:t xml:space="preserve">lapkričio </w:t>
      </w:r>
      <w:r w:rsidR="00FB357B" w:rsidRPr="001401C8">
        <w:t xml:space="preserve"> 2</w:t>
      </w:r>
      <w:r w:rsidR="00FB357B">
        <w:t>5</w:t>
      </w:r>
      <w:r w:rsidR="00FB357B" w:rsidRPr="001401C8">
        <w:t xml:space="preserve"> d. posėdžio protokolą Nr. </w:t>
      </w:r>
      <w:r w:rsidR="00FB357B">
        <w:t>8</w:t>
      </w:r>
      <w:r>
        <w:t xml:space="preserve">, </w:t>
      </w:r>
      <w:r w:rsidR="0067592C" w:rsidRPr="00FB357B">
        <w:t xml:space="preserve">pritarti </w:t>
      </w:r>
      <w:r w:rsidR="0067592C">
        <w:t xml:space="preserve">  UAB „Plungės vandenys“ projekto </w:t>
      </w:r>
      <w:r w:rsidR="0067592C" w:rsidRPr="007B5C5B">
        <w:t>„Geriamojo vandens tiekimo ir nuotekų surinkimo tinklų plėtra Plungės mieste“</w:t>
      </w:r>
      <w:r w:rsidR="0067592C">
        <w:t>, teikiamo finansavimui gauti pagal priemonę Nr. 05.3.2.-VIPA-T-024 „Nuotekų surinkimo plėtra“ ir priemonę Nr. 05.3.2-FM-F-015 „</w:t>
      </w:r>
      <w:proofErr w:type="spellStart"/>
      <w:r w:rsidR="0067592C">
        <w:t>Vandentvarkos</w:t>
      </w:r>
      <w:proofErr w:type="spellEnd"/>
      <w:r w:rsidR="0067592C">
        <w:t xml:space="preserve"> fondas“, </w:t>
      </w:r>
      <w:r w:rsidR="0067592C" w:rsidRPr="007B5C5B">
        <w:t>vykdym</w:t>
      </w:r>
      <w:r w:rsidR="0067592C">
        <w:t>ui ir papildyti UAB „Plungės vandenys“ 2018-2020 m. veiklos ir plėtros planą, patvirtintą Plungės rajono savivaldybės tarybos 2018 m. rugsėjo 27 d. sprendimu Nr. T1-203 „Dėl UAB „Plungės vandenys“ 2018-2020 metų veiklos-plėtros plano patvirtinimo“,  projekto „</w:t>
      </w:r>
      <w:r w:rsidR="0067592C" w:rsidRPr="007B5C5B">
        <w:t>Geriamojo vandens tiekimo ir nuotekų surinkimo tinklų plėtra Plungės mieste“</w:t>
      </w:r>
      <w:r w:rsidR="0067592C">
        <w:t xml:space="preserve"> vykdymo plane numatytomis 2020 metais investicijomis.</w:t>
      </w:r>
    </w:p>
    <w:p w:rsidR="000F1476" w:rsidRPr="00372075" w:rsidRDefault="000F1476" w:rsidP="00F24249">
      <w:pPr>
        <w:ind w:firstLine="720"/>
        <w:jc w:val="both"/>
      </w:pPr>
      <w:r w:rsidRPr="009F3DBF">
        <w:rPr>
          <w:b/>
        </w:rPr>
        <w:t>3. Lėšų poreikis (jeigu teisės aktui įgyvendinti reikalingos lėšos).</w:t>
      </w:r>
      <w:r>
        <w:rPr>
          <w:b/>
        </w:rPr>
        <w:t xml:space="preserve"> </w:t>
      </w:r>
      <w:r w:rsidRPr="00372075">
        <w:t>Nereikalingos</w:t>
      </w:r>
      <w:r w:rsidR="0067592C">
        <w:t>.</w:t>
      </w:r>
    </w:p>
    <w:p w:rsidR="00A05222" w:rsidRDefault="000F1476" w:rsidP="00F24249">
      <w:pPr>
        <w:keepNext/>
        <w:keepLines/>
        <w:ind w:firstLine="720"/>
        <w:contextualSpacing/>
        <w:jc w:val="both"/>
      </w:pPr>
      <w:r w:rsidRPr="00A05222">
        <w:rPr>
          <w:b/>
        </w:rPr>
        <w:t xml:space="preserve">4. Laukiami rezultatai. </w:t>
      </w:r>
      <w:r w:rsidR="001A0F13" w:rsidRPr="001A0F13">
        <w:t xml:space="preserve">Pritarus </w:t>
      </w:r>
      <w:r w:rsidR="001A0F13">
        <w:t>šiam projektui</w:t>
      </w:r>
      <w:r w:rsidR="0067592C">
        <w:t>,</w:t>
      </w:r>
      <w:r w:rsidR="001A0F13">
        <w:t xml:space="preserve"> UAB „Plungės vandenys“ turės galimybę gauti finansavimą projektui, kurio bendra vertė </w:t>
      </w:r>
      <w:r w:rsidR="0067592C">
        <w:t xml:space="preserve">- </w:t>
      </w:r>
      <w:r w:rsidR="001A0F13">
        <w:t>5</w:t>
      </w:r>
      <w:r w:rsidR="00163A8D">
        <w:t>99</w:t>
      </w:r>
      <w:r w:rsidR="001A0F13">
        <w:t>,</w:t>
      </w:r>
      <w:r w:rsidR="00163A8D">
        <w:t>85</w:t>
      </w:r>
      <w:r w:rsidR="001A0F13">
        <w:t xml:space="preserve"> tūkst. </w:t>
      </w:r>
      <w:proofErr w:type="spellStart"/>
      <w:r w:rsidR="001A0F13">
        <w:t>Eur</w:t>
      </w:r>
      <w:proofErr w:type="spellEnd"/>
      <w:r w:rsidR="00163A8D">
        <w:t xml:space="preserve"> (be PVM).  Darbus numatoma vykdyti 2020-2021 metais.</w:t>
      </w:r>
      <w:r w:rsidR="00AA1C89">
        <w:t xml:space="preserve"> Bus vykdomi vandentiekio ir nuotekų surinkimo tinklų klojimo darbai. Vandentiekio tinklus 100 procentų finansuoja UAB „Plungės vandenys“</w:t>
      </w:r>
      <w:r w:rsidR="0067592C">
        <w:t>.</w:t>
      </w:r>
      <w:r w:rsidR="00AA1C89">
        <w:t xml:space="preserve"> Nuotekų surinkimo tinklų įrengimo darbai finansuojami iš ES lėšų (196,46 tūkst. </w:t>
      </w:r>
      <w:proofErr w:type="spellStart"/>
      <w:r w:rsidR="00AA1C89">
        <w:t>Eur</w:t>
      </w:r>
      <w:proofErr w:type="spellEnd"/>
      <w:r w:rsidR="00062CCF">
        <w:t xml:space="preserve"> be PVM</w:t>
      </w:r>
      <w:r w:rsidR="00AA1C89">
        <w:t>)</w:t>
      </w:r>
      <w:r w:rsidR="00062CCF">
        <w:t>.</w:t>
      </w:r>
      <w:r w:rsidR="00A05222">
        <w:t xml:space="preserve"> Bus sudaryta galimybė </w:t>
      </w:r>
      <w:r w:rsidR="00A05222" w:rsidRPr="008763CC">
        <w:t>prie nuotekų tinklų prijungt</w:t>
      </w:r>
      <w:r w:rsidR="00A05222">
        <w:t xml:space="preserve">i </w:t>
      </w:r>
      <w:r w:rsidR="0067592C" w:rsidRPr="00EC55A3">
        <w:t xml:space="preserve">59 </w:t>
      </w:r>
      <w:r w:rsidR="00A05222">
        <w:t>vartotoj</w:t>
      </w:r>
      <w:r w:rsidR="0067592C">
        <w:t xml:space="preserve">us, </w:t>
      </w:r>
      <w:r w:rsidR="00A05222" w:rsidRPr="008763CC">
        <w:t>prie vandentiekio tinklų prijungt</w:t>
      </w:r>
      <w:r w:rsidR="00A05222">
        <w:t>i</w:t>
      </w:r>
      <w:r w:rsidR="0067592C">
        <w:t xml:space="preserve"> </w:t>
      </w:r>
      <w:r w:rsidR="0067592C" w:rsidRPr="008763CC">
        <w:t>47</w:t>
      </w:r>
      <w:r w:rsidR="00A05222" w:rsidRPr="008763CC">
        <w:t xml:space="preserve"> vartotoj</w:t>
      </w:r>
      <w:r w:rsidR="0067592C">
        <w:t xml:space="preserve">us; </w:t>
      </w:r>
      <w:r w:rsidR="00A05222" w:rsidRPr="008763CC">
        <w:t>naujai nutiest</w:t>
      </w:r>
      <w:r w:rsidR="00A05222">
        <w:t>ų</w:t>
      </w:r>
      <w:r w:rsidR="00A05222" w:rsidRPr="008763CC">
        <w:t xml:space="preserve"> nuotekų tinklų ilgis – 2,298</w:t>
      </w:r>
      <w:r w:rsidR="0067592C" w:rsidRPr="0067592C">
        <w:t xml:space="preserve"> </w:t>
      </w:r>
      <w:r w:rsidR="0067592C" w:rsidRPr="008763CC">
        <w:t>km</w:t>
      </w:r>
      <w:r w:rsidR="00A05222" w:rsidRPr="008763CC">
        <w:t>;</w:t>
      </w:r>
      <w:r w:rsidR="00A05222">
        <w:t xml:space="preserve"> </w:t>
      </w:r>
      <w:r w:rsidR="00A05222" w:rsidRPr="008763CC">
        <w:t>naujai nutiestų vandentiekio tinklų ilgis – 1,761</w:t>
      </w:r>
      <w:r w:rsidR="0067592C" w:rsidRPr="0067592C">
        <w:t xml:space="preserve"> </w:t>
      </w:r>
      <w:r w:rsidR="0067592C" w:rsidRPr="008763CC">
        <w:t>km</w:t>
      </w:r>
      <w:r w:rsidR="00A05222">
        <w:t>.</w:t>
      </w:r>
    </w:p>
    <w:p w:rsidR="0047434D" w:rsidRPr="008763CC" w:rsidRDefault="0047434D" w:rsidP="00F24249">
      <w:pPr>
        <w:keepNext/>
        <w:keepLines/>
        <w:ind w:firstLine="720"/>
        <w:contextualSpacing/>
        <w:jc w:val="both"/>
      </w:pPr>
      <w:r>
        <w:t>Bus pašalintas tvenkinio teršimo šaltinis.</w:t>
      </w:r>
    </w:p>
    <w:p w:rsidR="000F1476" w:rsidRDefault="000F1476" w:rsidP="00F24249">
      <w:pPr>
        <w:ind w:firstLine="720"/>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0F1476" w:rsidRDefault="000F1476" w:rsidP="00F24249">
      <w:pPr>
        <w:ind w:firstLine="720"/>
        <w:jc w:val="both"/>
      </w:pPr>
      <w:r>
        <w:t>PRIDEDAMA:</w:t>
      </w:r>
    </w:p>
    <w:p w:rsidR="000F1476" w:rsidRDefault="000F1476" w:rsidP="00F24249">
      <w:pPr>
        <w:ind w:firstLine="720"/>
        <w:jc w:val="both"/>
      </w:pPr>
      <w:r>
        <w:lastRenderedPageBreak/>
        <w:t>Priedas Nr. 1.-  UAB „Plungės vandenys“ valdybos 2019 m. lapkričio mėnesio 25 d. posėdžio protokolo išrašo Nr. 8 kopija, 2 lapai</w:t>
      </w:r>
      <w:r w:rsidR="0067592C">
        <w:t>.</w:t>
      </w:r>
    </w:p>
    <w:p w:rsidR="000F1476" w:rsidRDefault="000F1476" w:rsidP="00F24249">
      <w:pPr>
        <w:ind w:firstLine="720"/>
        <w:jc w:val="both"/>
      </w:pPr>
      <w:r>
        <w:t xml:space="preserve">Priedas Nr. 2 </w:t>
      </w:r>
      <w:r w:rsidR="00A05222">
        <w:t>–</w:t>
      </w:r>
      <w:r>
        <w:t xml:space="preserve"> </w:t>
      </w:r>
      <w:r w:rsidR="00A05222">
        <w:t>Investicijų planas, 9 lapai</w:t>
      </w:r>
      <w:r w:rsidR="0067592C">
        <w:t>.</w:t>
      </w:r>
    </w:p>
    <w:p w:rsidR="000F1476" w:rsidRDefault="000F1476" w:rsidP="00F24249">
      <w:pPr>
        <w:ind w:firstLine="720"/>
        <w:jc w:val="both"/>
      </w:pPr>
      <w:r>
        <w:t xml:space="preserve">Priedas Nr. 3 – </w:t>
      </w:r>
      <w:r w:rsidR="0067592C">
        <w:t xml:space="preserve">Savivaldybės tarybos </w:t>
      </w:r>
      <w:r w:rsidR="00A05222">
        <w:t>2018 m. rugsėjo 27 sprendimas Nr. T1-203</w:t>
      </w:r>
      <w:r>
        <w:t xml:space="preserve">, </w:t>
      </w:r>
      <w:r w:rsidR="00A05222">
        <w:t>3</w:t>
      </w:r>
      <w:r>
        <w:t xml:space="preserve"> lapa</w:t>
      </w:r>
      <w:r w:rsidR="00A05222">
        <w:t>i</w:t>
      </w:r>
      <w:r w:rsidR="0067592C">
        <w:t>.</w:t>
      </w:r>
      <w:r>
        <w:t xml:space="preserve"> </w:t>
      </w:r>
    </w:p>
    <w:p w:rsidR="000F1476" w:rsidRDefault="000F1476" w:rsidP="00F24249">
      <w:pPr>
        <w:ind w:firstLine="720"/>
        <w:jc w:val="both"/>
      </w:pPr>
      <w:r>
        <w:t xml:space="preserve">Priedas Nr. 4 </w:t>
      </w:r>
      <w:r w:rsidR="00A05222">
        <w:t>– Vykdomų darbų vietovės planas, 1 lapas</w:t>
      </w:r>
      <w:r w:rsidR="0067592C">
        <w:t>.</w:t>
      </w:r>
    </w:p>
    <w:p w:rsidR="000F1476" w:rsidRPr="009F3DBF" w:rsidRDefault="000F1476" w:rsidP="00F24249">
      <w:pPr>
        <w:ind w:firstLine="720"/>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F1476" w:rsidRPr="007D4B69" w:rsidTr="00B6470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F1476" w:rsidRPr="007D4B69" w:rsidRDefault="000F1476" w:rsidP="00B6470A">
            <w:pPr>
              <w:widowControl w:val="0"/>
              <w:rPr>
                <w:rFonts w:eastAsia="Lucida Sans Unicode"/>
                <w:b/>
                <w:bCs/>
                <w:kern w:val="1"/>
              </w:rPr>
            </w:pPr>
            <w:r w:rsidRPr="007D4B69">
              <w:rPr>
                <w:rFonts w:eastAsia="Lucida Sans Unicode"/>
                <w:b/>
                <w:bCs/>
                <w:kern w:val="1"/>
              </w:rPr>
              <w:t>Numatomo teisinio reguliavimo poveikio vertinimo rezultatai</w:t>
            </w:r>
          </w:p>
        </w:tc>
      </w:tr>
      <w:tr w:rsidR="000F1476" w:rsidRPr="007D4B69" w:rsidTr="00B6470A">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0F1476" w:rsidRPr="007D4B69" w:rsidRDefault="000F1476" w:rsidP="00B6470A">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b/>
                <w:kern w:val="1"/>
                <w:lang w:bidi="lo-LA"/>
              </w:rPr>
            </w:pPr>
            <w:r w:rsidRPr="007D4B69">
              <w:rPr>
                <w:rFonts w:eastAsia="Lucida Sans Unicode"/>
                <w:b/>
                <w:kern w:val="1"/>
              </w:rPr>
              <w:t>Neigiamas poveikis</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47434D" w:rsidP="0047434D">
            <w:pPr>
              <w:widowControl w:val="0"/>
              <w:rPr>
                <w:rFonts w:eastAsia="Lucida Sans Unicode"/>
                <w:i/>
                <w:kern w:val="1"/>
                <w:lang w:bidi="lo-LA"/>
              </w:rPr>
            </w:pPr>
            <w:r>
              <w:rPr>
                <w:rFonts w:eastAsia="Lucida Sans Unicode"/>
                <w:i/>
                <w:kern w:val="1"/>
                <w:lang w:bidi="lo-LA"/>
              </w:rPr>
              <w:t>Sudaryta palanki ir sveika aplinka gyventojams</w:t>
            </w: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47434D" w:rsidP="00B6470A">
            <w:pPr>
              <w:widowControl w:val="0"/>
              <w:rPr>
                <w:rFonts w:eastAsia="Lucida Sans Unicode"/>
                <w:i/>
                <w:kern w:val="1"/>
                <w:lang w:bidi="lo-LA"/>
              </w:rPr>
            </w:pPr>
            <w:r>
              <w:rPr>
                <w:rFonts w:eastAsia="Lucida Sans Unicode"/>
                <w:i/>
                <w:kern w:val="1"/>
                <w:lang w:bidi="lo-LA"/>
              </w:rPr>
              <w:t>Pašalintas \taršos šaltinis</w:t>
            </w: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r w:rsidR="000F1476" w:rsidRPr="007D4B69" w:rsidTr="00B6470A">
        <w:tc>
          <w:tcPr>
            <w:tcW w:w="3118"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F1476" w:rsidRPr="007D4B69" w:rsidRDefault="000F1476" w:rsidP="00B6470A">
            <w:pPr>
              <w:widowControl w:val="0"/>
              <w:rPr>
                <w:rFonts w:eastAsia="Lucida Sans Unicode"/>
                <w:i/>
                <w:kern w:val="1"/>
                <w:lang w:bidi="lo-LA"/>
              </w:rPr>
            </w:pPr>
            <w:r>
              <w:rPr>
                <w:rFonts w:eastAsia="Lucida Sans Unicode"/>
                <w:i/>
                <w:kern w:val="1"/>
                <w:lang w:bidi="lo-LA"/>
              </w:rPr>
              <w:t>Nėra</w:t>
            </w:r>
          </w:p>
        </w:tc>
      </w:tr>
    </w:tbl>
    <w:p w:rsidR="000F1476" w:rsidRDefault="000F1476" w:rsidP="000F1476">
      <w:pPr>
        <w:jc w:val="both"/>
      </w:pPr>
      <w:bookmarkStart w:id="0" w:name="_GoBack"/>
      <w:bookmarkEnd w:id="0"/>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F1476" w:rsidRDefault="000F1476" w:rsidP="000F1476">
      <w:pPr>
        <w:widowControl w:val="0"/>
        <w:jc w:val="both"/>
        <w:rPr>
          <w:rFonts w:eastAsia="Lucida Sans Unicode"/>
          <w:kern w:val="2"/>
        </w:rPr>
      </w:pPr>
    </w:p>
    <w:p w:rsidR="000F1476" w:rsidRDefault="000F1476" w:rsidP="000F1476">
      <w:pPr>
        <w:widowControl w:val="0"/>
        <w:jc w:val="both"/>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0F1476" w:rsidRPr="002F4F19" w:rsidRDefault="000F1476" w:rsidP="000F1476">
      <w:pPr>
        <w:widowControl w:val="0"/>
        <w:jc w:val="both"/>
        <w:rPr>
          <w:rFonts w:eastAsia="Lucida Sans Unicode" w:cs="Tahoma"/>
          <w:bCs/>
          <w:u w:val="single"/>
        </w:rPr>
      </w:pPr>
      <w:r>
        <w:rPr>
          <w:rFonts w:eastAsia="Lucida Sans Unicode" w:cs="Tahoma"/>
          <w:bCs/>
          <w:u w:val="single"/>
        </w:rPr>
        <w:t xml:space="preserve">laikinai einantis </w:t>
      </w:r>
      <w:r w:rsidRPr="002F4F19">
        <w:rPr>
          <w:rFonts w:eastAsia="Lucida Sans Unicode" w:cs="Tahoma"/>
          <w:bCs/>
          <w:u w:val="single"/>
        </w:rPr>
        <w:t>Vietos ūkio skyriaus vedėjo pa</w:t>
      </w:r>
      <w:r>
        <w:rPr>
          <w:rFonts w:eastAsia="Lucida Sans Unicode" w:cs="Tahoma"/>
          <w:bCs/>
          <w:u w:val="single"/>
        </w:rPr>
        <w:t>reigas</w:t>
      </w:r>
      <w:r>
        <w:rPr>
          <w:rFonts w:eastAsia="Lucida Sans Unicode" w:cs="Tahoma"/>
          <w:b/>
          <w:bCs/>
        </w:rPr>
        <w:t xml:space="preserve">        _______________    </w:t>
      </w:r>
      <w:r w:rsidRPr="002F4F19">
        <w:rPr>
          <w:rFonts w:eastAsia="Lucida Sans Unicode" w:cs="Tahoma"/>
          <w:bCs/>
          <w:u w:val="single"/>
        </w:rPr>
        <w:t xml:space="preserve">Arvydas Liutika     </w:t>
      </w:r>
    </w:p>
    <w:p w:rsidR="000F1476" w:rsidRDefault="000F1476" w:rsidP="000F1476">
      <w:pPr>
        <w:widowControl w:val="0"/>
        <w:jc w:val="both"/>
      </w:pPr>
      <w:r>
        <w:rPr>
          <w:rFonts w:eastAsia="Lucida Sans Unicode" w:cs="Tahoma"/>
          <w:b/>
          <w:bCs/>
        </w:rPr>
        <w:t xml:space="preserve">                      </w:t>
      </w:r>
      <w:r>
        <w:rPr>
          <w:rFonts w:eastAsia="Lucida Sans Unicode" w:cs="Tahoma"/>
          <w:bCs/>
          <w:sz w:val="18"/>
          <w:szCs w:val="18"/>
        </w:rPr>
        <w:t>(pareigos)                                                                                     (parašas)                              (vardas, pavardė)</w:t>
      </w:r>
    </w:p>
    <w:p w:rsidR="000F1476" w:rsidRDefault="000F1476" w:rsidP="000F1476"/>
    <w:p w:rsidR="000F1476" w:rsidRDefault="000F1476" w:rsidP="000F1476"/>
    <w:p w:rsidR="000F1476" w:rsidRDefault="000F1476" w:rsidP="000F1476"/>
    <w:p w:rsidR="001401C8" w:rsidRPr="001401C8" w:rsidRDefault="001401C8"/>
    <w:p w:rsidR="001401C8" w:rsidRPr="001401C8" w:rsidRDefault="001401C8"/>
    <w:p w:rsidR="001401C8" w:rsidRPr="001401C8" w:rsidRDefault="001401C8"/>
    <w:p w:rsidR="001401C8" w:rsidRPr="001401C8" w:rsidRDefault="001401C8"/>
    <w:p w:rsidR="001401C8" w:rsidRPr="001401C8" w:rsidRDefault="001401C8"/>
    <w:p w:rsidR="001401C8" w:rsidRPr="001401C8" w:rsidRDefault="001401C8"/>
    <w:sectPr w:rsidR="001401C8" w:rsidRPr="001401C8" w:rsidSect="00EC55A3">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0A" w:rsidRDefault="00B6470A" w:rsidP="005C2D0E">
      <w:r>
        <w:separator/>
      </w:r>
    </w:p>
  </w:endnote>
  <w:endnote w:type="continuationSeparator" w:id="0">
    <w:p w:rsidR="00B6470A" w:rsidRDefault="00B6470A" w:rsidP="005C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0A" w:rsidRDefault="00B6470A" w:rsidP="005C2D0E">
      <w:r>
        <w:separator/>
      </w:r>
    </w:p>
  </w:footnote>
  <w:footnote w:type="continuationSeparator" w:id="0">
    <w:p w:rsidR="00B6470A" w:rsidRDefault="00B6470A" w:rsidP="005C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0A" w:rsidRDefault="00B6470A" w:rsidP="005C2D0E">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6530"/>
    <w:multiLevelType w:val="hybridMultilevel"/>
    <w:tmpl w:val="5434BF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114235"/>
    <w:multiLevelType w:val="hybridMultilevel"/>
    <w:tmpl w:val="058884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0302B6"/>
    <w:multiLevelType w:val="hybridMultilevel"/>
    <w:tmpl w:val="F2CE5C0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27819C9"/>
    <w:multiLevelType w:val="hybridMultilevel"/>
    <w:tmpl w:val="D9C04E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E0A4279"/>
    <w:multiLevelType w:val="hybridMultilevel"/>
    <w:tmpl w:val="655A8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F3B7FC9"/>
    <w:multiLevelType w:val="hybridMultilevel"/>
    <w:tmpl w:val="D5B6354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35"/>
    <w:rsid w:val="000220E0"/>
    <w:rsid w:val="00054830"/>
    <w:rsid w:val="00062CCF"/>
    <w:rsid w:val="00071471"/>
    <w:rsid w:val="000F1476"/>
    <w:rsid w:val="0010306C"/>
    <w:rsid w:val="00103CB6"/>
    <w:rsid w:val="001401C8"/>
    <w:rsid w:val="00163A8D"/>
    <w:rsid w:val="001A0F13"/>
    <w:rsid w:val="002A7B21"/>
    <w:rsid w:val="003312EA"/>
    <w:rsid w:val="00410FCE"/>
    <w:rsid w:val="0047434D"/>
    <w:rsid w:val="004D6147"/>
    <w:rsid w:val="00554F0E"/>
    <w:rsid w:val="005A0567"/>
    <w:rsid w:val="005C2D0E"/>
    <w:rsid w:val="005D78A8"/>
    <w:rsid w:val="00666555"/>
    <w:rsid w:val="0067592C"/>
    <w:rsid w:val="006A76FA"/>
    <w:rsid w:val="006C449B"/>
    <w:rsid w:val="006F41DD"/>
    <w:rsid w:val="007661FF"/>
    <w:rsid w:val="007B3D13"/>
    <w:rsid w:val="007B5C5B"/>
    <w:rsid w:val="00852535"/>
    <w:rsid w:val="008A76FE"/>
    <w:rsid w:val="00916FEC"/>
    <w:rsid w:val="00926600"/>
    <w:rsid w:val="009F77E5"/>
    <w:rsid w:val="00A05222"/>
    <w:rsid w:val="00A35B16"/>
    <w:rsid w:val="00A57538"/>
    <w:rsid w:val="00AA1C89"/>
    <w:rsid w:val="00AC1F60"/>
    <w:rsid w:val="00B10662"/>
    <w:rsid w:val="00B6470A"/>
    <w:rsid w:val="00B85D88"/>
    <w:rsid w:val="00C17BD5"/>
    <w:rsid w:val="00C34B30"/>
    <w:rsid w:val="00CA2DD9"/>
    <w:rsid w:val="00D15D42"/>
    <w:rsid w:val="00D30F57"/>
    <w:rsid w:val="00D55F1F"/>
    <w:rsid w:val="00E417F5"/>
    <w:rsid w:val="00EA3A82"/>
    <w:rsid w:val="00EC55A3"/>
    <w:rsid w:val="00F24249"/>
    <w:rsid w:val="00FA25A4"/>
    <w:rsid w:val="00FB357B"/>
    <w:rsid w:val="00FE5E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2D0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1401C8"/>
    <w:pPr>
      <w:keepNext/>
      <w:keepLines/>
      <w:spacing w:before="480" w:after="240"/>
      <w:jc w:val="right"/>
      <w:outlineLvl w:val="0"/>
    </w:pPr>
    <w:rPr>
      <w:rFonts w:asciiTheme="majorHAnsi" w:eastAsiaTheme="majorEastAsia" w:hAnsiTheme="majorHAnsi" w:cstheme="majorBidi"/>
      <w:b/>
      <w:bCs/>
      <w:smallCap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5C2D0E"/>
    <w:rPr>
      <w:sz w:val="16"/>
    </w:rPr>
  </w:style>
  <w:style w:type="paragraph" w:styleId="Antrats">
    <w:name w:val="header"/>
    <w:basedOn w:val="prastasis"/>
    <w:link w:val="AntratsDiagrama"/>
    <w:uiPriority w:val="99"/>
    <w:unhideWhenUsed/>
    <w:rsid w:val="005C2D0E"/>
    <w:pPr>
      <w:tabs>
        <w:tab w:val="center" w:pos="4819"/>
        <w:tab w:val="right" w:pos="9638"/>
      </w:tabs>
    </w:pPr>
  </w:style>
  <w:style w:type="character" w:customStyle="1" w:styleId="AntratsDiagrama">
    <w:name w:val="Antraštės Diagrama"/>
    <w:basedOn w:val="Numatytasispastraiposriftas"/>
    <w:link w:val="Antrats"/>
    <w:uiPriority w:val="99"/>
    <w:rsid w:val="005C2D0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C2D0E"/>
    <w:pPr>
      <w:tabs>
        <w:tab w:val="center" w:pos="4819"/>
        <w:tab w:val="right" w:pos="9638"/>
      </w:tabs>
    </w:pPr>
  </w:style>
  <w:style w:type="character" w:customStyle="1" w:styleId="PoratDiagrama">
    <w:name w:val="Poraštė Diagrama"/>
    <w:basedOn w:val="Numatytasispastraiposriftas"/>
    <w:link w:val="Porat"/>
    <w:uiPriority w:val="99"/>
    <w:rsid w:val="005C2D0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1401C8"/>
    <w:rPr>
      <w:rFonts w:asciiTheme="majorHAnsi" w:eastAsiaTheme="majorEastAsia" w:hAnsiTheme="majorHAnsi" w:cstheme="majorBidi"/>
      <w:b/>
      <w:bCs/>
      <w:smallCaps/>
      <w:sz w:val="28"/>
      <w:szCs w:val="28"/>
      <w:lang w:eastAsia="lt-LT"/>
    </w:rPr>
  </w:style>
  <w:style w:type="paragraph" w:styleId="Sraopastraipa">
    <w:name w:val="List Paragraph"/>
    <w:aliases w:val="Buletai"/>
    <w:basedOn w:val="prastasis"/>
    <w:link w:val="SraopastraipaDiagrama"/>
    <w:uiPriority w:val="34"/>
    <w:qFormat/>
    <w:rsid w:val="001401C8"/>
    <w:pPr>
      <w:ind w:left="720"/>
      <w:contextualSpacing/>
    </w:pPr>
  </w:style>
  <w:style w:type="character" w:customStyle="1" w:styleId="SraopastraipaDiagrama">
    <w:name w:val="Sąrašo pastraipa Diagrama"/>
    <w:aliases w:val="Buletai Diagrama"/>
    <w:link w:val="Sraopastraipa"/>
    <w:uiPriority w:val="34"/>
    <w:locked/>
    <w:rsid w:val="001401C8"/>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nhideWhenUsed/>
    <w:rsid w:val="001401C8"/>
    <w:pPr>
      <w:spacing w:after="120" w:line="480" w:lineRule="auto"/>
      <w:ind w:left="283" w:firstLine="709"/>
    </w:pPr>
    <w:rPr>
      <w:rFonts w:eastAsia="Calibri"/>
      <w:szCs w:val="22"/>
    </w:rPr>
  </w:style>
  <w:style w:type="character" w:customStyle="1" w:styleId="Pagrindiniotekstotrauka2Diagrama">
    <w:name w:val="Pagrindinio teksto įtrauka 2 Diagrama"/>
    <w:basedOn w:val="Numatytasispastraiposriftas"/>
    <w:link w:val="Pagrindiniotekstotrauka2"/>
    <w:rsid w:val="001401C8"/>
    <w:rPr>
      <w:rFonts w:ascii="Times New Roman" w:eastAsia="Calibri" w:hAnsi="Times New Roman" w:cs="Times New Roman"/>
      <w:sz w:val="24"/>
      <w:lang w:eastAsia="lt-LT"/>
    </w:rPr>
  </w:style>
  <w:style w:type="paragraph" w:customStyle="1" w:styleId="Default">
    <w:name w:val="Default"/>
    <w:rsid w:val="001401C8"/>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401C8"/>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14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8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8A8"/>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2D0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1401C8"/>
    <w:pPr>
      <w:keepNext/>
      <w:keepLines/>
      <w:spacing w:before="480" w:after="240"/>
      <w:jc w:val="right"/>
      <w:outlineLvl w:val="0"/>
    </w:pPr>
    <w:rPr>
      <w:rFonts w:asciiTheme="majorHAnsi" w:eastAsiaTheme="majorEastAsia" w:hAnsiTheme="majorHAnsi" w:cstheme="majorBidi"/>
      <w:b/>
      <w:bCs/>
      <w:smallCap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5C2D0E"/>
    <w:rPr>
      <w:sz w:val="16"/>
    </w:rPr>
  </w:style>
  <w:style w:type="paragraph" w:styleId="Antrats">
    <w:name w:val="header"/>
    <w:basedOn w:val="prastasis"/>
    <w:link w:val="AntratsDiagrama"/>
    <w:uiPriority w:val="99"/>
    <w:unhideWhenUsed/>
    <w:rsid w:val="005C2D0E"/>
    <w:pPr>
      <w:tabs>
        <w:tab w:val="center" w:pos="4819"/>
        <w:tab w:val="right" w:pos="9638"/>
      </w:tabs>
    </w:pPr>
  </w:style>
  <w:style w:type="character" w:customStyle="1" w:styleId="AntratsDiagrama">
    <w:name w:val="Antraštės Diagrama"/>
    <w:basedOn w:val="Numatytasispastraiposriftas"/>
    <w:link w:val="Antrats"/>
    <w:uiPriority w:val="99"/>
    <w:rsid w:val="005C2D0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C2D0E"/>
    <w:pPr>
      <w:tabs>
        <w:tab w:val="center" w:pos="4819"/>
        <w:tab w:val="right" w:pos="9638"/>
      </w:tabs>
    </w:pPr>
  </w:style>
  <w:style w:type="character" w:customStyle="1" w:styleId="PoratDiagrama">
    <w:name w:val="Poraštė Diagrama"/>
    <w:basedOn w:val="Numatytasispastraiposriftas"/>
    <w:link w:val="Porat"/>
    <w:uiPriority w:val="99"/>
    <w:rsid w:val="005C2D0E"/>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1401C8"/>
    <w:rPr>
      <w:rFonts w:asciiTheme="majorHAnsi" w:eastAsiaTheme="majorEastAsia" w:hAnsiTheme="majorHAnsi" w:cstheme="majorBidi"/>
      <w:b/>
      <w:bCs/>
      <w:smallCaps/>
      <w:sz w:val="28"/>
      <w:szCs w:val="28"/>
      <w:lang w:eastAsia="lt-LT"/>
    </w:rPr>
  </w:style>
  <w:style w:type="paragraph" w:styleId="Sraopastraipa">
    <w:name w:val="List Paragraph"/>
    <w:aliases w:val="Buletai"/>
    <w:basedOn w:val="prastasis"/>
    <w:link w:val="SraopastraipaDiagrama"/>
    <w:uiPriority w:val="34"/>
    <w:qFormat/>
    <w:rsid w:val="001401C8"/>
    <w:pPr>
      <w:ind w:left="720"/>
      <w:contextualSpacing/>
    </w:pPr>
  </w:style>
  <w:style w:type="character" w:customStyle="1" w:styleId="SraopastraipaDiagrama">
    <w:name w:val="Sąrašo pastraipa Diagrama"/>
    <w:aliases w:val="Buletai Diagrama"/>
    <w:link w:val="Sraopastraipa"/>
    <w:uiPriority w:val="34"/>
    <w:locked/>
    <w:rsid w:val="001401C8"/>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nhideWhenUsed/>
    <w:rsid w:val="001401C8"/>
    <w:pPr>
      <w:spacing w:after="120" w:line="480" w:lineRule="auto"/>
      <w:ind w:left="283" w:firstLine="709"/>
    </w:pPr>
    <w:rPr>
      <w:rFonts w:eastAsia="Calibri"/>
      <w:szCs w:val="22"/>
    </w:rPr>
  </w:style>
  <w:style w:type="character" w:customStyle="1" w:styleId="Pagrindiniotekstotrauka2Diagrama">
    <w:name w:val="Pagrindinio teksto įtrauka 2 Diagrama"/>
    <w:basedOn w:val="Numatytasispastraiposriftas"/>
    <w:link w:val="Pagrindiniotekstotrauka2"/>
    <w:rsid w:val="001401C8"/>
    <w:rPr>
      <w:rFonts w:ascii="Times New Roman" w:eastAsia="Calibri" w:hAnsi="Times New Roman" w:cs="Times New Roman"/>
      <w:sz w:val="24"/>
      <w:lang w:eastAsia="lt-LT"/>
    </w:rPr>
  </w:style>
  <w:style w:type="paragraph" w:customStyle="1" w:styleId="Default">
    <w:name w:val="Default"/>
    <w:rsid w:val="001401C8"/>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1401C8"/>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14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8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8A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562">
      <w:bodyDiv w:val="1"/>
      <w:marLeft w:val="0"/>
      <w:marRight w:val="0"/>
      <w:marTop w:val="0"/>
      <w:marBottom w:val="0"/>
      <w:divBdr>
        <w:top w:val="none" w:sz="0" w:space="0" w:color="auto"/>
        <w:left w:val="none" w:sz="0" w:space="0" w:color="auto"/>
        <w:bottom w:val="none" w:sz="0" w:space="0" w:color="auto"/>
        <w:right w:val="none" w:sz="0" w:space="0" w:color="auto"/>
      </w:divBdr>
    </w:div>
    <w:div w:id="716008603">
      <w:bodyDiv w:val="1"/>
      <w:marLeft w:val="0"/>
      <w:marRight w:val="0"/>
      <w:marTop w:val="0"/>
      <w:marBottom w:val="0"/>
      <w:divBdr>
        <w:top w:val="none" w:sz="0" w:space="0" w:color="auto"/>
        <w:left w:val="none" w:sz="0" w:space="0" w:color="auto"/>
        <w:bottom w:val="none" w:sz="0" w:space="0" w:color="auto"/>
        <w:right w:val="none" w:sz="0" w:space="0" w:color="auto"/>
      </w:divBdr>
    </w:div>
    <w:div w:id="1785268059">
      <w:bodyDiv w:val="1"/>
      <w:marLeft w:val="0"/>
      <w:marRight w:val="0"/>
      <w:marTop w:val="0"/>
      <w:marBottom w:val="0"/>
      <w:divBdr>
        <w:top w:val="none" w:sz="0" w:space="0" w:color="auto"/>
        <w:left w:val="none" w:sz="0" w:space="0" w:color="auto"/>
        <w:bottom w:val="none" w:sz="0" w:space="0" w:color="auto"/>
        <w:right w:val="none" w:sz="0" w:space="0" w:color="auto"/>
      </w:divBdr>
    </w:div>
    <w:div w:id="19293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0B80-D1EC-4265-9FBA-20CECFED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D369403E</Template>
  <TotalTime>8</TotalTime>
  <Pages>4</Pages>
  <Words>5611</Words>
  <Characters>3199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Plunges Vandenys</dc:creator>
  <cp:lastModifiedBy>Jovita Šumskienė</cp:lastModifiedBy>
  <cp:revision>4</cp:revision>
  <dcterms:created xsi:type="dcterms:W3CDTF">2019-11-27T06:56:00Z</dcterms:created>
  <dcterms:modified xsi:type="dcterms:W3CDTF">2019-11-27T07:19:00Z</dcterms:modified>
</cp:coreProperties>
</file>