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0561E8">
        <w:rPr>
          <w:b/>
        </w:rPr>
        <w:t>rojektas</w:t>
      </w:r>
    </w:p>
    <w:p w:rsidR="009625EF" w:rsidRDefault="00D56554" w:rsidP="00D56554">
      <w:pPr>
        <w:jc w:val="center"/>
        <w:rPr>
          <w:b/>
          <w:sz w:val="28"/>
          <w:szCs w:val="28"/>
        </w:rPr>
      </w:pPr>
      <w:r w:rsidRPr="000E7350">
        <w:rPr>
          <w:b/>
          <w:sz w:val="28"/>
          <w:szCs w:val="28"/>
        </w:rPr>
        <w:t>PLUNGĖS RAJONO SAVIVALDYBĖS</w:t>
      </w:r>
    </w:p>
    <w:p w:rsidR="00D56554" w:rsidRPr="000E7350" w:rsidRDefault="00D56554" w:rsidP="00D56554">
      <w:pPr>
        <w:jc w:val="center"/>
        <w:rPr>
          <w:b/>
          <w:sz w:val="28"/>
          <w:szCs w:val="28"/>
        </w:rPr>
      </w:pPr>
      <w:r w:rsidRPr="000E7350">
        <w:rPr>
          <w:b/>
          <w:sz w:val="28"/>
          <w:szCs w:val="28"/>
        </w:rPr>
        <w:t>TARYBA</w:t>
      </w:r>
    </w:p>
    <w:p w:rsidR="00D56554" w:rsidRPr="000E7350" w:rsidRDefault="00D56554" w:rsidP="00D56554">
      <w:pPr>
        <w:jc w:val="center"/>
        <w:rPr>
          <w:b/>
          <w:sz w:val="28"/>
          <w:szCs w:val="28"/>
        </w:rPr>
      </w:pPr>
    </w:p>
    <w:p w:rsidR="00D56554" w:rsidRPr="000E7350" w:rsidRDefault="00D56554" w:rsidP="00D56554">
      <w:pPr>
        <w:jc w:val="center"/>
        <w:rPr>
          <w:b/>
          <w:sz w:val="28"/>
          <w:szCs w:val="28"/>
        </w:rPr>
      </w:pPr>
      <w:r w:rsidRPr="000E7350">
        <w:rPr>
          <w:b/>
          <w:sz w:val="28"/>
          <w:szCs w:val="28"/>
        </w:rPr>
        <w:t>SPRENDIMAS</w:t>
      </w:r>
    </w:p>
    <w:p w:rsidR="00D56554" w:rsidRDefault="00D56554" w:rsidP="00D56554">
      <w:pPr>
        <w:jc w:val="center"/>
        <w:rPr>
          <w:b/>
          <w:caps/>
          <w:sz w:val="28"/>
          <w:szCs w:val="28"/>
        </w:rPr>
      </w:pPr>
      <w:r w:rsidRPr="000E7350">
        <w:rPr>
          <w:b/>
          <w:caps/>
          <w:sz w:val="28"/>
          <w:szCs w:val="28"/>
        </w:rPr>
        <w:t xml:space="preserve">DĖL </w:t>
      </w:r>
      <w:r w:rsidR="00502DE0" w:rsidRPr="000E7350">
        <w:rPr>
          <w:b/>
          <w:caps/>
          <w:sz w:val="28"/>
          <w:szCs w:val="28"/>
        </w:rPr>
        <w:t>PLUNGĖS RAJONO SAVIVALDYBĖS DAUGIABUČIŲ GYVENAMŲJŲ NAMŲ MAKSIMALIŲ TECHNINĖS PRIEŽIŪROS TARIFŲ PATVIRTINIMO</w:t>
      </w:r>
    </w:p>
    <w:p w:rsidR="000561E8" w:rsidRPr="000E7350" w:rsidRDefault="000561E8" w:rsidP="00D56554">
      <w:pPr>
        <w:jc w:val="center"/>
        <w:rPr>
          <w:b/>
          <w:caps/>
          <w:sz w:val="28"/>
          <w:szCs w:val="28"/>
        </w:rPr>
      </w:pPr>
    </w:p>
    <w:p w:rsidR="00D56554" w:rsidRDefault="00502DE0" w:rsidP="00D56554">
      <w:pPr>
        <w:jc w:val="center"/>
      </w:pPr>
      <w:r>
        <w:t xml:space="preserve">2019 </w:t>
      </w:r>
      <w:r w:rsidR="000E7350">
        <w:t xml:space="preserve">m. </w:t>
      </w:r>
      <w:r>
        <w:t>spalio 31 d.</w:t>
      </w:r>
      <w:r w:rsidR="00D56554">
        <w:t xml:space="preserve"> Nr.</w:t>
      </w:r>
      <w:r w:rsidR="007B3325">
        <w:t xml:space="preserve"> T</w:t>
      </w:r>
      <w:r w:rsidR="000561E8">
        <w:t>1</w:t>
      </w:r>
      <w:r w:rsidR="007B3325">
        <w:t>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9625EF">
      <w:pPr>
        <w:ind w:firstLine="720"/>
        <w:jc w:val="both"/>
      </w:pPr>
      <w:r>
        <w:t xml:space="preserve">Vadovaudamasi </w:t>
      </w:r>
      <w:r w:rsidR="00BD58EE" w:rsidRPr="00BD58EE">
        <w:t>Lietuvos Respublikos vietos savivaldos įstatymo 16 straipsnio 2 dalies 37 punktu,</w:t>
      </w:r>
      <w:r w:rsidR="00BD58EE">
        <w:t xml:space="preserve"> </w:t>
      </w:r>
      <w:r>
        <w:t xml:space="preserve">Lietuvos Respublikos </w:t>
      </w:r>
      <w:r w:rsidR="00502DE0">
        <w:t>statybos įstatymo 48 straipsnio 7</w:t>
      </w:r>
      <w:r>
        <w:t xml:space="preserve"> dalimi</w:t>
      </w:r>
      <w:r w:rsidR="00502DE0">
        <w:t xml:space="preserve"> ir Daugiabučių gyvenamųjų namų techninės priežiūros tarifo apskaičiavimo metodika, patvirtinta Lietuvos Respublikos aplinkos ministro 2018 m. gegužės 3 d. įsakymu Nr. D1-354 „Dėl </w:t>
      </w:r>
      <w:r w:rsidR="000561E8">
        <w:t>D</w:t>
      </w:r>
      <w:r w:rsidR="00502DE0">
        <w:t xml:space="preserve">augiabučių </w:t>
      </w:r>
      <w:r w:rsidR="000561E8">
        <w:t xml:space="preserve">gyvenamųjų </w:t>
      </w:r>
      <w:r w:rsidR="00502DE0">
        <w:t>namų techninės priežiūros tarifo apskaičiavimo metodikos patvirtinimo“,</w:t>
      </w:r>
      <w:r>
        <w:t xml:space="preserve"> Plungės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0561E8">
        <w:t xml:space="preserve"> </w:t>
      </w:r>
    </w:p>
    <w:p w:rsidR="00DE2EB2" w:rsidRDefault="009D5285" w:rsidP="009625EF">
      <w:pPr>
        <w:tabs>
          <w:tab w:val="num" w:pos="-3261"/>
        </w:tabs>
        <w:ind w:firstLine="720"/>
        <w:jc w:val="both"/>
      </w:pPr>
      <w:r>
        <w:t>1.</w:t>
      </w:r>
      <w:r w:rsidR="000561E8">
        <w:t xml:space="preserve"> </w:t>
      </w:r>
      <w:r>
        <w:t>Patvirtinti Plungės rajono savivaldybės daugiabučių gyvenamųjų namų maksimalius techninės priežiūros tarifus (pridedama).</w:t>
      </w:r>
      <w:r w:rsidR="000561E8">
        <w:t xml:space="preserve"> </w:t>
      </w:r>
    </w:p>
    <w:p w:rsidR="009D5285" w:rsidRDefault="009D5285" w:rsidP="009625EF">
      <w:pPr>
        <w:tabs>
          <w:tab w:val="num" w:pos="-3261"/>
        </w:tabs>
        <w:ind w:firstLine="720"/>
        <w:jc w:val="both"/>
      </w:pPr>
      <w:r>
        <w:t>2. Nustatyti, kad šio sprendimo 1 punkt</w:t>
      </w:r>
      <w:r w:rsidR="000561E8">
        <w:t>u</w:t>
      </w:r>
      <w:r>
        <w:t xml:space="preserve"> patvirtinti maksimalūs techninės priežiūros tarifai teisės aktų nustatyta tvarka</w:t>
      </w:r>
      <w:r w:rsidR="00721747">
        <w:t xml:space="preserve"> </w:t>
      </w:r>
      <w:r w:rsidR="000561E8">
        <w:t xml:space="preserve">taikomi </w:t>
      </w:r>
      <w:r w:rsidR="00721747">
        <w:t>Plungės rajono savivaldybėje</w:t>
      </w:r>
      <w:r>
        <w:t xml:space="preserve"> paskirtam daugiabučių gyvenamųjų namų</w:t>
      </w:r>
      <w:r w:rsidR="00721747">
        <w:t xml:space="preserve"> bendrojo naudojimo objektų administratoriui.</w:t>
      </w:r>
    </w:p>
    <w:p w:rsidR="00721747" w:rsidRDefault="00721747" w:rsidP="009625EF">
      <w:pPr>
        <w:tabs>
          <w:tab w:val="num" w:pos="-3261"/>
        </w:tabs>
        <w:ind w:firstLine="720"/>
        <w:jc w:val="both"/>
      </w:pPr>
      <w:r>
        <w:t xml:space="preserve">3. Rekomenduoti kitiems daugiabučių gyvenamųjų namų bendrojo naudojimo objektų valdytojams </w:t>
      </w:r>
      <w:r w:rsidR="00283200" w:rsidRPr="00283200">
        <w:t xml:space="preserve">už techninę priežiūrą </w:t>
      </w:r>
      <w:r w:rsidR="00283200">
        <w:t>taikyti ne didesnius tarifus</w:t>
      </w:r>
      <w:r>
        <w:t>, negu šio sprendimo</w:t>
      </w:r>
      <w:r w:rsidR="00274534">
        <w:t xml:space="preserve"> 1</w:t>
      </w:r>
      <w:r>
        <w:t xml:space="preserve"> punkt</w:t>
      </w:r>
      <w:r w:rsidR="000561E8">
        <w:t>u</w:t>
      </w:r>
      <w:r>
        <w:t xml:space="preserve"> nustatyti maksimalūs tarifai.</w:t>
      </w:r>
    </w:p>
    <w:p w:rsidR="00DE2EB2" w:rsidRDefault="00DE2EB2" w:rsidP="00594FDA">
      <w:pPr>
        <w:jc w:val="both"/>
      </w:pPr>
    </w:p>
    <w:p w:rsidR="00395865" w:rsidRDefault="000561E8" w:rsidP="000561E8">
      <w:pPr>
        <w:jc w:val="both"/>
      </w:pPr>
      <w:r>
        <w:t xml:space="preserve">Savivaldybės meras </w:t>
      </w:r>
    </w:p>
    <w:p w:rsidR="00DE2EB2" w:rsidRDefault="00DE2EB2" w:rsidP="00594FDA">
      <w:pPr>
        <w:ind w:firstLine="737"/>
        <w:jc w:val="both"/>
      </w:pP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bookmarkStart w:id="0" w:name="Text9"/>
    <w:p w:rsidR="007D46EC" w:rsidRDefault="00DE6703" w:rsidP="00FE1F6A">
      <w:pPr>
        <w:jc w:val="both"/>
      </w:pPr>
      <w:r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Administracijos direktorius</w:t>
      </w:r>
      <w:r>
        <w:fldChar w:fldCharType="end"/>
      </w:r>
      <w:bookmarkEnd w:id="1"/>
      <w:r w:rsidR="007D46EC">
        <w:t xml:space="preserve"> </w:t>
      </w:r>
      <w:r w:rsidR="00072080">
        <w:t xml:space="preserve">  </w:t>
      </w:r>
      <w:r>
        <w:t xml:space="preserve">   </w:t>
      </w:r>
      <w:r w:rsidR="007D46EC">
        <w:fldChar w:fldCharType="begin">
          <w:ffData>
            <w:name w:val="Text9"/>
            <w:enabled/>
            <w:calcOnExit w:val="0"/>
            <w:textInput>
              <w:default w:val="Padalinio vadov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Padalinio vadovas</w:t>
      </w:r>
      <w:r w:rsidR="007D46EC">
        <w:fldChar w:fldCharType="end"/>
      </w:r>
      <w:bookmarkStart w:id="2" w:name="Text10"/>
      <w:bookmarkEnd w:id="0"/>
      <w:r w:rsidR="007D46EC">
        <w:t xml:space="preserve">   </w:t>
      </w:r>
      <w:bookmarkStart w:id="3" w:name="Text11"/>
      <w:bookmarkEnd w:id="2"/>
      <w:r>
        <w:t xml:space="preserve">   </w:t>
      </w:r>
      <w:r w:rsidR="00072080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="00072080">
        <w:instrText xml:space="preserve"> FORMTEXT </w:instrText>
      </w:r>
      <w:r w:rsidR="00072080">
        <w:fldChar w:fldCharType="separate"/>
      </w:r>
      <w:r w:rsidR="00072080">
        <w:rPr>
          <w:noProof/>
        </w:rPr>
        <w:t>Kalbos tvarkytojas</w:t>
      </w:r>
      <w:r w:rsidR="00072080">
        <w:fldChar w:fldCharType="end"/>
      </w:r>
      <w:r w:rsidR="007D46EC">
        <w:t xml:space="preserve">  </w:t>
      </w:r>
      <w:r w:rsidR="00072080">
        <w:t xml:space="preserve"> </w:t>
      </w:r>
      <w:r w:rsidR="007D46EC"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 w:rsidR="007D46EC">
        <w:instrText xml:space="preserve"> FORMTEXT </w:instrText>
      </w:r>
      <w:r w:rsidR="007D46EC">
        <w:fldChar w:fldCharType="separate"/>
      </w:r>
      <w:r w:rsidR="007D46EC">
        <w:rPr>
          <w:noProof/>
        </w:rPr>
        <w:t>Juristas</w:t>
      </w:r>
      <w:r w:rsidR="007D46EC">
        <w:fldChar w:fldCharType="end"/>
      </w:r>
      <w:bookmarkEnd w:id="3"/>
    </w:p>
    <w:p w:rsidR="00267763" w:rsidRDefault="00267763" w:rsidP="00267763">
      <w:pPr>
        <w:tabs>
          <w:tab w:val="left" w:pos="2410"/>
        </w:tabs>
        <w:jc w:val="both"/>
      </w:pPr>
      <w:bookmarkStart w:id="4" w:name="Text19"/>
    </w:p>
    <w:p w:rsidR="00267763" w:rsidRDefault="00267763" w:rsidP="00267763">
      <w:pPr>
        <w:tabs>
          <w:tab w:val="left" w:pos="2410"/>
        </w:tabs>
        <w:jc w:val="both"/>
      </w:pPr>
      <w:r>
        <w:t xml:space="preserve">..........................................    ..............................  ...........................   </w:t>
      </w:r>
      <w:r w:rsidR="00DE6703">
        <w:t xml:space="preserve"> </w:t>
      </w:r>
      <w:r>
        <w:t>............................</w:t>
      </w:r>
    </w:p>
    <w:bookmarkEnd w:id="4"/>
    <w:p w:rsidR="00FE1F6A" w:rsidRDefault="005F20EE" w:rsidP="00FE1F6A">
      <w:pPr>
        <w:jc w:val="both"/>
      </w:pPr>
      <w:r>
        <w:t xml:space="preserve">Mindaugas Kaunas            </w:t>
      </w:r>
      <w:r w:rsidR="00DE6703">
        <w:t xml:space="preserve">   </w:t>
      </w:r>
      <w:r w:rsidR="002E5472">
        <w:t xml:space="preserve"> </w:t>
      </w:r>
      <w:r w:rsidR="00DE6703">
        <w:t xml:space="preserve">   </w:t>
      </w:r>
      <w:r>
        <w:t xml:space="preserve">A. Liutika         </w:t>
      </w:r>
      <w:r w:rsidR="007D46EC">
        <w:t xml:space="preserve">     </w:t>
      </w:r>
      <w:r w:rsidR="00072080">
        <w:t xml:space="preserve"> </w:t>
      </w:r>
      <w:r w:rsidR="00DE6703">
        <w:t xml:space="preserve">  </w:t>
      </w:r>
      <w:r>
        <w:t xml:space="preserve">  </w:t>
      </w:r>
      <w:r w:rsidR="00DE6703">
        <w:t xml:space="preserve"> </w:t>
      </w:r>
      <w:r>
        <w:t>A. Eidukaitis</w:t>
      </w:r>
      <w:r w:rsidR="00072080">
        <w:t xml:space="preserve">   </w:t>
      </w:r>
      <w:r w:rsidR="007D46EC">
        <w:t xml:space="preserve">   </w:t>
      </w:r>
      <w:r w:rsidR="00072080">
        <w:t xml:space="preserve">  </w:t>
      </w:r>
      <w:r>
        <w:t xml:space="preserve"> V. Tumas  </w:t>
      </w:r>
    </w:p>
    <w:p w:rsidR="00FE1F6A" w:rsidRDefault="00FE1F6A" w:rsidP="00594FDA">
      <w:pPr>
        <w:jc w:val="both"/>
      </w:pPr>
    </w:p>
    <w:p w:rsidR="00FE1F6A" w:rsidRDefault="00FE1F6A" w:rsidP="00FE1F6A">
      <w:pPr>
        <w:jc w:val="both"/>
      </w:pPr>
    </w:p>
    <w:p w:rsidR="00FE1F6A" w:rsidRDefault="00FE1F6A" w:rsidP="00FE1F6A">
      <w:pPr>
        <w:jc w:val="both"/>
      </w:pPr>
    </w:p>
    <w:bookmarkStart w:id="5" w:name="Text8"/>
    <w:p w:rsidR="00FE1F6A" w:rsidRDefault="006F5609" w:rsidP="00FE1F6A">
      <w:pPr>
        <w:jc w:val="both"/>
      </w:pPr>
      <w: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Sprendimą rengė</w:t>
      </w:r>
      <w:r>
        <w:fldChar w:fldCharType="end"/>
      </w:r>
      <w:bookmarkEnd w:id="5"/>
      <w:r w:rsidR="007D46EC">
        <w:t xml:space="preserve"> </w:t>
      </w:r>
    </w:p>
    <w:p w:rsidR="007D46EC" w:rsidRDefault="005F20EE" w:rsidP="00594FDA">
      <w:pPr>
        <w:jc w:val="both"/>
      </w:pPr>
      <w:r>
        <w:t>Vietos ūkio</w:t>
      </w:r>
      <w:r w:rsidR="007D46EC">
        <w:t xml:space="preserve"> skyri</w:t>
      </w:r>
      <w:r w:rsidR="000561E8">
        <w:t>a</w:t>
      </w:r>
      <w:r w:rsidR="007D46EC">
        <w:t>us</w:t>
      </w:r>
      <w:r w:rsidR="000561E8">
        <w:t xml:space="preserve"> </w:t>
      </w:r>
      <w:r w:rsidR="007D46EC">
        <w:t>vyr.</w:t>
      </w:r>
      <w:r w:rsidR="000561E8">
        <w:t xml:space="preserve"> </w:t>
      </w:r>
      <w:r w:rsidR="007D46EC">
        <w:t>specialistas</w:t>
      </w:r>
      <w:r w:rsidR="000561E8">
        <w:t xml:space="preserve"> </w:t>
      </w:r>
      <w:r>
        <w:t>Kazys Milierius</w:t>
      </w:r>
    </w:p>
    <w:p w:rsidR="007D46EC" w:rsidRDefault="007D46EC" w:rsidP="00594FDA">
      <w:pPr>
        <w:jc w:val="both"/>
      </w:pPr>
    </w:p>
    <w:p w:rsidR="007D46EC" w:rsidRDefault="00267763" w:rsidP="00594FDA">
      <w:pPr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94FDA" w:rsidRDefault="00594FDA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5F20EE" w:rsidRDefault="005F20EE" w:rsidP="00594FDA">
      <w:pPr>
        <w:jc w:val="both"/>
      </w:pPr>
    </w:p>
    <w:p w:rsidR="009625EF" w:rsidRDefault="00594FDA" w:rsidP="009625EF">
      <w:pPr>
        <w:ind w:left="5184" w:firstLine="1296"/>
        <w:jc w:val="both"/>
      </w:pPr>
      <w:r>
        <w:lastRenderedPageBreak/>
        <w:t>PATVIRTINTA</w:t>
      </w:r>
    </w:p>
    <w:p w:rsidR="009625EF" w:rsidRDefault="00594FDA" w:rsidP="009625EF">
      <w:pPr>
        <w:ind w:left="5184" w:firstLine="1296"/>
        <w:jc w:val="both"/>
      </w:pPr>
      <w:r>
        <w:t xml:space="preserve">Plungės rajono savivaldybės </w:t>
      </w:r>
    </w:p>
    <w:p w:rsidR="009625EF" w:rsidRDefault="00594FDA" w:rsidP="009625EF">
      <w:pPr>
        <w:ind w:left="5184" w:firstLine="1296"/>
        <w:jc w:val="both"/>
      </w:pPr>
      <w:r>
        <w:t>tarybos</w:t>
      </w:r>
      <w:r w:rsidR="000561E8">
        <w:rPr>
          <w:i/>
        </w:rPr>
        <w:t xml:space="preserve"> </w:t>
      </w:r>
      <w:r w:rsidR="00193B3B" w:rsidRPr="00193B3B">
        <w:t>2019</w:t>
      </w:r>
      <w:r w:rsidR="00B30D81">
        <w:t xml:space="preserve"> </w:t>
      </w:r>
      <w:r w:rsidR="00193B3B" w:rsidRPr="00193B3B">
        <w:t>spalio 31</w:t>
      </w:r>
      <w:r w:rsidR="00B30D81">
        <w:t xml:space="preserve"> d. </w:t>
      </w:r>
    </w:p>
    <w:p w:rsidR="00594FDA" w:rsidRPr="00193B3B" w:rsidRDefault="00594FDA" w:rsidP="009625EF">
      <w:pPr>
        <w:ind w:left="5184" w:firstLine="1296"/>
        <w:jc w:val="both"/>
      </w:pPr>
      <w:r w:rsidRPr="00193B3B">
        <w:t>sprendimu Nr.</w:t>
      </w:r>
      <w:r w:rsidR="000561E8">
        <w:t xml:space="preserve"> T1-</w:t>
      </w:r>
    </w:p>
    <w:p w:rsidR="00193B3B" w:rsidRDefault="00193B3B" w:rsidP="00193B3B">
      <w:pPr>
        <w:jc w:val="both"/>
      </w:pPr>
    </w:p>
    <w:p w:rsidR="00193B3B" w:rsidRDefault="00193B3B" w:rsidP="009625EF">
      <w:pPr>
        <w:jc w:val="center"/>
        <w:rPr>
          <w:b/>
        </w:rPr>
      </w:pPr>
      <w:r w:rsidRPr="00193B3B">
        <w:rPr>
          <w:b/>
        </w:rPr>
        <w:t>PLUNGĖS RAJONO SAVIVALDYBĖS DAUGIABUČIŲ GYVENAMŲJŲ N</w:t>
      </w:r>
      <w:r w:rsidR="000561E8">
        <w:rPr>
          <w:b/>
        </w:rPr>
        <w:t xml:space="preserve">AMŲ </w:t>
      </w:r>
      <w:r w:rsidRPr="00193B3B">
        <w:rPr>
          <w:b/>
        </w:rPr>
        <w:t>MAKSIMAL</w:t>
      </w:r>
      <w:r>
        <w:rPr>
          <w:b/>
        </w:rPr>
        <w:t>ŪS</w:t>
      </w:r>
      <w:r w:rsidRPr="00193B3B">
        <w:rPr>
          <w:b/>
        </w:rPr>
        <w:t xml:space="preserve"> TECHNINĖS PRIEŽIŪROS TARIF</w:t>
      </w:r>
      <w:r>
        <w:rPr>
          <w:b/>
        </w:rPr>
        <w:t>AI</w:t>
      </w:r>
    </w:p>
    <w:p w:rsidR="00193B3B" w:rsidRDefault="00193B3B" w:rsidP="000E7350">
      <w:pPr>
        <w:ind w:left="2268" w:hanging="2268"/>
        <w:jc w:val="center"/>
        <w:rPr>
          <w:b/>
        </w:rPr>
      </w:pPr>
    </w:p>
    <w:p w:rsidR="00193B3B" w:rsidRDefault="00193B3B" w:rsidP="00193B3B">
      <w:pPr>
        <w:ind w:left="2268" w:hanging="2268"/>
        <w:jc w:val="both"/>
        <w:rPr>
          <w:b/>
        </w:rPr>
      </w:pPr>
    </w:p>
    <w:tbl>
      <w:tblPr>
        <w:tblStyle w:val="Lentelstinklelis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2552"/>
        <w:gridCol w:w="1417"/>
        <w:gridCol w:w="1418"/>
        <w:gridCol w:w="1382"/>
      </w:tblGrid>
      <w:tr w:rsidR="00487192" w:rsidTr="009625EF">
        <w:tc>
          <w:tcPr>
            <w:tcW w:w="567" w:type="dxa"/>
            <w:vAlign w:val="center"/>
          </w:tcPr>
          <w:p w:rsidR="00193B3B" w:rsidRPr="00193B3B" w:rsidRDefault="00193B3B" w:rsidP="009625EF">
            <w:pPr>
              <w:jc w:val="center"/>
            </w:pPr>
            <w:proofErr w:type="spellStart"/>
            <w:r w:rsidRPr="00193B3B">
              <w:t>Eil</w:t>
            </w:r>
            <w:proofErr w:type="spellEnd"/>
            <w:r w:rsidRPr="00193B3B">
              <w:t xml:space="preserve"> Nr.</w:t>
            </w:r>
          </w:p>
        </w:tc>
        <w:tc>
          <w:tcPr>
            <w:tcW w:w="1276" w:type="dxa"/>
            <w:vAlign w:val="center"/>
          </w:tcPr>
          <w:p w:rsidR="009625EF" w:rsidRDefault="00193B3B" w:rsidP="009625EF">
            <w:pPr>
              <w:jc w:val="center"/>
            </w:pPr>
            <w:r w:rsidRPr="00193B3B">
              <w:t>Namo bendras naudingas plotas</w:t>
            </w:r>
            <w:r w:rsidR="000561E8">
              <w:t>,</w:t>
            </w:r>
          </w:p>
          <w:p w:rsidR="00193B3B" w:rsidRPr="00193B3B" w:rsidRDefault="00193B3B" w:rsidP="009625EF">
            <w:pPr>
              <w:jc w:val="center"/>
            </w:pPr>
            <w:r>
              <w:t xml:space="preserve"> m²</w:t>
            </w:r>
          </w:p>
        </w:tc>
        <w:tc>
          <w:tcPr>
            <w:tcW w:w="1134" w:type="dxa"/>
            <w:vAlign w:val="center"/>
          </w:tcPr>
          <w:p w:rsidR="00193B3B" w:rsidRPr="00193B3B" w:rsidRDefault="00193B3B" w:rsidP="009625EF">
            <w:pPr>
              <w:jc w:val="center"/>
            </w:pPr>
            <w:r w:rsidRPr="00193B3B">
              <w:t>Namo dydžio koeficientas</w:t>
            </w:r>
          </w:p>
        </w:tc>
        <w:tc>
          <w:tcPr>
            <w:tcW w:w="2552" w:type="dxa"/>
            <w:vAlign w:val="center"/>
          </w:tcPr>
          <w:p w:rsidR="00193B3B" w:rsidRPr="00193B3B" w:rsidRDefault="00193B3B" w:rsidP="009625EF">
            <w:pPr>
              <w:jc w:val="center"/>
            </w:pPr>
            <w:r w:rsidRPr="00193B3B">
              <w:t>Namo ypatumai</w:t>
            </w:r>
          </w:p>
        </w:tc>
        <w:tc>
          <w:tcPr>
            <w:tcW w:w="1417" w:type="dxa"/>
            <w:vAlign w:val="center"/>
          </w:tcPr>
          <w:p w:rsidR="00193B3B" w:rsidRPr="00487192" w:rsidRDefault="00487192" w:rsidP="009625EF">
            <w:pPr>
              <w:jc w:val="center"/>
            </w:pPr>
            <w:r w:rsidRPr="00487192">
              <w:t>Namo ypatumų koeficientas</w:t>
            </w:r>
          </w:p>
        </w:tc>
        <w:tc>
          <w:tcPr>
            <w:tcW w:w="1418" w:type="dxa"/>
            <w:vAlign w:val="center"/>
          </w:tcPr>
          <w:p w:rsidR="00193B3B" w:rsidRPr="00487192" w:rsidRDefault="00487192" w:rsidP="009625EF">
            <w:pPr>
              <w:jc w:val="center"/>
            </w:pPr>
            <w:r w:rsidRPr="00487192">
              <w:t xml:space="preserve">Tarifas </w:t>
            </w:r>
            <w:proofErr w:type="spellStart"/>
            <w:r w:rsidRPr="00487192">
              <w:t>E</w:t>
            </w:r>
            <w:r w:rsidR="000561E8">
              <w:t>ur</w:t>
            </w:r>
            <w:proofErr w:type="spellEnd"/>
            <w:r w:rsidRPr="00487192">
              <w:t>/m²/</w:t>
            </w:r>
            <w:proofErr w:type="spellStart"/>
            <w:r w:rsidRPr="00487192">
              <w:t>mėn</w:t>
            </w:r>
            <w:proofErr w:type="spellEnd"/>
            <w:r w:rsidRPr="00487192">
              <w:t xml:space="preserve"> be PVM</w:t>
            </w:r>
          </w:p>
        </w:tc>
        <w:tc>
          <w:tcPr>
            <w:tcW w:w="1382" w:type="dxa"/>
            <w:vAlign w:val="center"/>
          </w:tcPr>
          <w:p w:rsidR="00193B3B" w:rsidRPr="00487192" w:rsidRDefault="00487192" w:rsidP="009625EF">
            <w:pPr>
              <w:jc w:val="center"/>
            </w:pPr>
            <w:r w:rsidRPr="00487192">
              <w:t xml:space="preserve">Tarifas </w:t>
            </w:r>
            <w:proofErr w:type="spellStart"/>
            <w:r w:rsidRPr="00487192">
              <w:t>E</w:t>
            </w:r>
            <w:r w:rsidR="000561E8">
              <w:t>ur</w:t>
            </w:r>
            <w:proofErr w:type="spellEnd"/>
            <w:r w:rsidR="009625EF">
              <w:t>/m²/mėn</w:t>
            </w:r>
            <w:r w:rsidRPr="00487192">
              <w:t>su 21</w:t>
            </w:r>
            <w:r w:rsidRPr="00487192">
              <w:rPr>
                <w:rtl/>
              </w:rPr>
              <w:t>٪</w:t>
            </w:r>
            <w:r w:rsidR="009625EF">
              <w:t xml:space="preserve"> </w:t>
            </w:r>
            <w:r w:rsidRPr="00487192">
              <w:t>PVM</w:t>
            </w:r>
          </w:p>
        </w:tc>
      </w:tr>
      <w:tr w:rsidR="00487192" w:rsidTr="009625EF">
        <w:trPr>
          <w:trHeight w:val="369"/>
        </w:trPr>
        <w:tc>
          <w:tcPr>
            <w:tcW w:w="567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vAlign w:val="center"/>
          </w:tcPr>
          <w:p w:rsidR="00487192" w:rsidRPr="0071371D" w:rsidRDefault="00487192" w:rsidP="009625EF">
            <w:pPr>
              <w:jc w:val="center"/>
              <w:rPr>
                <w:sz w:val="22"/>
                <w:szCs w:val="22"/>
              </w:rPr>
            </w:pPr>
            <w:r w:rsidRPr="0071371D">
              <w:rPr>
                <w:sz w:val="22"/>
                <w:szCs w:val="22"/>
              </w:rPr>
              <w:t>7</w:t>
            </w:r>
          </w:p>
        </w:tc>
      </w:tr>
      <w:tr w:rsidR="00487192" w:rsidTr="00E76AF0">
        <w:tc>
          <w:tcPr>
            <w:tcW w:w="567" w:type="dxa"/>
            <w:vMerge w:val="restart"/>
          </w:tcPr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  <w:r w:rsidRPr="00806C6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vMerge w:val="restart"/>
          </w:tcPr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Default="0071371D" w:rsidP="00193B3B">
            <w:pPr>
              <w:jc w:val="both"/>
              <w:rPr>
                <w:sz w:val="22"/>
                <w:szCs w:val="22"/>
              </w:rPr>
            </w:pPr>
          </w:p>
          <w:p w:rsidR="0071371D" w:rsidRDefault="0071371D" w:rsidP="00193B3B">
            <w:pPr>
              <w:jc w:val="both"/>
              <w:rPr>
                <w:sz w:val="22"/>
                <w:szCs w:val="22"/>
              </w:rPr>
            </w:pPr>
          </w:p>
          <w:p w:rsidR="0071371D" w:rsidRDefault="0071371D" w:rsidP="00193B3B">
            <w:pPr>
              <w:jc w:val="both"/>
              <w:rPr>
                <w:sz w:val="22"/>
                <w:szCs w:val="22"/>
              </w:rPr>
            </w:pPr>
          </w:p>
          <w:p w:rsidR="0071371D" w:rsidRDefault="0071371D" w:rsidP="00193B3B">
            <w:pPr>
              <w:jc w:val="both"/>
              <w:rPr>
                <w:sz w:val="22"/>
                <w:szCs w:val="22"/>
              </w:rPr>
            </w:pPr>
          </w:p>
          <w:p w:rsidR="00487192" w:rsidRPr="00806C6A" w:rsidRDefault="0071371D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87192" w:rsidRPr="00806C6A">
              <w:rPr>
                <w:sz w:val="22"/>
                <w:szCs w:val="22"/>
              </w:rPr>
              <w:t>Iki 1000</w:t>
            </w:r>
          </w:p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806C6A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kuriame neįrengta bendra geriamojo vandens tiekimo inžinerinė sistema</w:t>
            </w:r>
          </w:p>
        </w:tc>
        <w:tc>
          <w:tcPr>
            <w:tcW w:w="1417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</w:t>
            </w:r>
            <w:r w:rsidR="009557BA">
              <w:rPr>
                <w:sz w:val="22"/>
                <w:szCs w:val="22"/>
              </w:rPr>
              <w:t xml:space="preserve">  </w:t>
            </w:r>
            <w:r w:rsidRPr="00F1035B">
              <w:rPr>
                <w:sz w:val="22"/>
                <w:szCs w:val="22"/>
              </w:rPr>
              <w:t xml:space="preserve">  0,97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0,0170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0,0206</w:t>
            </w:r>
          </w:p>
        </w:tc>
      </w:tr>
      <w:tr w:rsidR="00487192" w:rsidTr="00E76AF0"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806C6A" w:rsidP="00806C6A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kuriame neįrengta bendra nuotekų šalinimo inžinerinė sistema</w:t>
            </w:r>
          </w:p>
        </w:tc>
        <w:tc>
          <w:tcPr>
            <w:tcW w:w="1417" w:type="dxa"/>
          </w:tcPr>
          <w:p w:rsidR="009D5512" w:rsidRPr="00F1035B" w:rsidRDefault="009D551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</w:t>
            </w:r>
          </w:p>
          <w:p w:rsidR="00487192" w:rsidRPr="00F1035B" w:rsidRDefault="009D551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</w:t>
            </w:r>
            <w:r w:rsidR="0071371D" w:rsidRPr="00F1035B">
              <w:rPr>
                <w:sz w:val="22"/>
                <w:szCs w:val="22"/>
              </w:rPr>
              <w:t xml:space="preserve">  </w:t>
            </w:r>
            <w:r w:rsidRPr="00F1035B">
              <w:rPr>
                <w:sz w:val="22"/>
                <w:szCs w:val="22"/>
              </w:rPr>
              <w:t xml:space="preserve"> 0,97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9D5512" w:rsidRPr="00F1035B" w:rsidRDefault="009D551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0,0170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9D5512" w:rsidRPr="00F1035B" w:rsidRDefault="009D5512" w:rsidP="00EC76ED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</w:t>
            </w:r>
            <w:r w:rsidR="00EC76ED">
              <w:rPr>
                <w:sz w:val="22"/>
                <w:szCs w:val="22"/>
              </w:rPr>
              <w:t>6</w:t>
            </w:r>
          </w:p>
        </w:tc>
      </w:tr>
      <w:tr w:rsidR="00487192" w:rsidTr="00E76AF0"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71371D" w:rsidP="0071371D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kuriame neįrengta bendra elektros  inžinerinė sistema</w:t>
            </w:r>
          </w:p>
        </w:tc>
        <w:tc>
          <w:tcPr>
            <w:tcW w:w="1417" w:type="dxa"/>
          </w:tcPr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</w:t>
            </w: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 0,98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0,0172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0,0208</w:t>
            </w:r>
          </w:p>
        </w:tc>
      </w:tr>
      <w:tr w:rsidR="00487192" w:rsidTr="00E76AF0"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kuriame nėra bendrojo naudojimo patalpų</w:t>
            </w:r>
          </w:p>
        </w:tc>
        <w:tc>
          <w:tcPr>
            <w:tcW w:w="1417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 0,98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0,0172</w:t>
            </w:r>
          </w:p>
        </w:tc>
        <w:tc>
          <w:tcPr>
            <w:tcW w:w="1382" w:type="dxa"/>
          </w:tcPr>
          <w:p w:rsidR="00F1035B" w:rsidRPr="00F1035B" w:rsidRDefault="00F1035B" w:rsidP="00193B3B">
            <w:pPr>
              <w:jc w:val="both"/>
              <w:rPr>
                <w:sz w:val="22"/>
                <w:szCs w:val="22"/>
              </w:rPr>
            </w:pPr>
          </w:p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0,0208</w:t>
            </w:r>
          </w:p>
        </w:tc>
      </w:tr>
      <w:tr w:rsidR="00487192" w:rsidTr="00E76AF0"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 be išskirtinių techninės priežiūros ypatumų</w:t>
            </w:r>
          </w:p>
        </w:tc>
        <w:tc>
          <w:tcPr>
            <w:tcW w:w="1417" w:type="dxa"/>
          </w:tcPr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</w:p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  </w:t>
            </w:r>
            <w:r w:rsidR="009557BA">
              <w:rPr>
                <w:sz w:val="22"/>
                <w:szCs w:val="22"/>
              </w:rPr>
              <w:t xml:space="preserve"> </w:t>
            </w:r>
            <w:r w:rsidRPr="00F1035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0,0175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</w:t>
            </w:r>
            <w:r w:rsidR="009557BA">
              <w:rPr>
                <w:sz w:val="22"/>
                <w:szCs w:val="22"/>
              </w:rPr>
              <w:t xml:space="preserve"> </w:t>
            </w:r>
            <w:r w:rsidRPr="00F1035B">
              <w:rPr>
                <w:sz w:val="22"/>
                <w:szCs w:val="22"/>
              </w:rPr>
              <w:t>0,0212</w:t>
            </w:r>
          </w:p>
        </w:tc>
      </w:tr>
      <w:tr w:rsidR="00487192" w:rsidTr="00E76AF0"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kuriame įrengta bendroji saugos ir ryšių sistema</w:t>
            </w:r>
          </w:p>
        </w:tc>
        <w:tc>
          <w:tcPr>
            <w:tcW w:w="1417" w:type="dxa"/>
          </w:tcPr>
          <w:p w:rsidR="00487192" w:rsidRPr="00F1035B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b/>
                <w:sz w:val="22"/>
                <w:szCs w:val="22"/>
              </w:rPr>
              <w:t xml:space="preserve">       </w:t>
            </w:r>
            <w:r w:rsidRPr="00F1035B">
              <w:rPr>
                <w:sz w:val="22"/>
                <w:szCs w:val="22"/>
              </w:rPr>
              <w:t>1,01</w:t>
            </w: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0,0177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</w:t>
            </w:r>
            <w:r w:rsidR="009557BA">
              <w:rPr>
                <w:sz w:val="22"/>
                <w:szCs w:val="22"/>
              </w:rPr>
              <w:t xml:space="preserve"> </w:t>
            </w:r>
            <w:r w:rsidRPr="00F1035B">
              <w:rPr>
                <w:sz w:val="22"/>
                <w:szCs w:val="22"/>
              </w:rPr>
              <w:t xml:space="preserve"> 0,0214</w:t>
            </w:r>
          </w:p>
        </w:tc>
      </w:tr>
      <w:tr w:rsidR="00487192" w:rsidTr="00E76AF0">
        <w:trPr>
          <w:trHeight w:val="464"/>
        </w:trPr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0,85</w:t>
            </w:r>
          </w:p>
        </w:tc>
        <w:tc>
          <w:tcPr>
            <w:tcW w:w="2552" w:type="dxa"/>
          </w:tcPr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Namas, kurio stogas šlaitinis</w:t>
            </w:r>
          </w:p>
        </w:tc>
        <w:tc>
          <w:tcPr>
            <w:tcW w:w="1417" w:type="dxa"/>
          </w:tcPr>
          <w:p w:rsidR="00487192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</w:t>
            </w:r>
            <w:r w:rsidR="009557BA">
              <w:rPr>
                <w:sz w:val="22"/>
                <w:szCs w:val="22"/>
              </w:rPr>
              <w:t xml:space="preserve">  </w:t>
            </w:r>
            <w:r w:rsidRPr="00F1035B">
              <w:rPr>
                <w:sz w:val="22"/>
                <w:szCs w:val="22"/>
              </w:rPr>
              <w:t>1,15</w:t>
            </w: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0,0201</w:t>
            </w:r>
          </w:p>
        </w:tc>
        <w:tc>
          <w:tcPr>
            <w:tcW w:w="1382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</w:p>
          <w:p w:rsidR="0071371D" w:rsidRPr="00F1035B" w:rsidRDefault="0071371D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</w:t>
            </w:r>
            <w:r w:rsidR="00F1035B" w:rsidRPr="00F1035B">
              <w:rPr>
                <w:sz w:val="22"/>
                <w:szCs w:val="22"/>
              </w:rPr>
              <w:t xml:space="preserve"> </w:t>
            </w:r>
            <w:r w:rsidR="009557BA">
              <w:rPr>
                <w:sz w:val="22"/>
                <w:szCs w:val="22"/>
              </w:rPr>
              <w:t xml:space="preserve"> </w:t>
            </w:r>
            <w:r w:rsidRPr="00F1035B">
              <w:rPr>
                <w:sz w:val="22"/>
                <w:szCs w:val="22"/>
              </w:rPr>
              <w:t xml:space="preserve"> 0,0244</w:t>
            </w:r>
          </w:p>
        </w:tc>
      </w:tr>
      <w:tr w:rsidR="00487192" w:rsidTr="009625EF">
        <w:trPr>
          <w:trHeight w:val="357"/>
        </w:trPr>
        <w:tc>
          <w:tcPr>
            <w:tcW w:w="567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7192" w:rsidRPr="00806C6A" w:rsidRDefault="00487192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87192" w:rsidRPr="00F1035B" w:rsidRDefault="00487192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b/>
                <w:sz w:val="22"/>
                <w:szCs w:val="22"/>
              </w:rPr>
              <w:t xml:space="preserve">  </w:t>
            </w:r>
            <w:r w:rsidRPr="00F1035B">
              <w:rPr>
                <w:sz w:val="22"/>
                <w:szCs w:val="22"/>
              </w:rPr>
              <w:t>0,85</w:t>
            </w:r>
          </w:p>
        </w:tc>
        <w:tc>
          <w:tcPr>
            <w:tcW w:w="2552" w:type="dxa"/>
          </w:tcPr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>Bendrabučio tipo namas</w:t>
            </w:r>
          </w:p>
        </w:tc>
        <w:tc>
          <w:tcPr>
            <w:tcW w:w="1417" w:type="dxa"/>
          </w:tcPr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</w:t>
            </w:r>
            <w:r w:rsidR="009557BA">
              <w:rPr>
                <w:sz w:val="22"/>
                <w:szCs w:val="22"/>
              </w:rPr>
              <w:t xml:space="preserve">  </w:t>
            </w:r>
            <w:r w:rsidRPr="00F1035B">
              <w:rPr>
                <w:sz w:val="22"/>
                <w:szCs w:val="22"/>
              </w:rPr>
              <w:t>1,15</w:t>
            </w:r>
          </w:p>
        </w:tc>
        <w:tc>
          <w:tcPr>
            <w:tcW w:w="1418" w:type="dxa"/>
          </w:tcPr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  0,0201</w:t>
            </w:r>
          </w:p>
        </w:tc>
        <w:tc>
          <w:tcPr>
            <w:tcW w:w="1382" w:type="dxa"/>
          </w:tcPr>
          <w:p w:rsidR="00487192" w:rsidRPr="00F1035B" w:rsidRDefault="00F1035B" w:rsidP="00193B3B">
            <w:pPr>
              <w:jc w:val="both"/>
              <w:rPr>
                <w:sz w:val="22"/>
                <w:szCs w:val="22"/>
              </w:rPr>
            </w:pPr>
            <w:r w:rsidRPr="00F1035B">
              <w:rPr>
                <w:sz w:val="22"/>
                <w:szCs w:val="22"/>
              </w:rPr>
              <w:t xml:space="preserve">   </w:t>
            </w:r>
            <w:r w:rsidR="009557BA">
              <w:rPr>
                <w:sz w:val="22"/>
                <w:szCs w:val="22"/>
              </w:rPr>
              <w:t xml:space="preserve"> </w:t>
            </w:r>
            <w:r w:rsidRPr="00F1035B">
              <w:rPr>
                <w:sz w:val="22"/>
                <w:szCs w:val="22"/>
              </w:rPr>
              <w:t xml:space="preserve"> 0,0244</w:t>
            </w:r>
          </w:p>
        </w:tc>
      </w:tr>
      <w:tr w:rsidR="00934390" w:rsidTr="00E76AF0">
        <w:tc>
          <w:tcPr>
            <w:tcW w:w="567" w:type="dxa"/>
            <w:vMerge w:val="restart"/>
          </w:tcPr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vMerge w:val="restart"/>
          </w:tcPr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8B4EA0" w:rsidRDefault="00934390" w:rsidP="001E7F83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>Nuo</w:t>
            </w:r>
            <w:r w:rsidR="001E7F83">
              <w:rPr>
                <w:sz w:val="22"/>
                <w:szCs w:val="22"/>
              </w:rPr>
              <w:t xml:space="preserve"> </w:t>
            </w:r>
            <w:r w:rsidRPr="008B4EA0">
              <w:rPr>
                <w:sz w:val="22"/>
                <w:szCs w:val="22"/>
              </w:rPr>
              <w:t>1001 i</w:t>
            </w:r>
            <w:bookmarkStart w:id="6" w:name="_GoBack"/>
            <w:bookmarkEnd w:id="6"/>
            <w:r w:rsidRPr="008B4EA0">
              <w:rPr>
                <w:sz w:val="22"/>
                <w:szCs w:val="22"/>
              </w:rPr>
              <w:t>ki 2000</w:t>
            </w: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 xml:space="preserve">     </w:t>
            </w: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B4EA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>Namas, kuriame neįrengta bendra geriamojo vandens tiekimo inžinerinė sistema</w:t>
            </w:r>
          </w:p>
        </w:tc>
        <w:tc>
          <w:tcPr>
            <w:tcW w:w="1417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F1035B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0,97</w:t>
            </w:r>
          </w:p>
        </w:tc>
        <w:tc>
          <w:tcPr>
            <w:tcW w:w="1418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F1035B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0,0200</w:t>
            </w:r>
          </w:p>
        </w:tc>
        <w:tc>
          <w:tcPr>
            <w:tcW w:w="1382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0,0242</w:t>
            </w:r>
          </w:p>
          <w:p w:rsidR="00934390" w:rsidRPr="00F1035B" w:rsidRDefault="00934390" w:rsidP="00193B3B">
            <w:pPr>
              <w:jc w:val="both"/>
              <w:rPr>
                <w:sz w:val="22"/>
                <w:szCs w:val="22"/>
              </w:rPr>
            </w:pPr>
          </w:p>
        </w:tc>
      </w:tr>
      <w:tr w:rsidR="00934390" w:rsidTr="00E76AF0">
        <w:tc>
          <w:tcPr>
            <w:tcW w:w="567" w:type="dxa"/>
            <w:vMerge/>
          </w:tcPr>
          <w:p w:rsidR="00934390" w:rsidRDefault="00934390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34390" w:rsidRDefault="00934390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 xml:space="preserve">     </w:t>
            </w: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B4EA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>Namas, kuriame neįrengta bendra nuotekų šalinimo inžinerinė sistema</w:t>
            </w:r>
          </w:p>
        </w:tc>
        <w:tc>
          <w:tcPr>
            <w:tcW w:w="1417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C58FA">
              <w:rPr>
                <w:sz w:val="22"/>
                <w:szCs w:val="22"/>
              </w:rPr>
              <w:t xml:space="preserve">     0,97</w:t>
            </w:r>
          </w:p>
        </w:tc>
        <w:tc>
          <w:tcPr>
            <w:tcW w:w="1418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 w:rsidRPr="007C58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7C58FA">
              <w:rPr>
                <w:sz w:val="22"/>
                <w:szCs w:val="22"/>
              </w:rPr>
              <w:t xml:space="preserve"> 0,0200</w:t>
            </w:r>
          </w:p>
        </w:tc>
        <w:tc>
          <w:tcPr>
            <w:tcW w:w="1382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 w:rsidRPr="007C58F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C58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C58FA">
              <w:rPr>
                <w:sz w:val="22"/>
                <w:szCs w:val="22"/>
              </w:rPr>
              <w:t>0,0242</w:t>
            </w:r>
          </w:p>
        </w:tc>
      </w:tr>
      <w:tr w:rsidR="00934390" w:rsidTr="00E76AF0">
        <w:tc>
          <w:tcPr>
            <w:tcW w:w="567" w:type="dxa"/>
            <w:vMerge/>
          </w:tcPr>
          <w:p w:rsidR="00934390" w:rsidRDefault="00934390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34390" w:rsidRDefault="00934390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 xml:space="preserve">     </w:t>
            </w:r>
          </w:p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8B4EA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34390" w:rsidRPr="008B4EA0" w:rsidRDefault="00934390" w:rsidP="00193B3B">
            <w:pPr>
              <w:jc w:val="both"/>
              <w:rPr>
                <w:sz w:val="22"/>
                <w:szCs w:val="22"/>
              </w:rPr>
            </w:pPr>
            <w:r w:rsidRPr="008B4EA0">
              <w:rPr>
                <w:sz w:val="22"/>
                <w:szCs w:val="22"/>
              </w:rPr>
              <w:t>Namas, kuriame neįrengta bendra elektros  inžinerinė sistema</w:t>
            </w:r>
          </w:p>
        </w:tc>
        <w:tc>
          <w:tcPr>
            <w:tcW w:w="1417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 w:rsidRPr="007C58F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7C58FA">
              <w:rPr>
                <w:sz w:val="22"/>
                <w:szCs w:val="22"/>
              </w:rPr>
              <w:t xml:space="preserve">   0,98</w:t>
            </w:r>
          </w:p>
        </w:tc>
        <w:tc>
          <w:tcPr>
            <w:tcW w:w="1418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 w:rsidRPr="007C58F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7C58FA">
              <w:rPr>
                <w:sz w:val="22"/>
                <w:szCs w:val="22"/>
              </w:rPr>
              <w:t>0,0202</w:t>
            </w:r>
          </w:p>
        </w:tc>
        <w:tc>
          <w:tcPr>
            <w:tcW w:w="1382" w:type="dxa"/>
          </w:tcPr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7C58FA" w:rsidRDefault="00934390" w:rsidP="00193B3B">
            <w:pPr>
              <w:jc w:val="both"/>
              <w:rPr>
                <w:sz w:val="22"/>
                <w:szCs w:val="22"/>
              </w:rPr>
            </w:pPr>
            <w:r w:rsidRPr="007C58F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7C58FA">
              <w:rPr>
                <w:sz w:val="22"/>
                <w:szCs w:val="22"/>
              </w:rPr>
              <w:t>0,0244</w:t>
            </w:r>
          </w:p>
        </w:tc>
      </w:tr>
      <w:tr w:rsidR="00934390" w:rsidTr="00E76AF0">
        <w:tc>
          <w:tcPr>
            <w:tcW w:w="567" w:type="dxa"/>
            <w:vMerge/>
          </w:tcPr>
          <w:p w:rsidR="00934390" w:rsidRDefault="00934390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34390" w:rsidRDefault="00934390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</w:pPr>
            <w:r w:rsidRPr="007C58FA">
              <w:t xml:space="preserve">    </w:t>
            </w:r>
          </w:p>
          <w:p w:rsidR="00934390" w:rsidRPr="007C58FA" w:rsidRDefault="00934390" w:rsidP="00193B3B">
            <w:pPr>
              <w:jc w:val="both"/>
            </w:pPr>
            <w:r>
              <w:t xml:space="preserve">    </w:t>
            </w:r>
            <w:r w:rsidRPr="007C58FA">
              <w:t xml:space="preserve"> 1</w:t>
            </w:r>
          </w:p>
        </w:tc>
        <w:tc>
          <w:tcPr>
            <w:tcW w:w="2552" w:type="dxa"/>
          </w:tcPr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  <w:r w:rsidRPr="009557BA">
              <w:rPr>
                <w:sz w:val="22"/>
                <w:szCs w:val="22"/>
              </w:rPr>
              <w:t>Namas, kuriame nėra bendrojo naudojimo patalpų</w:t>
            </w:r>
          </w:p>
        </w:tc>
        <w:tc>
          <w:tcPr>
            <w:tcW w:w="1417" w:type="dxa"/>
          </w:tcPr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  <w:r w:rsidRPr="009557BA">
              <w:rPr>
                <w:sz w:val="22"/>
                <w:szCs w:val="22"/>
              </w:rPr>
              <w:t xml:space="preserve">      </w:t>
            </w:r>
            <w:r w:rsidR="001E7F83">
              <w:rPr>
                <w:sz w:val="22"/>
                <w:szCs w:val="22"/>
              </w:rPr>
              <w:t xml:space="preserve"> </w:t>
            </w:r>
            <w:r w:rsidRPr="009557BA"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</w:tcPr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9557BA" w:rsidRDefault="00934390" w:rsidP="009557BA">
            <w:pPr>
              <w:jc w:val="both"/>
              <w:rPr>
                <w:sz w:val="22"/>
                <w:szCs w:val="22"/>
              </w:rPr>
            </w:pPr>
            <w:r w:rsidRPr="009557B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9557BA">
              <w:rPr>
                <w:sz w:val="22"/>
                <w:szCs w:val="22"/>
              </w:rPr>
              <w:t>0,0202</w:t>
            </w:r>
          </w:p>
        </w:tc>
        <w:tc>
          <w:tcPr>
            <w:tcW w:w="1382" w:type="dxa"/>
          </w:tcPr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9557BA" w:rsidRDefault="00934390" w:rsidP="009557BA">
            <w:pPr>
              <w:jc w:val="both"/>
              <w:rPr>
                <w:sz w:val="22"/>
                <w:szCs w:val="22"/>
              </w:rPr>
            </w:pPr>
            <w:r w:rsidRPr="009557BA">
              <w:rPr>
                <w:sz w:val="22"/>
                <w:szCs w:val="22"/>
              </w:rPr>
              <w:t xml:space="preserve">    0,0244</w:t>
            </w:r>
          </w:p>
        </w:tc>
      </w:tr>
      <w:tr w:rsidR="00934390" w:rsidTr="00E76AF0">
        <w:tc>
          <w:tcPr>
            <w:tcW w:w="567" w:type="dxa"/>
            <w:vMerge/>
          </w:tcPr>
          <w:p w:rsidR="00934390" w:rsidRDefault="00934390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34390" w:rsidRDefault="00934390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</w:pPr>
            <w:r w:rsidRPr="007C58FA">
              <w:t xml:space="preserve">    </w:t>
            </w:r>
          </w:p>
          <w:p w:rsidR="00934390" w:rsidRPr="007C58FA" w:rsidRDefault="00934390" w:rsidP="00193B3B">
            <w:pPr>
              <w:jc w:val="both"/>
            </w:pPr>
            <w:r>
              <w:t xml:space="preserve">    </w:t>
            </w:r>
            <w:r w:rsidRPr="007C58FA">
              <w:t xml:space="preserve"> 1</w:t>
            </w:r>
          </w:p>
        </w:tc>
        <w:tc>
          <w:tcPr>
            <w:tcW w:w="2552" w:type="dxa"/>
          </w:tcPr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  <w:r w:rsidRPr="009557BA">
              <w:rPr>
                <w:sz w:val="22"/>
                <w:szCs w:val="22"/>
              </w:rPr>
              <w:t>Namas be išskirtinių techninės priežiūros ypatumų</w:t>
            </w:r>
          </w:p>
        </w:tc>
        <w:tc>
          <w:tcPr>
            <w:tcW w:w="1417" w:type="dxa"/>
          </w:tcPr>
          <w:p w:rsidR="00934390" w:rsidRDefault="00934390" w:rsidP="00193B3B">
            <w:pPr>
              <w:jc w:val="both"/>
              <w:rPr>
                <w:b/>
              </w:rPr>
            </w:pPr>
          </w:p>
          <w:p w:rsidR="00934390" w:rsidRPr="009557BA" w:rsidRDefault="00934390" w:rsidP="00193B3B">
            <w:pPr>
              <w:jc w:val="both"/>
            </w:pPr>
            <w:r>
              <w:rPr>
                <w:b/>
              </w:rPr>
              <w:t xml:space="preserve">        </w:t>
            </w:r>
            <w:r w:rsidRPr="009557BA">
              <w:t>1</w:t>
            </w:r>
          </w:p>
        </w:tc>
        <w:tc>
          <w:tcPr>
            <w:tcW w:w="1418" w:type="dxa"/>
          </w:tcPr>
          <w:p w:rsidR="00934390" w:rsidRDefault="00934390" w:rsidP="00193B3B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  <w:r w:rsidRPr="009557BA">
              <w:t xml:space="preserve">     </w:t>
            </w:r>
            <w:r w:rsidRPr="009557BA">
              <w:rPr>
                <w:sz w:val="22"/>
                <w:szCs w:val="22"/>
              </w:rPr>
              <w:t>0,0206</w:t>
            </w:r>
          </w:p>
        </w:tc>
        <w:tc>
          <w:tcPr>
            <w:tcW w:w="1382" w:type="dxa"/>
          </w:tcPr>
          <w:p w:rsidR="00934390" w:rsidRDefault="00934390" w:rsidP="00193B3B">
            <w:pPr>
              <w:jc w:val="both"/>
              <w:rPr>
                <w:b/>
              </w:rPr>
            </w:pPr>
          </w:p>
          <w:p w:rsidR="00934390" w:rsidRPr="009557BA" w:rsidRDefault="00934390" w:rsidP="00193B3B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Pr="009557BA">
              <w:rPr>
                <w:sz w:val="22"/>
                <w:szCs w:val="22"/>
              </w:rPr>
              <w:t>0,0249</w:t>
            </w:r>
          </w:p>
        </w:tc>
      </w:tr>
      <w:tr w:rsidR="00934390" w:rsidTr="00E76AF0">
        <w:tc>
          <w:tcPr>
            <w:tcW w:w="567" w:type="dxa"/>
            <w:vMerge/>
          </w:tcPr>
          <w:p w:rsidR="00934390" w:rsidRDefault="00934390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34390" w:rsidRDefault="00934390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4390" w:rsidRDefault="00934390" w:rsidP="00193B3B">
            <w:pPr>
              <w:jc w:val="both"/>
            </w:pPr>
          </w:p>
          <w:p w:rsidR="00934390" w:rsidRPr="007C58FA" w:rsidRDefault="00934390" w:rsidP="00193B3B">
            <w:pPr>
              <w:jc w:val="both"/>
            </w:pPr>
            <w:r>
              <w:t xml:space="preserve">     </w:t>
            </w:r>
            <w:r w:rsidRPr="00934390">
              <w:t>1</w:t>
            </w:r>
          </w:p>
        </w:tc>
        <w:tc>
          <w:tcPr>
            <w:tcW w:w="2552" w:type="dxa"/>
          </w:tcPr>
          <w:p w:rsidR="00934390" w:rsidRPr="009557BA" w:rsidRDefault="00934390" w:rsidP="00E76AF0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>Namas, kuriame įrengta bendroji saugos ir ryšių sistema</w:t>
            </w:r>
          </w:p>
        </w:tc>
        <w:tc>
          <w:tcPr>
            <w:tcW w:w="1417" w:type="dxa"/>
          </w:tcPr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 xml:space="preserve">     </w:t>
            </w:r>
          </w:p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 xml:space="preserve">      1,01</w:t>
            </w:r>
          </w:p>
        </w:tc>
        <w:tc>
          <w:tcPr>
            <w:tcW w:w="1418" w:type="dxa"/>
          </w:tcPr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</w:p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 xml:space="preserve">     0,0208</w:t>
            </w:r>
          </w:p>
        </w:tc>
        <w:tc>
          <w:tcPr>
            <w:tcW w:w="1382" w:type="dxa"/>
          </w:tcPr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 xml:space="preserve">   </w:t>
            </w:r>
          </w:p>
          <w:p w:rsidR="00934390" w:rsidRPr="00934390" w:rsidRDefault="00934390" w:rsidP="00193B3B">
            <w:pPr>
              <w:jc w:val="both"/>
              <w:rPr>
                <w:sz w:val="22"/>
                <w:szCs w:val="22"/>
              </w:rPr>
            </w:pPr>
            <w:r w:rsidRPr="00934390">
              <w:rPr>
                <w:sz w:val="22"/>
                <w:szCs w:val="22"/>
              </w:rPr>
              <w:t xml:space="preserve">    0,0252</w:t>
            </w:r>
          </w:p>
        </w:tc>
      </w:tr>
      <w:tr w:rsidR="00934390" w:rsidRPr="004F3935" w:rsidTr="004F3935">
        <w:trPr>
          <w:trHeight w:val="262"/>
        </w:trPr>
        <w:tc>
          <w:tcPr>
            <w:tcW w:w="567" w:type="dxa"/>
          </w:tcPr>
          <w:p w:rsidR="00934390" w:rsidRPr="004F3935" w:rsidRDefault="004F3935" w:rsidP="004F3935">
            <w:pPr>
              <w:ind w:left="-2410"/>
              <w:jc w:val="right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934390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b/>
                <w:sz w:val="22"/>
                <w:szCs w:val="22"/>
              </w:rPr>
              <w:t xml:space="preserve">       </w:t>
            </w:r>
            <w:r w:rsidRPr="004F39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34390" w:rsidRPr="004F3935" w:rsidRDefault="00934390" w:rsidP="004F3935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</w:t>
            </w:r>
            <w:r w:rsidR="004F3935" w:rsidRPr="004F393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34390" w:rsidRPr="004F3935" w:rsidRDefault="004F3935" w:rsidP="001E7F83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             4</w:t>
            </w:r>
          </w:p>
        </w:tc>
        <w:tc>
          <w:tcPr>
            <w:tcW w:w="1417" w:type="dxa"/>
          </w:tcPr>
          <w:p w:rsidR="00934390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1418" w:type="dxa"/>
          </w:tcPr>
          <w:p w:rsidR="00934390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1382" w:type="dxa"/>
          </w:tcPr>
          <w:p w:rsidR="00934390" w:rsidRPr="004F3935" w:rsidRDefault="004F3935" w:rsidP="004F3935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    </w:t>
            </w:r>
            <w:r w:rsidR="001E7F83" w:rsidRPr="004F3935">
              <w:rPr>
                <w:sz w:val="22"/>
                <w:szCs w:val="22"/>
              </w:rPr>
              <w:t>7</w:t>
            </w:r>
          </w:p>
        </w:tc>
      </w:tr>
      <w:tr w:rsidR="004F3935" w:rsidRPr="004F3935" w:rsidTr="009625EF">
        <w:trPr>
          <w:trHeight w:val="560"/>
        </w:trPr>
        <w:tc>
          <w:tcPr>
            <w:tcW w:w="567" w:type="dxa"/>
            <w:vMerge w:val="restart"/>
          </w:tcPr>
          <w:p w:rsidR="004F3935" w:rsidRDefault="004F3935" w:rsidP="00193B3B">
            <w:pPr>
              <w:ind w:left="-2410"/>
              <w:jc w:val="both"/>
              <w:rPr>
                <w:b/>
              </w:rPr>
            </w:pPr>
          </w:p>
          <w:p w:rsidR="004F3935" w:rsidRDefault="004F3935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F3935" w:rsidRPr="004F3935" w:rsidRDefault="004F3935" w:rsidP="00193B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935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</w:t>
            </w:r>
          </w:p>
          <w:p w:rsidR="004F3935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2" w:type="dxa"/>
          </w:tcPr>
          <w:p w:rsidR="004F3935" w:rsidRPr="004F3935" w:rsidRDefault="004F3935" w:rsidP="009625EF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Namas, kurio stogas šlaitinis </w:t>
            </w:r>
          </w:p>
        </w:tc>
        <w:tc>
          <w:tcPr>
            <w:tcW w:w="1417" w:type="dxa"/>
            <w:vAlign w:val="center"/>
          </w:tcPr>
          <w:p w:rsidR="004F3935" w:rsidRPr="004F3935" w:rsidRDefault="004F3935" w:rsidP="009625EF">
            <w:pPr>
              <w:jc w:val="center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>1,15</w:t>
            </w:r>
          </w:p>
        </w:tc>
        <w:tc>
          <w:tcPr>
            <w:tcW w:w="1418" w:type="dxa"/>
            <w:vAlign w:val="center"/>
          </w:tcPr>
          <w:p w:rsidR="004F3935" w:rsidRPr="004F3935" w:rsidRDefault="004F3935" w:rsidP="009625EF">
            <w:pPr>
              <w:jc w:val="center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>0,0237</w:t>
            </w:r>
          </w:p>
        </w:tc>
        <w:tc>
          <w:tcPr>
            <w:tcW w:w="1382" w:type="dxa"/>
            <w:vAlign w:val="center"/>
          </w:tcPr>
          <w:p w:rsidR="004F3935" w:rsidRPr="004F3935" w:rsidRDefault="004F3935" w:rsidP="009625EF">
            <w:pPr>
              <w:jc w:val="center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>0,0287</w:t>
            </w:r>
          </w:p>
        </w:tc>
      </w:tr>
      <w:tr w:rsidR="004F3935" w:rsidTr="009625EF">
        <w:tc>
          <w:tcPr>
            <w:tcW w:w="567" w:type="dxa"/>
            <w:vMerge/>
          </w:tcPr>
          <w:p w:rsidR="004F3935" w:rsidRDefault="004F3935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4F3935" w:rsidRDefault="004F3935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F3935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2" w:type="dxa"/>
          </w:tcPr>
          <w:p w:rsidR="004F3935" w:rsidRPr="004F3935" w:rsidRDefault="004F3935" w:rsidP="00193B3B">
            <w:pPr>
              <w:jc w:val="both"/>
              <w:rPr>
                <w:sz w:val="22"/>
                <w:szCs w:val="22"/>
              </w:rPr>
            </w:pPr>
            <w:r w:rsidRPr="004F3935">
              <w:rPr>
                <w:sz w:val="22"/>
                <w:szCs w:val="22"/>
              </w:rPr>
              <w:t>Bendrabučio tipo namas</w:t>
            </w:r>
          </w:p>
        </w:tc>
        <w:tc>
          <w:tcPr>
            <w:tcW w:w="1417" w:type="dxa"/>
            <w:vAlign w:val="center"/>
          </w:tcPr>
          <w:p w:rsidR="004F3935" w:rsidRPr="009557BA" w:rsidRDefault="004F3935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1418" w:type="dxa"/>
            <w:vAlign w:val="center"/>
          </w:tcPr>
          <w:p w:rsidR="004F3935" w:rsidRPr="009557BA" w:rsidRDefault="004F3935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0,0237</w:t>
            </w:r>
          </w:p>
        </w:tc>
        <w:tc>
          <w:tcPr>
            <w:tcW w:w="1382" w:type="dxa"/>
            <w:vAlign w:val="center"/>
          </w:tcPr>
          <w:p w:rsidR="004F3935" w:rsidRPr="009557BA" w:rsidRDefault="004F3935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0,0287</w:t>
            </w:r>
          </w:p>
        </w:tc>
      </w:tr>
      <w:tr w:rsidR="00E90266" w:rsidTr="009625EF">
        <w:tc>
          <w:tcPr>
            <w:tcW w:w="567" w:type="dxa"/>
            <w:vMerge w:val="restart"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  <w:p w:rsidR="00E90266" w:rsidRPr="00E90266" w:rsidRDefault="00E90266" w:rsidP="00E90266"/>
          <w:p w:rsidR="00E90266" w:rsidRDefault="00E90266" w:rsidP="00E90266"/>
          <w:p w:rsidR="00E90266" w:rsidRPr="00E90266" w:rsidRDefault="00E90266" w:rsidP="00E90266">
            <w:r>
              <w:t>3.</w:t>
            </w:r>
          </w:p>
        </w:tc>
        <w:tc>
          <w:tcPr>
            <w:tcW w:w="1276" w:type="dxa"/>
            <w:vMerge w:val="restart"/>
          </w:tcPr>
          <w:p w:rsidR="00E90266" w:rsidRDefault="00E90266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Default="00FB243A" w:rsidP="00193B3B">
            <w:pPr>
              <w:jc w:val="both"/>
              <w:rPr>
                <w:b/>
              </w:rPr>
            </w:pPr>
          </w:p>
          <w:p w:rsidR="00FB243A" w:rsidRPr="00FB243A" w:rsidRDefault="00FB243A" w:rsidP="00193B3B">
            <w:pPr>
              <w:jc w:val="both"/>
              <w:rPr>
                <w:sz w:val="22"/>
                <w:szCs w:val="22"/>
              </w:rPr>
            </w:pPr>
            <w:r w:rsidRPr="00FB243A">
              <w:rPr>
                <w:sz w:val="22"/>
                <w:szCs w:val="22"/>
              </w:rPr>
              <w:t>Nuo 2001 ir daugiau</w:t>
            </w: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kuriame neįrengta bendra geriamojo vandens tiekimo inžinerinė sistema</w:t>
            </w:r>
          </w:p>
        </w:tc>
        <w:tc>
          <w:tcPr>
            <w:tcW w:w="1417" w:type="dxa"/>
            <w:vAlign w:val="center"/>
          </w:tcPr>
          <w:p w:rsidR="00E90266" w:rsidRPr="009557BA" w:rsidRDefault="00A81C1E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1382" w:type="dxa"/>
            <w:vAlign w:val="center"/>
          </w:tcPr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0,0278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kuriame neįrengta bendra nuotekų šalinimo inžinerinė sistema</w:t>
            </w:r>
          </w:p>
        </w:tc>
        <w:tc>
          <w:tcPr>
            <w:tcW w:w="1417" w:type="dxa"/>
            <w:vAlign w:val="center"/>
          </w:tcPr>
          <w:p w:rsidR="00E90266" w:rsidRPr="009557BA" w:rsidRDefault="00A81C1E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1382" w:type="dxa"/>
            <w:vAlign w:val="center"/>
          </w:tcPr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0,0278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kuriame neįrengta bendra elektros  inžinerinė sistema</w:t>
            </w:r>
          </w:p>
        </w:tc>
        <w:tc>
          <w:tcPr>
            <w:tcW w:w="1417" w:type="dxa"/>
            <w:vAlign w:val="center"/>
          </w:tcPr>
          <w:p w:rsidR="00E90266" w:rsidRPr="009557BA" w:rsidRDefault="00A81C1E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0,0232</w:t>
            </w:r>
          </w:p>
        </w:tc>
        <w:tc>
          <w:tcPr>
            <w:tcW w:w="1382" w:type="dxa"/>
            <w:vAlign w:val="center"/>
          </w:tcPr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kuriame nėra bendrojo naudojimo patalpų</w:t>
            </w:r>
          </w:p>
        </w:tc>
        <w:tc>
          <w:tcPr>
            <w:tcW w:w="1417" w:type="dxa"/>
            <w:vAlign w:val="center"/>
          </w:tcPr>
          <w:p w:rsidR="00E90266" w:rsidRPr="009557BA" w:rsidRDefault="00A81C1E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0,0232</w:t>
            </w:r>
          </w:p>
        </w:tc>
        <w:tc>
          <w:tcPr>
            <w:tcW w:w="1382" w:type="dxa"/>
            <w:vAlign w:val="center"/>
          </w:tcPr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0,0281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 be išskirtinių techninės priežiūros ypatumų</w:t>
            </w:r>
          </w:p>
        </w:tc>
        <w:tc>
          <w:tcPr>
            <w:tcW w:w="1417" w:type="dxa"/>
            <w:vAlign w:val="center"/>
          </w:tcPr>
          <w:p w:rsidR="00E90266" w:rsidRPr="00A81C1E" w:rsidRDefault="00A81C1E" w:rsidP="009625EF">
            <w:pPr>
              <w:jc w:val="center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0,0237</w:t>
            </w:r>
          </w:p>
        </w:tc>
        <w:tc>
          <w:tcPr>
            <w:tcW w:w="1382" w:type="dxa"/>
            <w:vAlign w:val="center"/>
          </w:tcPr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0,0287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kuriame įrengta bendroji saugos ir ryšių sistema</w:t>
            </w:r>
          </w:p>
        </w:tc>
        <w:tc>
          <w:tcPr>
            <w:tcW w:w="1417" w:type="dxa"/>
            <w:vAlign w:val="center"/>
          </w:tcPr>
          <w:p w:rsidR="00E90266" w:rsidRPr="00A81C1E" w:rsidRDefault="00A81C1E" w:rsidP="009625EF">
            <w:pPr>
              <w:jc w:val="center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1,01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0,0239</w:t>
            </w:r>
          </w:p>
        </w:tc>
        <w:tc>
          <w:tcPr>
            <w:tcW w:w="1382" w:type="dxa"/>
            <w:vAlign w:val="center"/>
          </w:tcPr>
          <w:p w:rsidR="00E90266" w:rsidRDefault="00E90266" w:rsidP="009625EF">
            <w:pPr>
              <w:jc w:val="center"/>
              <w:rPr>
                <w:sz w:val="22"/>
                <w:szCs w:val="22"/>
              </w:rPr>
            </w:pPr>
          </w:p>
          <w:p w:rsidR="00FB243A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0,0290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1C1E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</w:p>
          <w:p w:rsidR="00E90266" w:rsidRPr="00A81C1E" w:rsidRDefault="00A81C1E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 </w:t>
            </w:r>
            <w:r w:rsidR="00E90266"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Namas, kurio stogas šlaitinis</w:t>
            </w:r>
          </w:p>
        </w:tc>
        <w:tc>
          <w:tcPr>
            <w:tcW w:w="1417" w:type="dxa"/>
            <w:vAlign w:val="center"/>
          </w:tcPr>
          <w:p w:rsidR="00E90266" w:rsidRPr="00A81C1E" w:rsidRDefault="00A81C1E" w:rsidP="009625EF">
            <w:pPr>
              <w:jc w:val="center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0,0272</w:t>
            </w:r>
          </w:p>
        </w:tc>
        <w:tc>
          <w:tcPr>
            <w:tcW w:w="1382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0,0330</w:t>
            </w:r>
          </w:p>
        </w:tc>
      </w:tr>
      <w:tr w:rsidR="00E90266" w:rsidTr="009625EF">
        <w:tc>
          <w:tcPr>
            <w:tcW w:w="567" w:type="dxa"/>
            <w:vMerge/>
          </w:tcPr>
          <w:p w:rsidR="00E90266" w:rsidRDefault="00E90266" w:rsidP="00193B3B">
            <w:pPr>
              <w:ind w:left="-241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E90266" w:rsidRDefault="00E90266" w:rsidP="00193B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 xml:space="preserve">   </w:t>
            </w:r>
            <w:r w:rsidR="00A81C1E" w:rsidRPr="00A81C1E">
              <w:rPr>
                <w:sz w:val="22"/>
                <w:szCs w:val="22"/>
              </w:rPr>
              <w:t xml:space="preserve"> </w:t>
            </w:r>
            <w:r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2552" w:type="dxa"/>
          </w:tcPr>
          <w:p w:rsidR="00E90266" w:rsidRPr="00A81C1E" w:rsidRDefault="00E90266" w:rsidP="00193B3B">
            <w:pPr>
              <w:jc w:val="both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Bendrabučio tipo namas</w:t>
            </w:r>
          </w:p>
        </w:tc>
        <w:tc>
          <w:tcPr>
            <w:tcW w:w="1417" w:type="dxa"/>
            <w:vAlign w:val="center"/>
          </w:tcPr>
          <w:p w:rsidR="00E90266" w:rsidRPr="00A81C1E" w:rsidRDefault="00A81C1E" w:rsidP="009625EF">
            <w:pPr>
              <w:jc w:val="center"/>
              <w:rPr>
                <w:sz w:val="22"/>
                <w:szCs w:val="22"/>
              </w:rPr>
            </w:pPr>
            <w:r w:rsidRPr="00A81C1E">
              <w:rPr>
                <w:sz w:val="22"/>
                <w:szCs w:val="22"/>
              </w:rPr>
              <w:t>1,15</w:t>
            </w:r>
          </w:p>
        </w:tc>
        <w:tc>
          <w:tcPr>
            <w:tcW w:w="1418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0,0272</w:t>
            </w:r>
          </w:p>
        </w:tc>
        <w:tc>
          <w:tcPr>
            <w:tcW w:w="1382" w:type="dxa"/>
            <w:vAlign w:val="center"/>
          </w:tcPr>
          <w:p w:rsidR="00E90266" w:rsidRPr="009557BA" w:rsidRDefault="00FB243A" w:rsidP="0096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0,0330</w:t>
            </w:r>
          </w:p>
        </w:tc>
      </w:tr>
    </w:tbl>
    <w:p w:rsidR="00193B3B" w:rsidRDefault="00193B3B" w:rsidP="00193B3B">
      <w:pPr>
        <w:ind w:left="2268" w:hanging="2268"/>
        <w:jc w:val="both"/>
        <w:rPr>
          <w:b/>
        </w:rPr>
      </w:pPr>
    </w:p>
    <w:p w:rsidR="0049166E" w:rsidRDefault="00B30D81" w:rsidP="00193B3B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</w:p>
    <w:p w:rsidR="00193B3B" w:rsidRDefault="00B30D81" w:rsidP="0049166E">
      <w:pPr>
        <w:jc w:val="both"/>
        <w:rPr>
          <w:b/>
        </w:rPr>
      </w:pPr>
      <w:r>
        <w:rPr>
          <w:b/>
        </w:rPr>
        <w:t xml:space="preserve">               </w:t>
      </w:r>
      <w:r w:rsidR="00045E67">
        <w:rPr>
          <w:b/>
        </w:rPr>
        <w:t xml:space="preserve">              </w:t>
      </w:r>
      <w:r>
        <w:rPr>
          <w:b/>
        </w:rPr>
        <w:t xml:space="preserve"> --------------------------------------------------------------------------------</w:t>
      </w: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9166E" w:rsidRDefault="0049166E" w:rsidP="0049166E">
      <w:pPr>
        <w:jc w:val="both"/>
        <w:rPr>
          <w:b/>
        </w:rPr>
      </w:pPr>
    </w:p>
    <w:p w:rsidR="00432367" w:rsidRDefault="00432367" w:rsidP="000E7350">
      <w:pPr>
        <w:jc w:val="center"/>
        <w:rPr>
          <w:b/>
        </w:rPr>
      </w:pPr>
      <w:r>
        <w:rPr>
          <w:b/>
        </w:rPr>
        <w:t>VIETOS ŪKO SKYRIUS</w:t>
      </w:r>
    </w:p>
    <w:p w:rsidR="00432367" w:rsidRDefault="00432367" w:rsidP="000E7350">
      <w:pPr>
        <w:jc w:val="center"/>
        <w:rPr>
          <w:b/>
        </w:rPr>
      </w:pPr>
    </w:p>
    <w:p w:rsidR="0049166E" w:rsidRPr="000E7350" w:rsidRDefault="0049166E" w:rsidP="000E7350">
      <w:pPr>
        <w:jc w:val="center"/>
        <w:rPr>
          <w:b/>
        </w:rPr>
      </w:pPr>
      <w:r w:rsidRPr="000E7350">
        <w:rPr>
          <w:b/>
        </w:rPr>
        <w:t>AIŠKINAMASIS RAŠTAS PRIE SPRENDIMO PROJEKTO</w:t>
      </w:r>
    </w:p>
    <w:p w:rsidR="0049166E" w:rsidRPr="000E7350" w:rsidRDefault="0049166E" w:rsidP="0049166E">
      <w:pPr>
        <w:jc w:val="both"/>
        <w:rPr>
          <w:b/>
        </w:rPr>
      </w:pPr>
      <w:r w:rsidRPr="00432367">
        <w:rPr>
          <w:b/>
        </w:rPr>
        <w:t xml:space="preserve">„DĖL PLUNGĖS RAJONO SAVIVALDYBĖS DAUGIABUČIŲ GYVENAMŲJŲ NAMŲ MAKSIMALIŲ TECHNINĖS PRIEŽIŪROS TARIFŲ PATVIRTINIMO“ </w:t>
      </w:r>
    </w:p>
    <w:p w:rsidR="0049166E" w:rsidRPr="0049166E" w:rsidRDefault="0049166E" w:rsidP="0049166E">
      <w:pPr>
        <w:jc w:val="both"/>
        <w:rPr>
          <w:b/>
        </w:rPr>
      </w:pPr>
    </w:p>
    <w:p w:rsidR="0049166E" w:rsidRPr="000E7350" w:rsidRDefault="0049166E" w:rsidP="009625EF">
      <w:pPr>
        <w:jc w:val="center"/>
      </w:pPr>
      <w:r w:rsidRPr="000E7350">
        <w:t>2019 m. spalio 14 d.</w:t>
      </w:r>
    </w:p>
    <w:p w:rsidR="0049166E" w:rsidRPr="000E7350" w:rsidRDefault="0049166E" w:rsidP="009625EF">
      <w:pPr>
        <w:jc w:val="center"/>
      </w:pPr>
      <w:r w:rsidRPr="000E7350">
        <w:t>Plungė</w:t>
      </w:r>
    </w:p>
    <w:p w:rsidR="0049166E" w:rsidRPr="0049166E" w:rsidRDefault="0049166E" w:rsidP="0049166E">
      <w:pPr>
        <w:jc w:val="both"/>
        <w:rPr>
          <w:b/>
        </w:rPr>
      </w:pPr>
    </w:p>
    <w:p w:rsidR="0049166E" w:rsidRPr="002A67BF" w:rsidRDefault="0049166E" w:rsidP="0049166E">
      <w:pPr>
        <w:jc w:val="both"/>
      </w:pPr>
      <w:r w:rsidRPr="0049166E">
        <w:rPr>
          <w:b/>
        </w:rPr>
        <w:t xml:space="preserve">         1. Sprendimo projekto esmė</w:t>
      </w:r>
      <w:r w:rsidR="00BD27D9">
        <w:rPr>
          <w:b/>
        </w:rPr>
        <w:t>.</w:t>
      </w:r>
      <w:r w:rsidR="002A67BF" w:rsidRPr="002A67BF">
        <w:t xml:space="preserve"> SĮ „Plungės būstas“</w:t>
      </w:r>
      <w:r w:rsidR="002A67BF">
        <w:t xml:space="preserve"> privalės naudotis ir neviršyti nustatytų tarifų už savo administruojamų daugiabučių namų pastatų vykdomą techninę priežiūrą.</w:t>
      </w:r>
    </w:p>
    <w:p w:rsidR="0049166E" w:rsidRPr="009A087B" w:rsidRDefault="009A087B" w:rsidP="0049166E">
      <w:pPr>
        <w:jc w:val="both"/>
      </w:pPr>
      <w:r>
        <w:rPr>
          <w:b/>
        </w:rPr>
        <w:t xml:space="preserve">         </w:t>
      </w:r>
      <w:r w:rsidR="0049166E" w:rsidRPr="0049166E">
        <w:rPr>
          <w:b/>
        </w:rPr>
        <w:t>2. Kuo vadovaujantis parengtas sprendimo projektas</w:t>
      </w:r>
      <w:r w:rsidR="00BD27D9">
        <w:rPr>
          <w:b/>
        </w:rPr>
        <w:t>.</w:t>
      </w:r>
      <w:r w:rsidR="0049166E" w:rsidRPr="0049166E">
        <w:rPr>
          <w:b/>
        </w:rPr>
        <w:t xml:space="preserve"> </w:t>
      </w:r>
      <w:r w:rsidR="00BD27D9">
        <w:t>P</w:t>
      </w:r>
      <w:r w:rsidR="0049166E" w:rsidRPr="009A087B">
        <w:t xml:space="preserve">rojektas parengtas, vadovaujantis </w:t>
      </w:r>
      <w:r w:rsidR="00CD15EC">
        <w:t>Statybos įstatymo 48 str. 7 dalimi</w:t>
      </w:r>
      <w:r w:rsidR="00BD27D9">
        <w:t>:</w:t>
      </w:r>
      <w:r w:rsidR="00CD15EC">
        <w:t xml:space="preserve"> </w:t>
      </w:r>
      <w:r w:rsidR="00CD15EC" w:rsidRPr="00173609">
        <w:rPr>
          <w:i/>
        </w:rPr>
        <w:t>„</w:t>
      </w:r>
      <w:r w:rsidR="0049166E" w:rsidRPr="00173609">
        <w:rPr>
          <w:i/>
        </w:rPr>
        <w:t xml:space="preserve">Kai daugiabučių gyvenamųjų namų techninę priežiūrą vykdo Lietuvos Respublikos civilinio kodekso nustatyta tvarka savivaldybės paskirtas bendrojo naudojimo objektų administratorius, statinio techninės priežiūros maksimalų tarifą, vadovaudamasi Vyriausybės įgaliotos institucijos patvirtinta </w:t>
      </w:r>
      <w:r w:rsidR="00BD27D9">
        <w:rPr>
          <w:i/>
        </w:rPr>
        <w:t>D</w:t>
      </w:r>
      <w:r w:rsidR="0049166E" w:rsidRPr="00173609">
        <w:rPr>
          <w:i/>
        </w:rPr>
        <w:t>augiabučių gyvenamųjų namų techninės priežiūros tarifo apskaičiavimo metodika, tvirtina savivaldybės taryba</w:t>
      </w:r>
      <w:r w:rsidR="00173609" w:rsidRPr="00173609">
        <w:rPr>
          <w:i/>
        </w:rPr>
        <w:t>“</w:t>
      </w:r>
      <w:r w:rsidR="00173609">
        <w:rPr>
          <w:i/>
        </w:rPr>
        <w:t xml:space="preserve"> </w:t>
      </w:r>
      <w:r w:rsidR="00173609" w:rsidRPr="00173609">
        <w:t xml:space="preserve">bei </w:t>
      </w:r>
      <w:r w:rsidR="00173609">
        <w:t xml:space="preserve">Lietuvos Respublikos aplinkos ministro 2018 m. gegužės 3 d. įsakymu Nr. D1-354 „Dėl </w:t>
      </w:r>
      <w:r w:rsidR="00BD27D9">
        <w:t>D</w:t>
      </w:r>
      <w:r w:rsidR="00173609">
        <w:t xml:space="preserve">augiabučių </w:t>
      </w:r>
      <w:r w:rsidR="00BD27D9">
        <w:t xml:space="preserve">gyvenamųjų </w:t>
      </w:r>
      <w:r w:rsidR="00173609">
        <w:t>namų techninės priežiūros tarifo apskaičiavimo metodikos patvirtinimo“ (metodika pridedama).</w:t>
      </w:r>
    </w:p>
    <w:p w:rsidR="0049166E" w:rsidRPr="009A087B" w:rsidRDefault="009A087B" w:rsidP="00D300B9">
      <w:pPr>
        <w:jc w:val="both"/>
      </w:pPr>
      <w:r>
        <w:rPr>
          <w:b/>
        </w:rPr>
        <w:t xml:space="preserve">         </w:t>
      </w:r>
      <w:r w:rsidR="0049166E" w:rsidRPr="0049166E">
        <w:rPr>
          <w:b/>
        </w:rPr>
        <w:t>3. Spendimo projekto tikslai ir uždaviniai</w:t>
      </w:r>
      <w:r w:rsidR="00BD27D9">
        <w:rPr>
          <w:b/>
        </w:rPr>
        <w:t>.</w:t>
      </w:r>
      <w:r w:rsidR="0049166E" w:rsidRPr="0049166E">
        <w:rPr>
          <w:b/>
        </w:rPr>
        <w:t xml:space="preserve"> </w:t>
      </w:r>
      <w:r w:rsidR="00BD27D9">
        <w:t>P</w:t>
      </w:r>
      <w:r w:rsidR="00693570" w:rsidRPr="00693570">
        <w:t xml:space="preserve">agrindinis tikslas </w:t>
      </w:r>
      <w:r w:rsidR="00693570">
        <w:t>– SĮ „Plungės būstas“</w:t>
      </w:r>
      <w:r w:rsidR="00BD27D9">
        <w:t>,</w:t>
      </w:r>
      <w:r w:rsidR="00693570">
        <w:t xml:space="preserve"> vykdydama pastatų techninę priežiūrą</w:t>
      </w:r>
      <w:r w:rsidR="00BD27D9">
        <w:t>,</w:t>
      </w:r>
      <w:r w:rsidR="00693570">
        <w:t xml:space="preserve"> privalės vadovautis nustatytais tarifais, nebus neaiškumų ar ginčų tarp administruojančios įmonės ir gyventojų.</w:t>
      </w:r>
      <w:r w:rsidR="00693570" w:rsidRPr="00693570">
        <w:t xml:space="preserve"> </w:t>
      </w:r>
      <w:r w:rsidR="0049166E" w:rsidRPr="009A087B">
        <w:t xml:space="preserve"> </w:t>
      </w:r>
    </w:p>
    <w:p w:rsidR="0049166E" w:rsidRPr="007937CB" w:rsidRDefault="0049166E" w:rsidP="00693570">
      <w:pPr>
        <w:jc w:val="both"/>
      </w:pPr>
      <w:r w:rsidRPr="0049166E">
        <w:rPr>
          <w:b/>
        </w:rPr>
        <w:t xml:space="preserve">         4. Laukiami rezultatai</w:t>
      </w:r>
      <w:r w:rsidR="00BD27D9">
        <w:rPr>
          <w:b/>
        </w:rPr>
        <w:t>.</w:t>
      </w:r>
      <w:r w:rsidRPr="0049166E">
        <w:rPr>
          <w:b/>
        </w:rPr>
        <w:t xml:space="preserve"> </w:t>
      </w:r>
      <w:r w:rsidR="007937CB" w:rsidRPr="007937CB">
        <w:t>SĮ „Plungės būstas“</w:t>
      </w:r>
      <w:r w:rsidR="007937CB">
        <w:t xml:space="preserve"> pastatų techninę priežiūrą vykdė ir anksčiau be nustatytų tarifų bei nerinkdama apskritai jokio mokesčio. Surinktos lėšos už </w:t>
      </w:r>
      <w:proofErr w:type="spellStart"/>
      <w:r w:rsidR="007937CB">
        <w:t>techn</w:t>
      </w:r>
      <w:proofErr w:type="spellEnd"/>
      <w:r w:rsidR="007937CB">
        <w:t>. priežiūrą b</w:t>
      </w:r>
      <w:r w:rsidR="00BD27D9">
        <w:t>ū</w:t>
      </w:r>
      <w:r w:rsidR="007937CB">
        <w:t>tų naudojamos įmonės viduje, pvz.</w:t>
      </w:r>
      <w:r w:rsidR="00BD27D9">
        <w:t>,</w:t>
      </w:r>
      <w:r w:rsidR="007937CB">
        <w:t xml:space="preserve"> atlyginimų kėlimui ar kt.</w:t>
      </w:r>
    </w:p>
    <w:p w:rsidR="0049166E" w:rsidRPr="009A087B" w:rsidRDefault="007937CB" w:rsidP="0049166E">
      <w:pPr>
        <w:jc w:val="both"/>
      </w:pPr>
      <w:r>
        <w:rPr>
          <w:b/>
        </w:rPr>
        <w:t xml:space="preserve">         </w:t>
      </w:r>
      <w:r w:rsidR="00BD27D9">
        <w:rPr>
          <w:b/>
        </w:rPr>
        <w:t>5</w:t>
      </w:r>
      <w:r w:rsidR="0049166E" w:rsidRPr="0049166E">
        <w:rPr>
          <w:b/>
        </w:rPr>
        <w:t xml:space="preserve">. Galimos teigiamos ar neigiamos sprendimo priėmimo pasekmės: </w:t>
      </w:r>
      <w:r w:rsidR="0049166E" w:rsidRPr="009A087B">
        <w:t>neigiamų pasekmių nebus.</w:t>
      </w:r>
    </w:p>
    <w:p w:rsidR="0049166E" w:rsidRPr="009A087B" w:rsidRDefault="007937CB" w:rsidP="0049166E">
      <w:pPr>
        <w:jc w:val="both"/>
      </w:pPr>
      <w:r>
        <w:rPr>
          <w:b/>
        </w:rPr>
        <w:t xml:space="preserve">         </w:t>
      </w:r>
      <w:r w:rsidR="00BD27D9">
        <w:rPr>
          <w:b/>
        </w:rPr>
        <w:t>6</w:t>
      </w:r>
      <w:r w:rsidR="0049166E" w:rsidRPr="0049166E">
        <w:rPr>
          <w:b/>
        </w:rPr>
        <w:t xml:space="preserve">. Sprendimo projekto rengimo metu gauti specialistų vertinimai: </w:t>
      </w:r>
      <w:r w:rsidR="0049166E" w:rsidRPr="009A087B">
        <w:t>negauta.</w:t>
      </w:r>
    </w:p>
    <w:p w:rsidR="0049166E" w:rsidRPr="0049166E" w:rsidRDefault="007937CB" w:rsidP="0049166E">
      <w:pPr>
        <w:jc w:val="both"/>
        <w:rPr>
          <w:b/>
        </w:rPr>
      </w:pPr>
      <w:r>
        <w:rPr>
          <w:b/>
        </w:rPr>
        <w:t xml:space="preserve">         </w:t>
      </w:r>
      <w:r w:rsidR="00BD27D9">
        <w:rPr>
          <w:b/>
        </w:rPr>
        <w:t>7</w:t>
      </w:r>
      <w:r w:rsidR="0049166E" w:rsidRPr="0049166E">
        <w:rPr>
          <w:b/>
        </w:rPr>
        <w:t xml:space="preserve">. Lėšų poreikis sprendimui įgyvendinti: </w:t>
      </w:r>
      <w:r w:rsidR="0049166E" w:rsidRPr="009A087B">
        <w:t>lėšos nereikalingos.</w:t>
      </w:r>
    </w:p>
    <w:p w:rsidR="0049166E" w:rsidRPr="000E7350" w:rsidRDefault="007937CB" w:rsidP="0049166E">
      <w:pPr>
        <w:jc w:val="both"/>
        <w:rPr>
          <w:b/>
        </w:rPr>
      </w:pPr>
      <w:r>
        <w:rPr>
          <w:b/>
        </w:rPr>
        <w:t xml:space="preserve">        </w:t>
      </w:r>
      <w:r w:rsidR="00BD27D9">
        <w:rPr>
          <w:b/>
        </w:rPr>
        <w:t xml:space="preserve"> 8</w:t>
      </w:r>
      <w:r w:rsidR="0049166E" w:rsidRPr="0049166E">
        <w:rPr>
          <w:b/>
        </w:rPr>
        <w:t xml:space="preserve">. Kokie šios srities aktai tebegalioja (pateikiamas aktų sąrašas) ir kokius galiojančius aktus būtina pakeisti ar panaikinti, priėmus teikiamą projektą: </w:t>
      </w:r>
      <w:r w:rsidR="0049166E" w:rsidRPr="009A087B">
        <w:t>nereikės.</w:t>
      </w:r>
    </w:p>
    <w:p w:rsidR="0049166E" w:rsidRPr="0049166E" w:rsidRDefault="007937CB" w:rsidP="0049166E">
      <w:pPr>
        <w:jc w:val="both"/>
        <w:rPr>
          <w:b/>
        </w:rPr>
      </w:pPr>
      <w:r>
        <w:rPr>
          <w:b/>
        </w:rPr>
        <w:t xml:space="preserve">        </w:t>
      </w:r>
      <w:r w:rsidR="00BD27D9">
        <w:rPr>
          <w:b/>
        </w:rPr>
        <w:t>9</w:t>
      </w:r>
      <w:r w:rsidR="0049166E" w:rsidRPr="0049166E">
        <w:rPr>
          <w:b/>
        </w:rPr>
        <w:t>.</w:t>
      </w:r>
      <w:r w:rsidR="00BD27D9">
        <w:rPr>
          <w:b/>
        </w:rPr>
        <w:t xml:space="preserve"> </w:t>
      </w:r>
      <w:r w:rsidR="0049166E" w:rsidRPr="0049166E">
        <w:rPr>
          <w:b/>
        </w:rPr>
        <w:t>Antikorupcinis vertinimas</w:t>
      </w:r>
      <w:r w:rsidR="00BD27D9">
        <w:rPr>
          <w:b/>
        </w:rPr>
        <w:t>.</w:t>
      </w:r>
      <w:r w:rsidR="0049166E" w:rsidRPr="0049166E">
        <w:rPr>
          <w:b/>
        </w:rPr>
        <w:t xml:space="preserve"> </w:t>
      </w:r>
      <w:r w:rsidR="00BD27D9">
        <w:t>M</w:t>
      </w:r>
      <w:r w:rsidR="0049166E" w:rsidRPr="009A087B">
        <w:t>anome, kad projektas suprantamas ir nesudaro galimybės korupcijos rizikos tikimybei pasireikšti.</w:t>
      </w:r>
    </w:p>
    <w:p w:rsidR="0049166E" w:rsidRPr="00F72E41" w:rsidRDefault="00BD27D9" w:rsidP="00BD27D9">
      <w:pPr>
        <w:jc w:val="both"/>
        <w:rPr>
          <w:b/>
        </w:rPr>
      </w:pPr>
      <w:r>
        <w:rPr>
          <w:b/>
        </w:rPr>
        <w:t xml:space="preserve">       </w:t>
      </w:r>
      <w:r w:rsidR="0049166E" w:rsidRPr="0049166E">
        <w:rPr>
          <w:b/>
        </w:rPr>
        <w:t>1</w:t>
      </w:r>
      <w:r>
        <w:rPr>
          <w:b/>
        </w:rPr>
        <w:t>0</w:t>
      </w:r>
      <w:r w:rsidR="0049166E" w:rsidRPr="0049166E">
        <w:rPr>
          <w:b/>
        </w:rPr>
        <w:t xml:space="preserve">. </w:t>
      </w:r>
      <w:r w:rsidR="0049166E" w:rsidRPr="00F72E41">
        <w:rPr>
          <w:b/>
        </w:rPr>
        <w:t xml:space="preserve">Priedai prie sprendimo projekto: </w:t>
      </w:r>
    </w:p>
    <w:p w:rsidR="00F72E41" w:rsidRPr="00F72E41" w:rsidRDefault="00BD27D9" w:rsidP="0049166E">
      <w:pPr>
        <w:jc w:val="both"/>
      </w:pPr>
      <w:r>
        <w:rPr>
          <w:b/>
        </w:rPr>
        <w:t xml:space="preserve">      </w:t>
      </w:r>
      <w:r w:rsidR="0049166E" w:rsidRPr="0049166E">
        <w:rPr>
          <w:b/>
        </w:rPr>
        <w:t>1</w:t>
      </w:r>
      <w:r>
        <w:rPr>
          <w:b/>
        </w:rPr>
        <w:t>0</w:t>
      </w:r>
      <w:r w:rsidR="0049166E" w:rsidRPr="0049166E">
        <w:rPr>
          <w:b/>
        </w:rPr>
        <w:t xml:space="preserve">.1. </w:t>
      </w:r>
      <w:r w:rsidR="00F72E41" w:rsidRPr="00F72E41">
        <w:t>Daugiabučių gyvenamųjų namų</w:t>
      </w:r>
      <w:r w:rsidR="00F72E41">
        <w:t xml:space="preserve"> techninės priežiūros tarifo apskaičiavimo metodika, 5 lapai</w:t>
      </w:r>
      <w:r>
        <w:t>.</w:t>
      </w:r>
    </w:p>
    <w:p w:rsidR="0049166E" w:rsidRPr="0049166E" w:rsidRDefault="00BD27D9" w:rsidP="0049166E">
      <w:pPr>
        <w:jc w:val="both"/>
        <w:rPr>
          <w:b/>
        </w:rPr>
      </w:pPr>
      <w:r>
        <w:rPr>
          <w:b/>
        </w:rPr>
        <w:t xml:space="preserve">      </w:t>
      </w:r>
      <w:r w:rsidR="0049166E" w:rsidRPr="0049166E">
        <w:rPr>
          <w:b/>
        </w:rPr>
        <w:t>1</w:t>
      </w:r>
      <w:r>
        <w:rPr>
          <w:b/>
        </w:rPr>
        <w:t>0</w:t>
      </w:r>
      <w:r w:rsidR="0049166E" w:rsidRPr="0049166E">
        <w:rPr>
          <w:b/>
        </w:rPr>
        <w:t xml:space="preserve">.2. </w:t>
      </w:r>
      <w:r w:rsidR="00F72E41" w:rsidRPr="00F72E41">
        <w:t xml:space="preserve">Techninės </w:t>
      </w:r>
      <w:r w:rsidR="00F72E41">
        <w:t xml:space="preserve">priežiūros </w:t>
      </w:r>
      <w:proofErr w:type="spellStart"/>
      <w:r w:rsidR="00F72E41">
        <w:t>maks</w:t>
      </w:r>
      <w:proofErr w:type="spellEnd"/>
      <w:r w:rsidR="00F72E41">
        <w:t xml:space="preserve">. tarifo </w:t>
      </w:r>
      <w:r w:rsidR="00EF541D">
        <w:t>atliekama</w:t>
      </w:r>
      <w:r w:rsidR="0002196F">
        <w:t>-atlikta</w:t>
      </w:r>
      <w:r w:rsidR="00EF541D">
        <w:t xml:space="preserve"> </w:t>
      </w:r>
      <w:r w:rsidR="00F72E41">
        <w:t>skaičiuotė, 2 lapai</w:t>
      </w:r>
      <w:r>
        <w:t>.</w:t>
      </w:r>
    </w:p>
    <w:p w:rsidR="0049166E" w:rsidRDefault="00BD27D9" w:rsidP="0049166E">
      <w:pPr>
        <w:jc w:val="both"/>
      </w:pPr>
      <w:r>
        <w:rPr>
          <w:b/>
        </w:rPr>
        <w:t xml:space="preserve">      </w:t>
      </w:r>
      <w:r w:rsidR="0049166E" w:rsidRPr="0049166E">
        <w:rPr>
          <w:b/>
        </w:rPr>
        <w:t>1</w:t>
      </w:r>
      <w:r>
        <w:rPr>
          <w:b/>
        </w:rPr>
        <w:t>0</w:t>
      </w:r>
      <w:r w:rsidR="0049166E" w:rsidRPr="0049166E">
        <w:rPr>
          <w:b/>
        </w:rPr>
        <w:t xml:space="preserve">.3. </w:t>
      </w:r>
      <w:r w:rsidR="00EF541D" w:rsidRPr="00EF541D">
        <w:t>Lietuvos Respublikos statybos įstatymo</w:t>
      </w:r>
      <w:r w:rsidR="00EF541D">
        <w:t xml:space="preserve"> 48 straipsnis „Statinių techninė priežiūra ir techninės priežiūros taisyklės“, 2 lapai (80 ir 81)</w:t>
      </w:r>
      <w:r>
        <w:t>.</w:t>
      </w:r>
    </w:p>
    <w:p w:rsidR="00EF541D" w:rsidRPr="0002196F" w:rsidRDefault="00BD27D9" w:rsidP="0049166E">
      <w:pPr>
        <w:jc w:val="both"/>
      </w:pPr>
      <w:r>
        <w:rPr>
          <w:b/>
        </w:rPr>
        <w:t xml:space="preserve">      </w:t>
      </w:r>
      <w:r w:rsidR="00EF541D" w:rsidRPr="00EF541D">
        <w:rPr>
          <w:b/>
        </w:rPr>
        <w:t>1</w:t>
      </w:r>
      <w:r>
        <w:rPr>
          <w:b/>
        </w:rPr>
        <w:t>0</w:t>
      </w:r>
      <w:r w:rsidR="00EF541D" w:rsidRPr="00EF541D">
        <w:rPr>
          <w:b/>
        </w:rPr>
        <w:t>.4.</w:t>
      </w:r>
      <w:r w:rsidR="00EF541D">
        <w:rPr>
          <w:b/>
        </w:rPr>
        <w:t xml:space="preserve"> </w:t>
      </w:r>
      <w:r w:rsidR="0002196F" w:rsidRPr="0002196F">
        <w:t>SĮ „Plungės būstas“ prašymas</w:t>
      </w:r>
      <w:r w:rsidR="0002196F">
        <w:t xml:space="preserve"> „Dėl daugiabučių gyvenamųjų namų techninės priežiūros mokesčio maksimalaus tarifo patvirtinimo“, 1 lapas.</w:t>
      </w:r>
    </w:p>
    <w:p w:rsidR="0049166E" w:rsidRPr="00EF541D" w:rsidRDefault="0049166E" w:rsidP="0049166E">
      <w:pPr>
        <w:jc w:val="both"/>
      </w:pPr>
    </w:p>
    <w:p w:rsidR="0049166E" w:rsidRPr="009A087B" w:rsidRDefault="0049166E" w:rsidP="0049166E">
      <w:pPr>
        <w:jc w:val="both"/>
      </w:pPr>
      <w:r w:rsidRPr="009A087B">
        <w:t>Vietos ūkio ir sk.</w:t>
      </w:r>
      <w:r w:rsidR="00F72E41">
        <w:t xml:space="preserve"> vyr. specialistas                                                                        Kazys Milierius</w:t>
      </w:r>
    </w:p>
    <w:sectPr w:rsidR="0049166E" w:rsidRPr="009A087B" w:rsidSect="009625E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0"/>
    <w:rsid w:val="0002196F"/>
    <w:rsid w:val="00045E67"/>
    <w:rsid w:val="000561E8"/>
    <w:rsid w:val="00072080"/>
    <w:rsid w:val="000D0B1B"/>
    <w:rsid w:val="000E7350"/>
    <w:rsid w:val="00173609"/>
    <w:rsid w:val="001767B0"/>
    <w:rsid w:val="0018209A"/>
    <w:rsid w:val="00193B3B"/>
    <w:rsid w:val="001E7F83"/>
    <w:rsid w:val="001F0074"/>
    <w:rsid w:val="00267763"/>
    <w:rsid w:val="00274534"/>
    <w:rsid w:val="00283200"/>
    <w:rsid w:val="002A67BF"/>
    <w:rsid w:val="002E25C0"/>
    <w:rsid w:val="002E5472"/>
    <w:rsid w:val="00395865"/>
    <w:rsid w:val="00432367"/>
    <w:rsid w:val="00487192"/>
    <w:rsid w:val="0049166E"/>
    <w:rsid w:val="004F3935"/>
    <w:rsid w:val="00502DE0"/>
    <w:rsid w:val="00505453"/>
    <w:rsid w:val="00576C02"/>
    <w:rsid w:val="00577823"/>
    <w:rsid w:val="00594FDA"/>
    <w:rsid w:val="005A06C8"/>
    <w:rsid w:val="005E1008"/>
    <w:rsid w:val="005F20EE"/>
    <w:rsid w:val="00693570"/>
    <w:rsid w:val="006F5609"/>
    <w:rsid w:val="0071371D"/>
    <w:rsid w:val="00721747"/>
    <w:rsid w:val="007937CB"/>
    <w:rsid w:val="007B3325"/>
    <w:rsid w:val="007C58FA"/>
    <w:rsid w:val="007D46EC"/>
    <w:rsid w:val="00806C6A"/>
    <w:rsid w:val="008B4EA0"/>
    <w:rsid w:val="009027B9"/>
    <w:rsid w:val="00934390"/>
    <w:rsid w:val="009557BA"/>
    <w:rsid w:val="009625EF"/>
    <w:rsid w:val="009A087B"/>
    <w:rsid w:val="009D5285"/>
    <w:rsid w:val="009D5512"/>
    <w:rsid w:val="00A81C1E"/>
    <w:rsid w:val="00B30D81"/>
    <w:rsid w:val="00BD27D9"/>
    <w:rsid w:val="00BD58EE"/>
    <w:rsid w:val="00CB00D1"/>
    <w:rsid w:val="00CB5546"/>
    <w:rsid w:val="00CD15EC"/>
    <w:rsid w:val="00D300B9"/>
    <w:rsid w:val="00D56554"/>
    <w:rsid w:val="00D87441"/>
    <w:rsid w:val="00D91DEB"/>
    <w:rsid w:val="00DE2EB2"/>
    <w:rsid w:val="00DE6703"/>
    <w:rsid w:val="00E11ADE"/>
    <w:rsid w:val="00E61579"/>
    <w:rsid w:val="00E725B7"/>
    <w:rsid w:val="00E76AF0"/>
    <w:rsid w:val="00E90266"/>
    <w:rsid w:val="00EC76ED"/>
    <w:rsid w:val="00EF541D"/>
    <w:rsid w:val="00F01168"/>
    <w:rsid w:val="00F1035B"/>
    <w:rsid w:val="00F72E41"/>
    <w:rsid w:val="00FB243A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7</TotalTime>
  <Pages>4</Pages>
  <Words>824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Kazys Milierius</dc:creator>
  <cp:lastModifiedBy>Jovita Šumskienė</cp:lastModifiedBy>
  <cp:revision>3</cp:revision>
  <cp:lastPrinted>2019-10-15T12:22:00Z</cp:lastPrinted>
  <dcterms:created xsi:type="dcterms:W3CDTF">2019-10-17T06:42:00Z</dcterms:created>
  <dcterms:modified xsi:type="dcterms:W3CDTF">2019-10-17T08:56:00Z</dcterms:modified>
</cp:coreProperties>
</file>