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F9" w:rsidRPr="00A16F92" w:rsidRDefault="00FA4DF9" w:rsidP="00FA4DF9">
      <w:pPr>
        <w:jc w:val="right"/>
        <w:rPr>
          <w:b/>
          <w:noProof/>
          <w:sz w:val="24"/>
          <w:szCs w:val="24"/>
        </w:rPr>
      </w:pPr>
      <w:r w:rsidRPr="00A16F92">
        <w:rPr>
          <w:b/>
          <w:noProof/>
          <w:sz w:val="24"/>
          <w:szCs w:val="24"/>
        </w:rPr>
        <w:t>Projektas</w:t>
      </w:r>
    </w:p>
    <w:p w:rsidR="00FA4DF9" w:rsidRDefault="00FA4DF9" w:rsidP="00FA4DF9">
      <w:pPr>
        <w:jc w:val="center"/>
        <w:rPr>
          <w:b/>
          <w:noProof/>
          <w:sz w:val="28"/>
        </w:rPr>
      </w:pPr>
      <w:r w:rsidRPr="009F7D43">
        <w:rPr>
          <w:b/>
          <w:noProof/>
          <w:sz w:val="28"/>
        </w:rPr>
        <w:t xml:space="preserve">PLUNGĖS RAJONO SAVIVALDYBĖS </w:t>
      </w:r>
      <w:r w:rsidRPr="009F7D43">
        <w:rPr>
          <w:b/>
          <w:noProof/>
          <w:sz w:val="28"/>
        </w:rPr>
        <w:br/>
        <w:t>TARYBA</w:t>
      </w:r>
    </w:p>
    <w:p w:rsidR="00FA4DF9" w:rsidRDefault="00FA4DF9" w:rsidP="00FA4DF9">
      <w:pPr>
        <w:jc w:val="center"/>
        <w:rPr>
          <w:b/>
          <w:noProof/>
          <w:sz w:val="28"/>
        </w:rPr>
      </w:pPr>
    </w:p>
    <w:p w:rsidR="00FA4DF9" w:rsidRDefault="00FA4DF9" w:rsidP="00FA4DF9">
      <w:pPr>
        <w:jc w:val="center"/>
        <w:rPr>
          <w:b/>
          <w:sz w:val="28"/>
        </w:rPr>
      </w:pPr>
      <w:r w:rsidRPr="009F7D43">
        <w:rPr>
          <w:b/>
          <w:sz w:val="28"/>
        </w:rPr>
        <w:t>SPRENDIMAS</w:t>
      </w:r>
    </w:p>
    <w:p w:rsidR="00FA4DF9" w:rsidRDefault="00FA4DF9" w:rsidP="00FA4DF9">
      <w:pPr>
        <w:jc w:val="center"/>
        <w:rPr>
          <w:b/>
          <w:sz w:val="28"/>
        </w:rPr>
      </w:pPr>
      <w:r w:rsidRPr="009F7D43">
        <w:rPr>
          <w:b/>
          <w:sz w:val="28"/>
        </w:rPr>
        <w:t>DĖL PLUNGĖS RAJONO SAVIVALDYBĖS 2018 METŲ BIUDŽETO VYKDYMO ATASKAITŲ RINKINIO PATVIRTINIMO</w:t>
      </w:r>
    </w:p>
    <w:p w:rsidR="00FA4DF9" w:rsidRDefault="00FA4DF9" w:rsidP="00FA4DF9">
      <w:pPr>
        <w:jc w:val="center"/>
        <w:rPr>
          <w:b/>
          <w:sz w:val="28"/>
        </w:rPr>
      </w:pPr>
    </w:p>
    <w:p w:rsidR="00FA4DF9" w:rsidRPr="00FA4DF9" w:rsidRDefault="00FA4DF9" w:rsidP="00FA4DF9">
      <w:pPr>
        <w:jc w:val="center"/>
        <w:rPr>
          <w:sz w:val="24"/>
          <w:szCs w:val="24"/>
        </w:rPr>
      </w:pPr>
      <w:r w:rsidRPr="00FA4DF9">
        <w:rPr>
          <w:sz w:val="24"/>
          <w:szCs w:val="24"/>
        </w:rPr>
        <w:t>2019 m. liepos 25 d. Nr.</w:t>
      </w:r>
      <w:r>
        <w:rPr>
          <w:sz w:val="24"/>
          <w:szCs w:val="24"/>
        </w:rPr>
        <w:t xml:space="preserve"> </w:t>
      </w:r>
      <w:r w:rsidRPr="00FA4DF9">
        <w:rPr>
          <w:sz w:val="24"/>
          <w:szCs w:val="24"/>
        </w:rPr>
        <w:t>T1</w:t>
      </w:r>
      <w:r w:rsidR="00BC68A9">
        <w:rPr>
          <w:sz w:val="24"/>
          <w:szCs w:val="24"/>
        </w:rPr>
        <w:t>-</w:t>
      </w:r>
      <w:bookmarkStart w:id="0" w:name="_GoBack"/>
      <w:bookmarkEnd w:id="0"/>
    </w:p>
    <w:p w:rsidR="00FA4DF9" w:rsidRPr="00FA4DF9" w:rsidRDefault="00FA4DF9" w:rsidP="00FA4DF9">
      <w:pPr>
        <w:jc w:val="center"/>
        <w:rPr>
          <w:sz w:val="24"/>
          <w:szCs w:val="24"/>
        </w:rPr>
      </w:pPr>
      <w:r w:rsidRPr="00FA4DF9">
        <w:rPr>
          <w:sz w:val="24"/>
          <w:szCs w:val="24"/>
        </w:rPr>
        <w:t>Plungė</w:t>
      </w:r>
    </w:p>
    <w:p w:rsidR="00FA4DF9" w:rsidRDefault="00FA4DF9" w:rsidP="00FA4DF9"/>
    <w:p w:rsidR="00FA4DF9" w:rsidRDefault="00FA4DF9" w:rsidP="00FA4DF9">
      <w:pPr>
        <w:ind w:firstLine="720"/>
        <w:jc w:val="both"/>
      </w:pPr>
      <w:r w:rsidRPr="00ED5612">
        <w:rPr>
          <w:sz w:val="24"/>
        </w:rPr>
        <w:t>Vadovaudamasi Lietuvos Respublikos biudžeto sandaros įstatymo 36 straipsnio 3 dalimi ir Lietuvos Respublikos vietos savivaldos įstatymo 16 straipsnio 2 dalies 15 punktu, Plungės rajono savivaldybės taryba  n u s p r e n d ž i a:</w:t>
      </w:r>
    </w:p>
    <w:p w:rsidR="00FA4DF9" w:rsidRPr="00ED5612" w:rsidRDefault="00FA4DF9" w:rsidP="00FA4DF9">
      <w:pPr>
        <w:ind w:firstLine="720"/>
        <w:jc w:val="both"/>
        <w:rPr>
          <w:sz w:val="24"/>
        </w:rPr>
      </w:pPr>
      <w:r w:rsidRPr="00ED5612">
        <w:rPr>
          <w:sz w:val="24"/>
        </w:rPr>
        <w:t>Patvirtinti pridedamus:</w:t>
      </w:r>
    </w:p>
    <w:p w:rsidR="00FA4DF9" w:rsidRPr="00ED5612" w:rsidRDefault="00FA4DF9" w:rsidP="00FA4DF9">
      <w:pPr>
        <w:ind w:firstLine="720"/>
        <w:jc w:val="both"/>
        <w:rPr>
          <w:sz w:val="24"/>
        </w:rPr>
      </w:pPr>
      <w:r w:rsidRPr="00ED5612">
        <w:rPr>
          <w:sz w:val="24"/>
        </w:rPr>
        <w:t>1. Plungės rajono savivaldybės 2018 metų biudžeto vykdymo ataskaitų rinkinį (1 priedas):</w:t>
      </w:r>
    </w:p>
    <w:p w:rsidR="00FA4DF9" w:rsidRPr="00ED5612" w:rsidRDefault="00FA4DF9" w:rsidP="00FA4DF9">
      <w:pPr>
        <w:ind w:firstLine="720"/>
        <w:jc w:val="both"/>
        <w:rPr>
          <w:sz w:val="24"/>
        </w:rPr>
      </w:pPr>
      <w:r w:rsidRPr="00ED5612">
        <w:rPr>
          <w:sz w:val="24"/>
        </w:rPr>
        <w:t>1.1. Biudžeto pajamų ir išlaidų plano vykdymo 2018 m. gruodžio 31 d. ataskaitą (forma Nr. 1- sav.);</w:t>
      </w:r>
    </w:p>
    <w:p w:rsidR="00FA4DF9" w:rsidRPr="00ED5612" w:rsidRDefault="00FA4DF9" w:rsidP="00FA4DF9">
      <w:pPr>
        <w:ind w:firstLine="720"/>
        <w:jc w:val="both"/>
        <w:rPr>
          <w:sz w:val="24"/>
        </w:rPr>
      </w:pPr>
      <w:r w:rsidRPr="00ED5612">
        <w:rPr>
          <w:sz w:val="24"/>
        </w:rPr>
        <w:t>1.2. Biudžeto išlaidų sąmatos vykdymo 2018 m. gruodžio 31 d. ataskaitą (forma Nr. 2 - sav.);</w:t>
      </w:r>
    </w:p>
    <w:p w:rsidR="00FA4DF9" w:rsidRPr="00ED5612" w:rsidRDefault="00FA4DF9" w:rsidP="00FA4DF9">
      <w:pPr>
        <w:ind w:firstLine="720"/>
        <w:jc w:val="both"/>
        <w:rPr>
          <w:sz w:val="24"/>
        </w:rPr>
      </w:pPr>
      <w:r>
        <w:rPr>
          <w:sz w:val="24"/>
        </w:rPr>
        <w:t>1.3. Paaiškinimą</w:t>
      </w:r>
      <w:r w:rsidRPr="00ED5612">
        <w:rPr>
          <w:sz w:val="24"/>
        </w:rPr>
        <w:t xml:space="preserve"> prie Plungės rajono savivaldybės 2018 metų biudžeto vykdymo ataskaitos.</w:t>
      </w:r>
    </w:p>
    <w:p w:rsidR="00FA4DF9" w:rsidRPr="00ED5612" w:rsidRDefault="00FA4DF9" w:rsidP="00FA4DF9">
      <w:pPr>
        <w:ind w:firstLine="720"/>
        <w:jc w:val="both"/>
        <w:rPr>
          <w:sz w:val="24"/>
        </w:rPr>
      </w:pPr>
      <w:r w:rsidRPr="00ED5612">
        <w:rPr>
          <w:sz w:val="24"/>
        </w:rPr>
        <w:t>2. 37</w:t>
      </w:r>
      <w:r>
        <w:t> </w:t>
      </w:r>
      <w:r w:rsidRPr="00ED5612">
        <w:rPr>
          <w:sz w:val="24"/>
        </w:rPr>
        <w:t xml:space="preserve">964,1 tūkst. eurų pajamų (2 priedas), iš jų: 165,7 tūkst. eurų - iš Savivaldybės biudžeto išlaikomų įstaigų gautų pajamų už prekes ir paslaugas; 548,8 tūkst. eurų - įmokų už išlaikymą švietimo, socialinės apsaugos ir kitose įstaigose ir 176,6 tūkst. eurų - už ilgalaikio ir trumpalaikio materialiojo turto nuomą.  </w:t>
      </w:r>
    </w:p>
    <w:p w:rsidR="00FA4DF9" w:rsidRPr="00ED5612" w:rsidRDefault="00FA4DF9" w:rsidP="00FA4DF9">
      <w:pPr>
        <w:ind w:firstLine="720"/>
        <w:jc w:val="both"/>
        <w:rPr>
          <w:sz w:val="24"/>
        </w:rPr>
      </w:pPr>
      <w:r w:rsidRPr="00ED5612">
        <w:rPr>
          <w:sz w:val="24"/>
        </w:rPr>
        <w:t>3. 38 663,6 tūkst. eurų išlaidų (37 728,2 tūkst. eurų - asignavimų ir 935,6 tūkst. eurų - paskoloms grąžinti); iš jų: 14 498,1 tūkst. eurų - darbo užmokesčiui ir 9 441,6 tūkst. eurų - turtui įsigyti:</w:t>
      </w:r>
    </w:p>
    <w:p w:rsidR="00FA4DF9" w:rsidRPr="00ED5612" w:rsidRDefault="00FA4DF9" w:rsidP="00FA4DF9">
      <w:pPr>
        <w:ind w:firstLine="720"/>
        <w:jc w:val="both"/>
        <w:rPr>
          <w:sz w:val="24"/>
        </w:rPr>
      </w:pPr>
      <w:r w:rsidRPr="00ED5612">
        <w:rPr>
          <w:sz w:val="24"/>
        </w:rPr>
        <w:t xml:space="preserve">3.1. 19 661,4 tūkst. eurų - </w:t>
      </w:r>
      <w:proofErr w:type="spellStart"/>
      <w:r w:rsidRPr="00ED5612">
        <w:rPr>
          <w:sz w:val="24"/>
        </w:rPr>
        <w:t>savarankiškosioms</w:t>
      </w:r>
      <w:proofErr w:type="spellEnd"/>
      <w:r w:rsidRPr="00ED5612">
        <w:rPr>
          <w:sz w:val="24"/>
        </w:rPr>
        <w:t xml:space="preserve"> savivaldybės funkcijoms vykdyti (4 priedas);</w:t>
      </w:r>
    </w:p>
    <w:p w:rsidR="00FA4DF9" w:rsidRPr="00ED5612" w:rsidRDefault="00FA4DF9" w:rsidP="00FA4DF9">
      <w:pPr>
        <w:ind w:firstLine="720"/>
        <w:jc w:val="both"/>
        <w:rPr>
          <w:sz w:val="24"/>
        </w:rPr>
      </w:pPr>
      <w:r w:rsidRPr="00ED5612">
        <w:rPr>
          <w:sz w:val="24"/>
        </w:rPr>
        <w:t>3.2. 2 115,0 tūkst. eurų - valstybinėms (perduotoms savivaldybėms) funkcijoms  vykdyti (5 priedas);</w:t>
      </w:r>
    </w:p>
    <w:p w:rsidR="00FA4DF9" w:rsidRPr="00ED5612" w:rsidRDefault="00FA4DF9" w:rsidP="00FA4DF9">
      <w:pPr>
        <w:ind w:firstLine="720"/>
        <w:jc w:val="both"/>
        <w:rPr>
          <w:sz w:val="24"/>
        </w:rPr>
      </w:pPr>
      <w:r w:rsidRPr="00ED5612">
        <w:rPr>
          <w:sz w:val="24"/>
        </w:rPr>
        <w:t>3.3.  7 732,1 tūkst. eurų - įstaigoms iš mokinio krepšelio finansuoti (6 priedas);</w:t>
      </w:r>
    </w:p>
    <w:p w:rsidR="00FA4DF9" w:rsidRPr="00ED5612" w:rsidRDefault="00FA4DF9" w:rsidP="00FA4DF9">
      <w:pPr>
        <w:ind w:firstLine="720"/>
        <w:jc w:val="both"/>
        <w:rPr>
          <w:sz w:val="24"/>
        </w:rPr>
      </w:pPr>
      <w:r w:rsidRPr="00ED5612">
        <w:rPr>
          <w:sz w:val="24"/>
        </w:rPr>
        <w:t>3.4.  7 315,0 tūkst. eurų - įstaigoms ir projektams iš kitų dotacijų finansuoti (7 priedas);</w:t>
      </w:r>
    </w:p>
    <w:p w:rsidR="00FA4DF9" w:rsidRPr="00ED5612" w:rsidRDefault="00FA4DF9" w:rsidP="00FA4DF9">
      <w:pPr>
        <w:ind w:firstLine="720"/>
        <w:jc w:val="both"/>
        <w:rPr>
          <w:sz w:val="24"/>
        </w:rPr>
      </w:pPr>
      <w:r w:rsidRPr="00ED5612">
        <w:rPr>
          <w:sz w:val="24"/>
        </w:rPr>
        <w:t>3.5. 888,8 tūkst. eurų - biudžetinių įstaigų gautų lėšų ir pajamų už nuomą (8 priedas);</w:t>
      </w:r>
    </w:p>
    <w:p w:rsidR="00FA4DF9" w:rsidRPr="00ED5612" w:rsidRDefault="00FA4DF9" w:rsidP="00FA4DF9">
      <w:pPr>
        <w:ind w:firstLine="720"/>
        <w:jc w:val="both"/>
        <w:rPr>
          <w:sz w:val="24"/>
        </w:rPr>
      </w:pPr>
      <w:r w:rsidRPr="00ED5612">
        <w:rPr>
          <w:sz w:val="24"/>
        </w:rPr>
        <w:t>3.6. 951,3 tūkst. eurų – 2017 metais nepanaudotų biudžeto lėšų 2018 m. sausio 1 d. esantiems įsiskolinimams padengti ir tikslinės paskirties programoms finansuoti (9 priedas);</w:t>
      </w:r>
    </w:p>
    <w:p w:rsidR="00FA4DF9" w:rsidRPr="00ED5612" w:rsidRDefault="00FA4DF9" w:rsidP="00FA4DF9">
      <w:pPr>
        <w:ind w:firstLine="720"/>
        <w:jc w:val="both"/>
        <w:rPr>
          <w:sz w:val="24"/>
        </w:rPr>
      </w:pPr>
      <w:r w:rsidRPr="00ED5612">
        <w:rPr>
          <w:sz w:val="24"/>
        </w:rPr>
        <w:t>3.7. biudžeto asignavimų panaudojimo pagal 2018-2020 metų strateginio veiklos plano programas (10 priedas).</w:t>
      </w:r>
    </w:p>
    <w:p w:rsidR="00FA4DF9" w:rsidRDefault="00FA4DF9" w:rsidP="00FA4DF9">
      <w:pPr>
        <w:jc w:val="both"/>
      </w:pPr>
    </w:p>
    <w:p w:rsidR="00FA4DF9" w:rsidRDefault="00FA4DF9" w:rsidP="00FA4DF9">
      <w:pPr>
        <w:jc w:val="both"/>
      </w:pPr>
    </w:p>
    <w:p w:rsidR="00FA4DF9" w:rsidRPr="00ED5612" w:rsidRDefault="00FA4DF9" w:rsidP="00FA4DF9">
      <w:pPr>
        <w:jc w:val="both"/>
        <w:rPr>
          <w:sz w:val="24"/>
        </w:rPr>
      </w:pPr>
      <w:r w:rsidRPr="00ED5612">
        <w:rPr>
          <w:sz w:val="24"/>
        </w:rPr>
        <w:t xml:space="preserve">Savivaldybės meras                                                                                                     </w:t>
      </w:r>
    </w:p>
    <w:p w:rsidR="00FA4DF9" w:rsidRPr="00ED5612" w:rsidRDefault="00FA4DF9" w:rsidP="00FA4DF9">
      <w:pPr>
        <w:jc w:val="both"/>
        <w:rPr>
          <w:sz w:val="24"/>
        </w:rPr>
      </w:pPr>
    </w:p>
    <w:p w:rsidR="00FA4DF9" w:rsidRPr="00ED5612" w:rsidRDefault="00FA4DF9" w:rsidP="00FA4DF9">
      <w:pPr>
        <w:jc w:val="both"/>
        <w:rPr>
          <w:sz w:val="24"/>
        </w:rPr>
      </w:pPr>
      <w:r w:rsidRPr="00ED5612">
        <w:rPr>
          <w:sz w:val="24"/>
        </w:rPr>
        <w:t>SUDERINTA:</w:t>
      </w:r>
    </w:p>
    <w:p w:rsidR="007E166F" w:rsidRDefault="007E166F" w:rsidP="00FA4DF9">
      <w:pPr>
        <w:jc w:val="both"/>
        <w:rPr>
          <w:sz w:val="24"/>
          <w:szCs w:val="24"/>
        </w:rPr>
      </w:pPr>
      <w:r>
        <w:rPr>
          <w:sz w:val="24"/>
          <w:szCs w:val="24"/>
        </w:rPr>
        <w:t>Administracijos direktorius M.Kaunas</w:t>
      </w:r>
    </w:p>
    <w:p w:rsidR="00FA4DF9" w:rsidRPr="00ED5612" w:rsidRDefault="00FA4DF9" w:rsidP="00FA4DF9">
      <w:pPr>
        <w:jc w:val="both"/>
        <w:rPr>
          <w:sz w:val="24"/>
          <w:szCs w:val="24"/>
        </w:rPr>
      </w:pPr>
      <w:r w:rsidRPr="00ED5612">
        <w:rPr>
          <w:sz w:val="24"/>
          <w:szCs w:val="24"/>
        </w:rPr>
        <w:t>Kalbos tvarkytojas A. Eidukaitis</w:t>
      </w:r>
    </w:p>
    <w:p w:rsidR="00FA4DF9" w:rsidRPr="00ED5612" w:rsidRDefault="00FA4DF9" w:rsidP="00FA4DF9">
      <w:pPr>
        <w:jc w:val="both"/>
        <w:rPr>
          <w:sz w:val="24"/>
          <w:szCs w:val="24"/>
        </w:rPr>
      </w:pPr>
      <w:r w:rsidRPr="00ED5612">
        <w:rPr>
          <w:sz w:val="24"/>
          <w:szCs w:val="24"/>
        </w:rPr>
        <w:t xml:space="preserve">Juridinio ir personalo administravimo skyriaus vedėjas V. Tumas </w:t>
      </w:r>
    </w:p>
    <w:p w:rsidR="00FA4DF9" w:rsidRPr="00ED5612" w:rsidRDefault="00FA4DF9" w:rsidP="00FA4DF9">
      <w:pPr>
        <w:jc w:val="both"/>
        <w:rPr>
          <w:sz w:val="24"/>
          <w:szCs w:val="24"/>
        </w:rPr>
      </w:pPr>
      <w:r w:rsidRPr="00390304">
        <w:rPr>
          <w:color w:val="000000"/>
          <w:sz w:val="24"/>
          <w:szCs w:val="24"/>
        </w:rPr>
        <w:fldChar w:fldCharType="begin">
          <w:ffData>
            <w:name w:val="Text8"/>
            <w:enabled/>
            <w:calcOnExit w:val="0"/>
            <w:textInput>
              <w:default w:val="Sprendimą rengė"/>
            </w:textInput>
          </w:ffData>
        </w:fldChar>
      </w:r>
      <w:r w:rsidRPr="00ED5612">
        <w:rPr>
          <w:color w:val="000000"/>
          <w:sz w:val="24"/>
          <w:szCs w:val="24"/>
        </w:rPr>
        <w:instrText xml:space="preserve"> FORMTEXT </w:instrText>
      </w:r>
      <w:r w:rsidRPr="00390304">
        <w:rPr>
          <w:color w:val="000000"/>
          <w:sz w:val="24"/>
          <w:szCs w:val="24"/>
        </w:rPr>
      </w:r>
      <w:r w:rsidRPr="00390304">
        <w:rPr>
          <w:color w:val="000000"/>
          <w:sz w:val="24"/>
          <w:szCs w:val="24"/>
        </w:rPr>
        <w:fldChar w:fldCharType="separate"/>
      </w:r>
      <w:r w:rsidRPr="00390304">
        <w:rPr>
          <w:noProof/>
          <w:color w:val="000000"/>
          <w:sz w:val="24"/>
          <w:szCs w:val="24"/>
        </w:rPr>
        <w:t>Sprendimą rengė</w:t>
      </w:r>
      <w:r w:rsidRPr="00390304">
        <w:rPr>
          <w:color w:val="000000"/>
          <w:sz w:val="24"/>
          <w:szCs w:val="24"/>
        </w:rPr>
        <w:fldChar w:fldCharType="end"/>
      </w:r>
      <w:r w:rsidRPr="009F7D43">
        <w:rPr>
          <w:color w:val="FF0000"/>
          <w:sz w:val="24"/>
          <w:szCs w:val="24"/>
        </w:rPr>
        <w:t xml:space="preserve">  </w:t>
      </w:r>
      <w:r w:rsidRPr="00390304">
        <w:rPr>
          <w:sz w:val="24"/>
          <w:szCs w:val="24"/>
        </w:rPr>
        <w:t>Finansų ir biudžeto skyriaus vedėjo pavaduotoja  M. Tamošauskie</w:t>
      </w:r>
      <w:r w:rsidRPr="00ED5612">
        <w:rPr>
          <w:sz w:val="24"/>
          <w:szCs w:val="24"/>
        </w:rPr>
        <w:t>nė</w:t>
      </w:r>
    </w:p>
    <w:p w:rsidR="00FA4DF9" w:rsidRDefault="00FA4DF9">
      <w:pPr>
        <w:rPr>
          <w:rStyle w:val="Komentaronuoroda"/>
          <w:b/>
          <w:sz w:val="24"/>
          <w:szCs w:val="24"/>
        </w:rPr>
      </w:pPr>
      <w:r>
        <w:rPr>
          <w:rStyle w:val="Komentaronuoroda"/>
          <w:b/>
          <w:sz w:val="24"/>
          <w:szCs w:val="24"/>
        </w:rPr>
        <w:br w:type="page"/>
      </w:r>
    </w:p>
    <w:p w:rsidR="00990536" w:rsidRPr="00ED5612" w:rsidRDefault="00990536" w:rsidP="00FA4DF9">
      <w:pPr>
        <w:jc w:val="center"/>
        <w:rPr>
          <w:rStyle w:val="Komentaronuoroda"/>
          <w:b/>
          <w:sz w:val="24"/>
          <w:szCs w:val="24"/>
        </w:rPr>
      </w:pPr>
      <w:r w:rsidRPr="00ED5612">
        <w:rPr>
          <w:rStyle w:val="Komentaronuoroda"/>
          <w:b/>
          <w:sz w:val="24"/>
          <w:szCs w:val="24"/>
        </w:rPr>
        <w:lastRenderedPageBreak/>
        <w:t>FINANSŲ IR BIUDŽETO SKYRIUS</w:t>
      </w:r>
    </w:p>
    <w:p w:rsidR="0062254A" w:rsidRPr="00ED5612" w:rsidRDefault="0062254A" w:rsidP="00FA4DF9">
      <w:pPr>
        <w:jc w:val="center"/>
        <w:rPr>
          <w:rStyle w:val="Komentaronuoroda"/>
          <w:b/>
          <w:sz w:val="24"/>
          <w:szCs w:val="24"/>
        </w:rPr>
      </w:pPr>
    </w:p>
    <w:p w:rsidR="00990536" w:rsidRPr="00ED5612" w:rsidRDefault="00990536" w:rsidP="00FA4DF9">
      <w:pPr>
        <w:jc w:val="center"/>
        <w:rPr>
          <w:rStyle w:val="Komentaronuoroda"/>
          <w:b/>
          <w:sz w:val="24"/>
          <w:szCs w:val="24"/>
        </w:rPr>
      </w:pPr>
      <w:r w:rsidRPr="00ED5612">
        <w:rPr>
          <w:rStyle w:val="Komentaronuoroda"/>
          <w:b/>
          <w:sz w:val="24"/>
          <w:szCs w:val="24"/>
        </w:rPr>
        <w:t xml:space="preserve">AIŠKINAMASIS RAŠTAS </w:t>
      </w:r>
    </w:p>
    <w:p w:rsidR="00990536" w:rsidRPr="00ED5612" w:rsidRDefault="00990536" w:rsidP="00FA4DF9">
      <w:pPr>
        <w:jc w:val="center"/>
        <w:rPr>
          <w:rStyle w:val="Komentaronuoroda"/>
          <w:b/>
          <w:sz w:val="24"/>
          <w:szCs w:val="24"/>
        </w:rPr>
      </w:pPr>
      <w:r w:rsidRPr="00ED5612">
        <w:rPr>
          <w:rStyle w:val="Komentaronuoroda"/>
          <w:b/>
          <w:sz w:val="24"/>
          <w:szCs w:val="24"/>
        </w:rPr>
        <w:t>PRIE PLUNGĖS RAJONO SAVIVALDYBĖS TARYBOS SPRENDIMO PROJEKTO</w:t>
      </w:r>
    </w:p>
    <w:p w:rsidR="00A54E0A" w:rsidRPr="00ED5612" w:rsidRDefault="00990536" w:rsidP="00FA4DF9">
      <w:pPr>
        <w:jc w:val="center"/>
        <w:rPr>
          <w:rStyle w:val="Komentaronuoroda"/>
          <w:b/>
          <w:sz w:val="24"/>
          <w:szCs w:val="24"/>
        </w:rPr>
      </w:pPr>
      <w:r w:rsidRPr="00ED5612">
        <w:rPr>
          <w:rStyle w:val="Komentaronuoroda"/>
          <w:b/>
          <w:sz w:val="24"/>
          <w:szCs w:val="24"/>
        </w:rPr>
        <w:t>„</w:t>
      </w:r>
      <w:r w:rsidR="00BD420E" w:rsidRPr="00ED5612">
        <w:rPr>
          <w:b/>
          <w:sz w:val="24"/>
          <w:szCs w:val="24"/>
        </w:rPr>
        <w:t xml:space="preserve">DĖL </w:t>
      </w:r>
      <w:r w:rsidR="00F71397" w:rsidRPr="00ED5612">
        <w:rPr>
          <w:b/>
          <w:sz w:val="24"/>
          <w:szCs w:val="24"/>
        </w:rPr>
        <w:t>PLUNGĖS RAJONO SAVIVALDYBĖS 2018</w:t>
      </w:r>
      <w:r w:rsidR="00BD420E" w:rsidRPr="00ED5612">
        <w:rPr>
          <w:b/>
          <w:sz w:val="24"/>
          <w:szCs w:val="24"/>
        </w:rPr>
        <w:t xml:space="preserve"> METŲ BIUDŽETO VYKDYMO ATASKAITŲ RINKINIO PATVIRTINIMO</w:t>
      </w:r>
      <w:r w:rsidRPr="00ED5612">
        <w:rPr>
          <w:rStyle w:val="Komentaronuoroda"/>
          <w:b/>
          <w:sz w:val="24"/>
          <w:szCs w:val="24"/>
        </w:rPr>
        <w:t>“</w:t>
      </w:r>
    </w:p>
    <w:p w:rsidR="00097EA4" w:rsidRDefault="00097EA4" w:rsidP="00FA4DF9">
      <w:pPr>
        <w:jc w:val="center"/>
        <w:rPr>
          <w:rStyle w:val="Komentaronuoroda"/>
          <w:sz w:val="24"/>
          <w:szCs w:val="24"/>
        </w:rPr>
      </w:pPr>
    </w:p>
    <w:p w:rsidR="00BD420E" w:rsidRPr="00ED5612" w:rsidRDefault="005C2170" w:rsidP="00FA4DF9">
      <w:pPr>
        <w:jc w:val="center"/>
        <w:rPr>
          <w:rStyle w:val="Komentaronuoroda"/>
          <w:sz w:val="24"/>
          <w:szCs w:val="24"/>
        </w:rPr>
      </w:pPr>
      <w:r w:rsidRPr="00ED5612">
        <w:rPr>
          <w:rStyle w:val="Komentaronuoroda"/>
          <w:sz w:val="24"/>
          <w:szCs w:val="24"/>
        </w:rPr>
        <w:t>2019</w:t>
      </w:r>
      <w:r w:rsidR="004364D6" w:rsidRPr="00ED5612">
        <w:rPr>
          <w:rStyle w:val="Komentaronuoroda"/>
          <w:sz w:val="24"/>
          <w:szCs w:val="24"/>
        </w:rPr>
        <w:t xml:space="preserve"> m. </w:t>
      </w:r>
      <w:r w:rsidR="00F71397" w:rsidRPr="00ED5612">
        <w:rPr>
          <w:rStyle w:val="Komentaronuoroda"/>
          <w:sz w:val="24"/>
          <w:szCs w:val="24"/>
        </w:rPr>
        <w:t xml:space="preserve">gegužės </w:t>
      </w:r>
      <w:r w:rsidR="00947B2D" w:rsidRPr="00ED5612">
        <w:rPr>
          <w:rStyle w:val="Komentaronuoroda"/>
          <w:sz w:val="24"/>
          <w:szCs w:val="24"/>
        </w:rPr>
        <w:t xml:space="preserve">15 </w:t>
      </w:r>
      <w:r w:rsidR="00BD420E" w:rsidRPr="00ED5612">
        <w:rPr>
          <w:rStyle w:val="Komentaronuoroda"/>
          <w:sz w:val="24"/>
          <w:szCs w:val="24"/>
        </w:rPr>
        <w:t>d.</w:t>
      </w:r>
    </w:p>
    <w:p w:rsidR="00BD420E" w:rsidRPr="00ED5612" w:rsidRDefault="00BD420E" w:rsidP="00FA4DF9">
      <w:pPr>
        <w:jc w:val="center"/>
        <w:rPr>
          <w:rStyle w:val="Komentaronuoroda"/>
          <w:sz w:val="24"/>
          <w:szCs w:val="24"/>
        </w:rPr>
      </w:pPr>
      <w:r w:rsidRPr="00ED5612">
        <w:rPr>
          <w:rStyle w:val="Komentaronuoroda"/>
          <w:sz w:val="24"/>
          <w:szCs w:val="24"/>
        </w:rPr>
        <w:t xml:space="preserve">Plungė </w:t>
      </w:r>
    </w:p>
    <w:p w:rsidR="005845A1" w:rsidRPr="00ED5612" w:rsidRDefault="005845A1" w:rsidP="00990536">
      <w:pPr>
        <w:ind w:firstLine="720"/>
        <w:jc w:val="center"/>
        <w:rPr>
          <w:rStyle w:val="Komentaronuoroda"/>
          <w:sz w:val="24"/>
          <w:szCs w:val="24"/>
        </w:rPr>
      </w:pPr>
    </w:p>
    <w:p w:rsidR="00793EEC" w:rsidRPr="00ED5612" w:rsidRDefault="00793EEC" w:rsidP="00FA4DF9">
      <w:pPr>
        <w:ind w:firstLine="720"/>
        <w:jc w:val="both"/>
        <w:rPr>
          <w:sz w:val="24"/>
          <w:szCs w:val="24"/>
        </w:rPr>
      </w:pPr>
      <w:r w:rsidRPr="00ED5612">
        <w:rPr>
          <w:sz w:val="24"/>
          <w:szCs w:val="24"/>
        </w:rPr>
        <w:t xml:space="preserve">Plungės rajono savivaldybės tarybos </w:t>
      </w:r>
      <w:r w:rsidR="00F71397" w:rsidRPr="00ED5612">
        <w:rPr>
          <w:sz w:val="24"/>
          <w:szCs w:val="24"/>
        </w:rPr>
        <w:t>2018</w:t>
      </w:r>
      <w:r w:rsidR="0080723E" w:rsidRPr="00ED5612">
        <w:rPr>
          <w:sz w:val="24"/>
          <w:szCs w:val="24"/>
        </w:rPr>
        <w:t xml:space="preserve"> m. vasario 15 d. </w:t>
      </w:r>
      <w:r w:rsidRPr="00ED5612">
        <w:rPr>
          <w:sz w:val="24"/>
          <w:szCs w:val="24"/>
        </w:rPr>
        <w:t xml:space="preserve">sprendimu </w:t>
      </w:r>
      <w:r w:rsidR="005C2170" w:rsidRPr="00ED5612">
        <w:rPr>
          <w:sz w:val="24"/>
          <w:szCs w:val="24"/>
        </w:rPr>
        <w:t>Nr. T1-3</w:t>
      </w:r>
      <w:r w:rsidR="0080723E" w:rsidRPr="00ED5612">
        <w:rPr>
          <w:sz w:val="24"/>
          <w:szCs w:val="24"/>
        </w:rPr>
        <w:t xml:space="preserve"> </w:t>
      </w:r>
      <w:r w:rsidRPr="00ED5612">
        <w:rPr>
          <w:sz w:val="24"/>
          <w:szCs w:val="24"/>
        </w:rPr>
        <w:t xml:space="preserve">patvirtintas Plungės rajono savivaldybės </w:t>
      </w:r>
      <w:r w:rsidR="005C2170" w:rsidRPr="00ED5612">
        <w:rPr>
          <w:sz w:val="24"/>
          <w:szCs w:val="24"/>
        </w:rPr>
        <w:t>2018</w:t>
      </w:r>
      <w:r w:rsidR="00BD420E" w:rsidRPr="00ED5612">
        <w:rPr>
          <w:sz w:val="24"/>
          <w:szCs w:val="24"/>
        </w:rPr>
        <w:t xml:space="preserve"> metų </w:t>
      </w:r>
      <w:r w:rsidRPr="00ED5612">
        <w:rPr>
          <w:sz w:val="24"/>
          <w:szCs w:val="24"/>
        </w:rPr>
        <w:t xml:space="preserve">biudžetas:  </w:t>
      </w:r>
      <w:r w:rsidR="00BD420E" w:rsidRPr="00ED5612">
        <w:rPr>
          <w:sz w:val="24"/>
          <w:szCs w:val="24"/>
        </w:rPr>
        <w:t xml:space="preserve"> </w:t>
      </w:r>
    </w:p>
    <w:p w:rsidR="005C2170" w:rsidRPr="00ED5612" w:rsidRDefault="005C2170" w:rsidP="00FA4DF9">
      <w:pPr>
        <w:numPr>
          <w:ilvl w:val="0"/>
          <w:numId w:val="21"/>
        </w:numPr>
        <w:ind w:left="0" w:firstLine="720"/>
        <w:jc w:val="both"/>
        <w:rPr>
          <w:sz w:val="24"/>
          <w:szCs w:val="24"/>
        </w:rPr>
      </w:pPr>
      <w:r w:rsidRPr="00ED5612">
        <w:rPr>
          <w:sz w:val="24"/>
          <w:szCs w:val="24"/>
        </w:rPr>
        <w:t>34 827,5 tūkst. eurų pajamų</w:t>
      </w:r>
      <w:r w:rsidR="00D65E66" w:rsidRPr="00ED5612">
        <w:rPr>
          <w:sz w:val="24"/>
          <w:szCs w:val="24"/>
        </w:rPr>
        <w:t xml:space="preserve">, </w:t>
      </w:r>
      <w:r w:rsidRPr="00ED5612">
        <w:rPr>
          <w:sz w:val="24"/>
          <w:szCs w:val="24"/>
        </w:rPr>
        <w:t xml:space="preserve">iš jų – 905,5 tūkst. eurų iš biudžetinių įstaigų pajamų už prekes, teikiamas paslaugas ir turto nuomą į Savivaldybės biudžetą; </w:t>
      </w:r>
    </w:p>
    <w:p w:rsidR="00793EEC" w:rsidRPr="00ED5612" w:rsidRDefault="00FA4DF9" w:rsidP="00FA4DF9">
      <w:pPr>
        <w:pStyle w:val="Sraopastraipa"/>
        <w:numPr>
          <w:ilvl w:val="0"/>
          <w:numId w:val="21"/>
        </w:numPr>
        <w:tabs>
          <w:tab w:val="left" w:pos="851"/>
          <w:tab w:val="left" w:pos="1134"/>
          <w:tab w:val="left" w:pos="1560"/>
        </w:tabs>
        <w:ind w:left="0" w:firstLine="720"/>
        <w:jc w:val="both"/>
        <w:rPr>
          <w:sz w:val="24"/>
          <w:szCs w:val="24"/>
        </w:rPr>
      </w:pPr>
      <w:r>
        <w:rPr>
          <w:sz w:val="24"/>
          <w:szCs w:val="24"/>
        </w:rPr>
        <w:t xml:space="preserve"> </w:t>
      </w:r>
      <w:r w:rsidR="00AA32CF" w:rsidRPr="00ED5612">
        <w:rPr>
          <w:sz w:val="24"/>
          <w:szCs w:val="24"/>
        </w:rPr>
        <w:t>Plun</w:t>
      </w:r>
      <w:r w:rsidR="00FB00E4" w:rsidRPr="00ED5612">
        <w:rPr>
          <w:sz w:val="24"/>
          <w:szCs w:val="24"/>
        </w:rPr>
        <w:t>g</w:t>
      </w:r>
      <w:r w:rsidR="00345E57" w:rsidRPr="00ED5612">
        <w:rPr>
          <w:sz w:val="24"/>
          <w:szCs w:val="24"/>
        </w:rPr>
        <w:t>ės rajono savivaldybės 2018</w:t>
      </w:r>
      <w:r w:rsidR="00793EEC" w:rsidRPr="00ED5612">
        <w:rPr>
          <w:sz w:val="24"/>
          <w:szCs w:val="24"/>
        </w:rPr>
        <w:t xml:space="preserve"> metų biudžeto asignavim</w:t>
      </w:r>
      <w:r w:rsidR="00345E57" w:rsidRPr="00ED5612">
        <w:rPr>
          <w:sz w:val="24"/>
          <w:szCs w:val="24"/>
        </w:rPr>
        <w:t xml:space="preserve">ų 36 867,1 tūkst. eurų; </w:t>
      </w:r>
    </w:p>
    <w:p w:rsidR="00D65E66" w:rsidRPr="00ED5612" w:rsidRDefault="00D65E66" w:rsidP="00FA4DF9">
      <w:pPr>
        <w:pStyle w:val="Sraopastraipa"/>
        <w:numPr>
          <w:ilvl w:val="0"/>
          <w:numId w:val="21"/>
        </w:numPr>
        <w:ind w:left="0" w:firstLine="720"/>
        <w:jc w:val="both"/>
        <w:rPr>
          <w:sz w:val="24"/>
          <w:szCs w:val="24"/>
        </w:rPr>
      </w:pPr>
      <w:r w:rsidRPr="00ED5612">
        <w:rPr>
          <w:sz w:val="24"/>
          <w:szCs w:val="24"/>
        </w:rPr>
        <w:t>Plungės rajono savivaldybės 2018 metų skolint</w:t>
      </w:r>
      <w:r w:rsidR="00321CB2" w:rsidRPr="00ED5612">
        <w:rPr>
          <w:sz w:val="24"/>
          <w:szCs w:val="24"/>
        </w:rPr>
        <w:t>ų</w:t>
      </w:r>
      <w:r w:rsidRPr="00ED5612">
        <w:rPr>
          <w:sz w:val="24"/>
          <w:szCs w:val="24"/>
        </w:rPr>
        <w:t xml:space="preserve"> lėš</w:t>
      </w:r>
      <w:r w:rsidR="00321CB2" w:rsidRPr="00ED5612">
        <w:rPr>
          <w:sz w:val="24"/>
          <w:szCs w:val="24"/>
        </w:rPr>
        <w:t>ų</w:t>
      </w:r>
      <w:r w:rsidRPr="00ED5612">
        <w:rPr>
          <w:sz w:val="24"/>
          <w:szCs w:val="24"/>
        </w:rPr>
        <w:t xml:space="preserve"> – 935,6 tūkst. eurų.</w:t>
      </w:r>
    </w:p>
    <w:p w:rsidR="005C2170" w:rsidRPr="00ED5612" w:rsidRDefault="00737791" w:rsidP="00FA4DF9">
      <w:pPr>
        <w:tabs>
          <w:tab w:val="left" w:pos="709"/>
          <w:tab w:val="left" w:pos="851"/>
          <w:tab w:val="left" w:pos="1134"/>
          <w:tab w:val="left" w:pos="1560"/>
        </w:tabs>
        <w:ind w:firstLine="720"/>
        <w:jc w:val="both"/>
        <w:rPr>
          <w:sz w:val="24"/>
          <w:szCs w:val="24"/>
        </w:rPr>
      </w:pPr>
      <w:r w:rsidRPr="00ED5612">
        <w:rPr>
          <w:sz w:val="24"/>
          <w:szCs w:val="24"/>
        </w:rPr>
        <w:t xml:space="preserve">Tuo pačiu sprendimu </w:t>
      </w:r>
      <w:r w:rsidR="00BD420E" w:rsidRPr="00ED5612">
        <w:rPr>
          <w:sz w:val="24"/>
          <w:szCs w:val="24"/>
        </w:rPr>
        <w:t>S</w:t>
      </w:r>
      <w:r w:rsidRPr="00ED5612">
        <w:rPr>
          <w:sz w:val="24"/>
          <w:szCs w:val="24"/>
        </w:rPr>
        <w:t>a</w:t>
      </w:r>
      <w:r w:rsidR="00345E57" w:rsidRPr="00ED5612">
        <w:rPr>
          <w:sz w:val="24"/>
          <w:szCs w:val="24"/>
        </w:rPr>
        <w:t>vivaldybės taryba nusprendė 2018</w:t>
      </w:r>
      <w:r w:rsidR="00D65E66" w:rsidRPr="00ED5612">
        <w:rPr>
          <w:sz w:val="24"/>
          <w:szCs w:val="24"/>
        </w:rPr>
        <w:t xml:space="preserve"> metais panaudoti  2</w:t>
      </w:r>
      <w:r w:rsidR="005C2170" w:rsidRPr="00ED5612">
        <w:rPr>
          <w:sz w:val="24"/>
          <w:szCs w:val="24"/>
        </w:rPr>
        <w:t>017 metais nepanaudotų biudžeto lėšų likutį – 1 039,6 tūkst. eurų</w:t>
      </w:r>
      <w:r w:rsidR="00321CB2" w:rsidRPr="00ED5612">
        <w:rPr>
          <w:sz w:val="24"/>
          <w:szCs w:val="24"/>
        </w:rPr>
        <w:t>.</w:t>
      </w:r>
    </w:p>
    <w:p w:rsidR="00D65E66" w:rsidRPr="00ED5612" w:rsidRDefault="00793EEC" w:rsidP="00FA4DF9">
      <w:pPr>
        <w:ind w:firstLine="720"/>
        <w:jc w:val="both"/>
        <w:rPr>
          <w:sz w:val="24"/>
          <w:szCs w:val="24"/>
          <w:lang w:eastAsia="lt-LT"/>
        </w:rPr>
      </w:pPr>
      <w:r w:rsidRPr="00ED5612">
        <w:rPr>
          <w:sz w:val="24"/>
          <w:szCs w:val="24"/>
        </w:rPr>
        <w:t>Per 201</w:t>
      </w:r>
      <w:r w:rsidR="00345E57" w:rsidRPr="00ED5612">
        <w:rPr>
          <w:sz w:val="24"/>
          <w:szCs w:val="24"/>
        </w:rPr>
        <w:t>8</w:t>
      </w:r>
      <w:r w:rsidRPr="00ED5612">
        <w:rPr>
          <w:sz w:val="24"/>
          <w:szCs w:val="24"/>
        </w:rPr>
        <w:t xml:space="preserve"> metus biudžeto apimtis dėl šakinių ministerijų vadovų įsakymų ir dėl Savivaldybės tarybos sprendimų  </w:t>
      </w:r>
      <w:r w:rsidRPr="00ED5612">
        <w:rPr>
          <w:sz w:val="24"/>
          <w:szCs w:val="24"/>
          <w:lang w:eastAsia="lt-LT"/>
        </w:rPr>
        <w:t xml:space="preserve">padidinta </w:t>
      </w:r>
      <w:r w:rsidR="00D65E66" w:rsidRPr="00ED5612">
        <w:rPr>
          <w:sz w:val="24"/>
          <w:szCs w:val="24"/>
          <w:lang w:eastAsia="lt-LT"/>
        </w:rPr>
        <w:t>3</w:t>
      </w:r>
      <w:r w:rsidR="00321CB2" w:rsidRPr="00ED5612">
        <w:rPr>
          <w:sz w:val="24"/>
          <w:szCs w:val="24"/>
          <w:lang w:eastAsia="lt-LT"/>
        </w:rPr>
        <w:t xml:space="preserve"> </w:t>
      </w:r>
      <w:r w:rsidR="00D65E66" w:rsidRPr="00ED5612">
        <w:rPr>
          <w:sz w:val="24"/>
          <w:szCs w:val="24"/>
          <w:lang w:eastAsia="lt-LT"/>
        </w:rPr>
        <w:t>473,7</w:t>
      </w:r>
      <w:r w:rsidRPr="00ED5612">
        <w:rPr>
          <w:sz w:val="24"/>
          <w:szCs w:val="24"/>
          <w:lang w:eastAsia="lt-LT"/>
        </w:rPr>
        <w:t xml:space="preserve"> </w:t>
      </w:r>
      <w:r w:rsidR="00737791" w:rsidRPr="00ED5612">
        <w:rPr>
          <w:sz w:val="24"/>
          <w:szCs w:val="24"/>
          <w:lang w:eastAsia="lt-LT"/>
        </w:rPr>
        <w:t>tūkst. eurų</w:t>
      </w:r>
      <w:r w:rsidR="00BD420E" w:rsidRPr="00ED5612">
        <w:rPr>
          <w:sz w:val="24"/>
          <w:szCs w:val="24"/>
          <w:lang w:eastAsia="lt-LT"/>
        </w:rPr>
        <w:t>;</w:t>
      </w:r>
      <w:r w:rsidRPr="00ED5612">
        <w:rPr>
          <w:sz w:val="24"/>
          <w:szCs w:val="24"/>
          <w:lang w:eastAsia="lt-LT"/>
        </w:rPr>
        <w:t xml:space="preserve"> iš jų</w:t>
      </w:r>
      <w:r w:rsidR="00BD420E" w:rsidRPr="00ED5612">
        <w:rPr>
          <w:sz w:val="24"/>
          <w:szCs w:val="24"/>
          <w:lang w:eastAsia="lt-LT"/>
        </w:rPr>
        <w:t xml:space="preserve"> </w:t>
      </w:r>
      <w:r w:rsidR="00D65E66" w:rsidRPr="00ED5612">
        <w:rPr>
          <w:sz w:val="24"/>
          <w:szCs w:val="24"/>
          <w:lang w:eastAsia="lt-LT"/>
        </w:rPr>
        <w:t>–</w:t>
      </w:r>
      <w:r w:rsidRPr="00ED5612">
        <w:rPr>
          <w:sz w:val="24"/>
          <w:szCs w:val="24"/>
          <w:lang w:eastAsia="lt-LT"/>
        </w:rPr>
        <w:t xml:space="preserve"> </w:t>
      </w:r>
      <w:r w:rsidR="00D65E66" w:rsidRPr="00ED5612">
        <w:rPr>
          <w:sz w:val="24"/>
          <w:szCs w:val="24"/>
          <w:lang w:eastAsia="lt-LT"/>
        </w:rPr>
        <w:t>3</w:t>
      </w:r>
      <w:r w:rsidR="00321CB2" w:rsidRPr="00ED5612">
        <w:rPr>
          <w:sz w:val="24"/>
          <w:szCs w:val="24"/>
          <w:lang w:eastAsia="lt-LT"/>
        </w:rPr>
        <w:t xml:space="preserve"> </w:t>
      </w:r>
      <w:r w:rsidR="00D65E66" w:rsidRPr="00ED5612">
        <w:rPr>
          <w:sz w:val="24"/>
          <w:szCs w:val="24"/>
          <w:lang w:eastAsia="lt-LT"/>
        </w:rPr>
        <w:t>273,8</w:t>
      </w:r>
      <w:r w:rsidR="00737791" w:rsidRPr="00ED5612">
        <w:rPr>
          <w:sz w:val="24"/>
          <w:szCs w:val="24"/>
          <w:lang w:eastAsia="lt-LT"/>
        </w:rPr>
        <w:t xml:space="preserve"> </w:t>
      </w:r>
      <w:r w:rsidR="00D65E66" w:rsidRPr="00ED5612">
        <w:rPr>
          <w:sz w:val="24"/>
          <w:szCs w:val="24"/>
          <w:lang w:eastAsia="lt-LT"/>
        </w:rPr>
        <w:t xml:space="preserve">tūkst. eurų gauta dotacijų. </w:t>
      </w:r>
    </w:p>
    <w:p w:rsidR="00793EEC" w:rsidRPr="00ED5612" w:rsidRDefault="00D65E66" w:rsidP="00FA4DF9">
      <w:pPr>
        <w:ind w:firstLine="720"/>
        <w:jc w:val="both"/>
        <w:rPr>
          <w:sz w:val="24"/>
          <w:szCs w:val="24"/>
        </w:rPr>
      </w:pPr>
      <w:r w:rsidRPr="00ED5612">
        <w:rPr>
          <w:sz w:val="24"/>
          <w:szCs w:val="24"/>
          <w:lang w:eastAsia="lt-LT"/>
        </w:rPr>
        <w:t>2018</w:t>
      </w:r>
      <w:r w:rsidR="00793EEC" w:rsidRPr="00ED5612">
        <w:rPr>
          <w:sz w:val="24"/>
          <w:szCs w:val="24"/>
          <w:lang w:eastAsia="lt-LT"/>
        </w:rPr>
        <w:t xml:space="preserve"> metų </w:t>
      </w:r>
      <w:r w:rsidR="00793EEC" w:rsidRPr="00ED5612">
        <w:rPr>
          <w:sz w:val="24"/>
          <w:szCs w:val="24"/>
        </w:rPr>
        <w:t xml:space="preserve">pabaigoje pajamų planas buvo </w:t>
      </w:r>
      <w:r w:rsidRPr="00ED5612">
        <w:rPr>
          <w:sz w:val="24"/>
          <w:szCs w:val="24"/>
        </w:rPr>
        <w:t>38 303,5</w:t>
      </w:r>
      <w:r w:rsidR="00737791" w:rsidRPr="00ED5612">
        <w:rPr>
          <w:sz w:val="24"/>
          <w:szCs w:val="24"/>
        </w:rPr>
        <w:t xml:space="preserve"> tūkst.</w:t>
      </w:r>
      <w:r w:rsidR="00793EEC" w:rsidRPr="00ED5612">
        <w:rPr>
          <w:sz w:val="24"/>
          <w:szCs w:val="24"/>
        </w:rPr>
        <w:t xml:space="preserve"> eurų, išlaidų -  </w:t>
      </w:r>
      <w:r w:rsidR="00EF36F5" w:rsidRPr="00ED5612">
        <w:rPr>
          <w:sz w:val="24"/>
          <w:szCs w:val="24"/>
        </w:rPr>
        <w:t>40 278,7</w:t>
      </w:r>
      <w:r w:rsidR="00737791" w:rsidRPr="00ED5612">
        <w:rPr>
          <w:sz w:val="24"/>
          <w:szCs w:val="24"/>
        </w:rPr>
        <w:t xml:space="preserve"> tūkst. eurų</w:t>
      </w:r>
      <w:r w:rsidR="00793EEC" w:rsidRPr="00ED5612">
        <w:rPr>
          <w:sz w:val="24"/>
          <w:szCs w:val="24"/>
        </w:rPr>
        <w:t xml:space="preserve">. </w:t>
      </w:r>
    </w:p>
    <w:p w:rsidR="00793EEC" w:rsidRPr="00ED5612" w:rsidRDefault="00FA4DF9" w:rsidP="00FA4DF9">
      <w:pPr>
        <w:ind w:firstLine="720"/>
        <w:jc w:val="both"/>
        <w:rPr>
          <w:sz w:val="24"/>
          <w:szCs w:val="24"/>
        </w:rPr>
      </w:pPr>
      <w:r>
        <w:rPr>
          <w:sz w:val="24"/>
          <w:szCs w:val="24"/>
        </w:rPr>
        <w:t>Pasiskolinta</w:t>
      </w:r>
      <w:r w:rsidR="003D157A" w:rsidRPr="00ED5612">
        <w:rPr>
          <w:sz w:val="24"/>
          <w:szCs w:val="24"/>
        </w:rPr>
        <w:t xml:space="preserve"> </w:t>
      </w:r>
      <w:r w:rsidR="00EF36F5" w:rsidRPr="00ED5612">
        <w:rPr>
          <w:sz w:val="24"/>
          <w:szCs w:val="24"/>
        </w:rPr>
        <w:t>925,8</w:t>
      </w:r>
      <w:r w:rsidR="00242069" w:rsidRPr="00ED5612">
        <w:rPr>
          <w:sz w:val="24"/>
          <w:szCs w:val="24"/>
        </w:rPr>
        <w:t xml:space="preserve"> </w:t>
      </w:r>
      <w:r w:rsidR="003D157A" w:rsidRPr="00ED5612">
        <w:rPr>
          <w:sz w:val="24"/>
          <w:szCs w:val="24"/>
        </w:rPr>
        <w:t>tūkst. eurų</w:t>
      </w:r>
      <w:r w:rsidR="007B4A4E" w:rsidRPr="00ED5612">
        <w:rPr>
          <w:sz w:val="24"/>
          <w:szCs w:val="24"/>
        </w:rPr>
        <w:t xml:space="preserve"> ilgalaikių paskolų</w:t>
      </w:r>
      <w:r w:rsidR="007F131D" w:rsidRPr="00ED5612">
        <w:rPr>
          <w:sz w:val="24"/>
          <w:szCs w:val="24"/>
        </w:rPr>
        <w:t>.</w:t>
      </w:r>
    </w:p>
    <w:p w:rsidR="00A92BB3" w:rsidRPr="00ED5612" w:rsidRDefault="00A92BB3" w:rsidP="00793EEC">
      <w:pPr>
        <w:jc w:val="both"/>
        <w:rPr>
          <w:sz w:val="24"/>
          <w:szCs w:val="24"/>
        </w:rPr>
      </w:pPr>
    </w:p>
    <w:p w:rsidR="008B08E0" w:rsidRDefault="008B08E0" w:rsidP="008B08E0">
      <w:pPr>
        <w:numPr>
          <w:ilvl w:val="1"/>
          <w:numId w:val="6"/>
        </w:numPr>
        <w:jc w:val="center"/>
        <w:rPr>
          <w:b/>
          <w:sz w:val="28"/>
          <w:szCs w:val="28"/>
        </w:rPr>
      </w:pPr>
      <w:r w:rsidRPr="00ED5612">
        <w:rPr>
          <w:b/>
          <w:sz w:val="28"/>
          <w:szCs w:val="28"/>
        </w:rPr>
        <w:t>Pajamų plano įvykdymas</w:t>
      </w:r>
    </w:p>
    <w:p w:rsidR="005845A1" w:rsidRPr="00ED5612" w:rsidRDefault="005845A1" w:rsidP="005845A1">
      <w:pPr>
        <w:ind w:left="420"/>
        <w:rPr>
          <w:b/>
          <w:sz w:val="28"/>
          <w:szCs w:val="28"/>
        </w:rPr>
      </w:pPr>
    </w:p>
    <w:p w:rsidR="00EE2CD3" w:rsidRPr="00ED5612" w:rsidRDefault="00EF36F5" w:rsidP="00FA4DF9">
      <w:pPr>
        <w:ind w:firstLine="720"/>
        <w:jc w:val="both"/>
        <w:rPr>
          <w:sz w:val="24"/>
          <w:szCs w:val="24"/>
          <w:lang w:eastAsia="lt-LT"/>
        </w:rPr>
      </w:pPr>
      <w:r w:rsidRPr="00ED5612">
        <w:rPr>
          <w:sz w:val="24"/>
          <w:szCs w:val="24"/>
          <w:lang w:eastAsia="lt-LT"/>
        </w:rPr>
        <w:t>Patikslintas 2018</w:t>
      </w:r>
      <w:r w:rsidR="008B08E0" w:rsidRPr="00ED5612">
        <w:rPr>
          <w:sz w:val="24"/>
          <w:szCs w:val="24"/>
          <w:lang w:eastAsia="lt-LT"/>
        </w:rPr>
        <w:t xml:space="preserve"> m. pajamų planas</w:t>
      </w:r>
      <w:r w:rsidR="00661064" w:rsidRPr="00ED5612">
        <w:rPr>
          <w:sz w:val="24"/>
          <w:szCs w:val="24"/>
          <w:lang w:eastAsia="lt-LT"/>
        </w:rPr>
        <w:t xml:space="preserve"> (38</w:t>
      </w:r>
      <w:r w:rsidR="00321CB2" w:rsidRPr="00ED5612">
        <w:rPr>
          <w:sz w:val="24"/>
          <w:szCs w:val="24"/>
          <w:lang w:eastAsia="lt-LT"/>
        </w:rPr>
        <w:t xml:space="preserve"> </w:t>
      </w:r>
      <w:r w:rsidR="00661064" w:rsidRPr="00ED5612">
        <w:rPr>
          <w:sz w:val="24"/>
          <w:szCs w:val="24"/>
          <w:lang w:eastAsia="lt-LT"/>
        </w:rPr>
        <w:t xml:space="preserve">303,5 tūkst. eurų) </w:t>
      </w:r>
      <w:r w:rsidR="008B08E0" w:rsidRPr="00ED5612">
        <w:rPr>
          <w:sz w:val="24"/>
          <w:szCs w:val="24"/>
          <w:lang w:eastAsia="lt-LT"/>
        </w:rPr>
        <w:t xml:space="preserve">įvykdytas </w:t>
      </w:r>
      <w:r w:rsidRPr="00ED5612">
        <w:rPr>
          <w:sz w:val="24"/>
          <w:szCs w:val="24"/>
          <w:lang w:eastAsia="lt-LT"/>
        </w:rPr>
        <w:t>99,1</w:t>
      </w:r>
      <w:r w:rsidR="008B08E0" w:rsidRPr="00ED5612">
        <w:rPr>
          <w:sz w:val="24"/>
          <w:szCs w:val="24"/>
          <w:lang w:eastAsia="lt-LT"/>
        </w:rPr>
        <w:t xml:space="preserve"> procento, arba </w:t>
      </w:r>
      <w:r w:rsidR="00242069" w:rsidRPr="00ED5612">
        <w:rPr>
          <w:sz w:val="24"/>
          <w:szCs w:val="24"/>
          <w:lang w:eastAsia="lt-LT"/>
        </w:rPr>
        <w:t>ne</w:t>
      </w:r>
      <w:r w:rsidR="008B08E0" w:rsidRPr="00ED5612">
        <w:rPr>
          <w:sz w:val="24"/>
          <w:szCs w:val="24"/>
          <w:lang w:eastAsia="lt-LT"/>
        </w:rPr>
        <w:t xml:space="preserve">gauta </w:t>
      </w:r>
      <w:r w:rsidRPr="00ED5612">
        <w:rPr>
          <w:sz w:val="24"/>
          <w:szCs w:val="24"/>
          <w:lang w:eastAsia="lt-LT"/>
        </w:rPr>
        <w:t>339,4</w:t>
      </w:r>
      <w:r w:rsidR="008B08E0" w:rsidRPr="00ED5612">
        <w:rPr>
          <w:sz w:val="24"/>
          <w:szCs w:val="24"/>
          <w:lang w:eastAsia="lt-LT"/>
        </w:rPr>
        <w:t xml:space="preserve"> tūkst. eurų  </w:t>
      </w:r>
      <w:r w:rsidR="00242069" w:rsidRPr="00ED5612">
        <w:rPr>
          <w:sz w:val="24"/>
          <w:szCs w:val="24"/>
          <w:lang w:eastAsia="lt-LT"/>
        </w:rPr>
        <w:t>planuotų</w:t>
      </w:r>
      <w:r w:rsidR="008B08E0" w:rsidRPr="00ED5612">
        <w:rPr>
          <w:sz w:val="24"/>
          <w:szCs w:val="24"/>
          <w:lang w:eastAsia="lt-LT"/>
        </w:rPr>
        <w:t xml:space="preserve"> pajamų. </w:t>
      </w:r>
    </w:p>
    <w:p w:rsidR="00EF36F5" w:rsidRDefault="00EF36F5" w:rsidP="00FA4DF9">
      <w:pPr>
        <w:ind w:firstLine="720"/>
        <w:jc w:val="both"/>
        <w:rPr>
          <w:sz w:val="24"/>
          <w:szCs w:val="24"/>
          <w:lang w:eastAsia="lt-LT"/>
        </w:rPr>
      </w:pPr>
      <w:r w:rsidRPr="00ED5612">
        <w:rPr>
          <w:sz w:val="24"/>
          <w:szCs w:val="24"/>
          <w:lang w:eastAsia="lt-LT"/>
        </w:rPr>
        <w:t>Plano neįvykdymą lėmė dotacijų plano neįvykdymas – neįvykdyta 832,2 tūkst. eurų: dalis ES lėšų vykdomų projektų darbų ir finansavimas perkeltas</w:t>
      </w:r>
      <w:r w:rsidR="00661064" w:rsidRPr="00ED5612">
        <w:rPr>
          <w:sz w:val="24"/>
          <w:szCs w:val="24"/>
          <w:lang w:eastAsia="lt-LT"/>
        </w:rPr>
        <w:t xml:space="preserve"> </w:t>
      </w:r>
      <w:r w:rsidRPr="00ED5612">
        <w:rPr>
          <w:sz w:val="24"/>
          <w:szCs w:val="24"/>
          <w:lang w:eastAsia="lt-LT"/>
        </w:rPr>
        <w:t>į 2019 metus.</w:t>
      </w:r>
    </w:p>
    <w:p w:rsidR="00BE6DD4" w:rsidRPr="009F7D43" w:rsidRDefault="005845A1" w:rsidP="00FA4DF9">
      <w:pPr>
        <w:ind w:firstLine="720"/>
        <w:rPr>
          <w:sz w:val="24"/>
          <w:szCs w:val="24"/>
        </w:rPr>
      </w:pPr>
      <w:r w:rsidRPr="005845A1">
        <w:rPr>
          <w:sz w:val="24"/>
          <w:szCs w:val="24"/>
          <w:lang w:eastAsia="lt-LT"/>
        </w:rPr>
        <w:t>2018 metais surinktų pajamų, mokesčių ir gautų dotacijų struktūra procentais pavaizduota 1 paveiksle.</w:t>
      </w:r>
      <w:r w:rsidR="00EF36F5" w:rsidRPr="00ED5612">
        <w:rPr>
          <w:sz w:val="24"/>
          <w:szCs w:val="24"/>
          <w:lang w:eastAsia="lt-LT"/>
        </w:rPr>
        <w:t xml:space="preserve">           </w:t>
      </w:r>
      <w:r w:rsidR="00EE2CD3" w:rsidRPr="00ED5612">
        <w:rPr>
          <w:sz w:val="24"/>
          <w:szCs w:val="24"/>
          <w:lang w:eastAsia="lt-LT"/>
        </w:rPr>
        <w:t xml:space="preserve"> </w:t>
      </w:r>
      <w:r w:rsidR="00BE6DD4" w:rsidRPr="00ED5612">
        <w:rPr>
          <w:sz w:val="24"/>
          <w:szCs w:val="24"/>
        </w:rPr>
        <w:t xml:space="preserve">            </w:t>
      </w:r>
      <w:r w:rsidR="00494F60" w:rsidRPr="009F7D43">
        <w:rPr>
          <w:noProof/>
          <w:lang w:eastAsia="lt-LT"/>
        </w:rPr>
        <w:drawing>
          <wp:inline distT="0" distB="0" distL="0" distR="0" wp14:anchorId="46BD22D3" wp14:editId="60EDD856">
            <wp:extent cx="5424985" cy="3138985"/>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08E0" w:rsidRPr="00063534" w:rsidRDefault="008B08E0" w:rsidP="00621FF7">
      <w:pPr>
        <w:jc w:val="center"/>
        <w:rPr>
          <w:b/>
          <w:sz w:val="24"/>
          <w:szCs w:val="24"/>
        </w:rPr>
      </w:pPr>
      <w:r w:rsidRPr="00063534">
        <w:rPr>
          <w:b/>
          <w:sz w:val="24"/>
          <w:szCs w:val="24"/>
        </w:rPr>
        <w:t>1 pav.  Plungės ra</w:t>
      </w:r>
      <w:r w:rsidR="00494F60" w:rsidRPr="00063534">
        <w:rPr>
          <w:b/>
          <w:sz w:val="24"/>
          <w:szCs w:val="24"/>
        </w:rPr>
        <w:t>jono savivaldybės 2018</w:t>
      </w:r>
      <w:r w:rsidRPr="00063534">
        <w:rPr>
          <w:b/>
          <w:sz w:val="24"/>
          <w:szCs w:val="24"/>
        </w:rPr>
        <w:t xml:space="preserve"> metų biudžeto pajamų struktūra</w:t>
      </w:r>
    </w:p>
    <w:p w:rsidR="00EE2CD3" w:rsidRPr="00ED5612" w:rsidRDefault="00EE2CD3" w:rsidP="00621FF7">
      <w:pPr>
        <w:ind w:firstLine="720"/>
        <w:jc w:val="center"/>
        <w:rPr>
          <w:sz w:val="24"/>
          <w:szCs w:val="24"/>
        </w:rPr>
      </w:pPr>
    </w:p>
    <w:p w:rsidR="008B08E0" w:rsidRPr="00ED5612" w:rsidRDefault="00E95333" w:rsidP="00FA4DF9">
      <w:pPr>
        <w:ind w:firstLine="720"/>
        <w:jc w:val="both"/>
        <w:rPr>
          <w:sz w:val="24"/>
          <w:szCs w:val="24"/>
        </w:rPr>
      </w:pPr>
      <w:r w:rsidRPr="00ED5612">
        <w:rPr>
          <w:sz w:val="24"/>
          <w:szCs w:val="24"/>
        </w:rPr>
        <w:lastRenderedPageBreak/>
        <w:t>D</w:t>
      </w:r>
      <w:r w:rsidR="008B08E0" w:rsidRPr="00ED5612">
        <w:rPr>
          <w:sz w:val="24"/>
          <w:szCs w:val="24"/>
        </w:rPr>
        <w:t>otacijų dalis Sa</w:t>
      </w:r>
      <w:r w:rsidR="00621FF7" w:rsidRPr="00ED5612">
        <w:rPr>
          <w:sz w:val="24"/>
          <w:szCs w:val="24"/>
        </w:rPr>
        <w:t xml:space="preserve">vivaldybės gautose pajamose </w:t>
      </w:r>
      <w:r w:rsidR="00C1041E" w:rsidRPr="00ED5612">
        <w:rPr>
          <w:sz w:val="24"/>
          <w:szCs w:val="24"/>
        </w:rPr>
        <w:t>2015 metais</w:t>
      </w:r>
      <w:r w:rsidR="005B2F39" w:rsidRPr="00ED5612">
        <w:rPr>
          <w:sz w:val="24"/>
          <w:szCs w:val="24"/>
        </w:rPr>
        <w:t xml:space="preserve"> </w:t>
      </w:r>
      <w:r w:rsidR="00621FF7" w:rsidRPr="00ED5612">
        <w:rPr>
          <w:sz w:val="24"/>
          <w:szCs w:val="24"/>
        </w:rPr>
        <w:t>–</w:t>
      </w:r>
      <w:r w:rsidR="008B08E0" w:rsidRPr="00ED5612">
        <w:rPr>
          <w:sz w:val="24"/>
          <w:szCs w:val="24"/>
        </w:rPr>
        <w:t xml:space="preserve"> </w:t>
      </w:r>
      <w:r w:rsidR="00C1041E" w:rsidRPr="00ED5612">
        <w:rPr>
          <w:sz w:val="24"/>
          <w:szCs w:val="24"/>
        </w:rPr>
        <w:t>46,7</w:t>
      </w:r>
      <w:r w:rsidR="008B08E0" w:rsidRPr="00ED5612">
        <w:rPr>
          <w:sz w:val="24"/>
          <w:szCs w:val="24"/>
        </w:rPr>
        <w:t xml:space="preserve"> procento</w:t>
      </w:r>
      <w:r w:rsidR="00621FF7" w:rsidRPr="00ED5612">
        <w:rPr>
          <w:sz w:val="24"/>
          <w:szCs w:val="24"/>
        </w:rPr>
        <w:t xml:space="preserve"> biudžeto pajamų, 2016</w:t>
      </w:r>
      <w:r w:rsidR="008B08E0" w:rsidRPr="00ED5612">
        <w:rPr>
          <w:sz w:val="24"/>
          <w:szCs w:val="24"/>
        </w:rPr>
        <w:t xml:space="preserve"> meta</w:t>
      </w:r>
      <w:r w:rsidR="00171A48" w:rsidRPr="00ED5612">
        <w:rPr>
          <w:sz w:val="24"/>
          <w:szCs w:val="24"/>
        </w:rPr>
        <w:t xml:space="preserve">is – </w:t>
      </w:r>
      <w:r w:rsidR="00621FF7" w:rsidRPr="00ED5612">
        <w:rPr>
          <w:sz w:val="24"/>
          <w:szCs w:val="24"/>
        </w:rPr>
        <w:t>45,5</w:t>
      </w:r>
      <w:r w:rsidR="00086DBB" w:rsidRPr="00ED5612">
        <w:rPr>
          <w:sz w:val="24"/>
          <w:szCs w:val="24"/>
        </w:rPr>
        <w:t xml:space="preserve"> procento, </w:t>
      </w:r>
      <w:r w:rsidR="00621FF7" w:rsidRPr="00ED5612">
        <w:rPr>
          <w:sz w:val="24"/>
          <w:szCs w:val="24"/>
        </w:rPr>
        <w:t>2017</w:t>
      </w:r>
      <w:r w:rsidR="00171A48" w:rsidRPr="00ED5612">
        <w:rPr>
          <w:sz w:val="24"/>
          <w:szCs w:val="24"/>
        </w:rPr>
        <w:t xml:space="preserve"> metais </w:t>
      </w:r>
      <w:r w:rsidR="00BE6DD4" w:rsidRPr="00ED5612">
        <w:rPr>
          <w:sz w:val="24"/>
          <w:szCs w:val="24"/>
        </w:rPr>
        <w:t>- 45,6</w:t>
      </w:r>
      <w:r w:rsidR="00C1041E" w:rsidRPr="00ED5612">
        <w:rPr>
          <w:sz w:val="24"/>
          <w:szCs w:val="24"/>
        </w:rPr>
        <w:t xml:space="preserve"> procento, 2018 metais </w:t>
      </w:r>
      <w:r w:rsidR="005B2F39" w:rsidRPr="00ED5612">
        <w:rPr>
          <w:sz w:val="24"/>
          <w:szCs w:val="24"/>
        </w:rPr>
        <w:t>–</w:t>
      </w:r>
      <w:r w:rsidR="00C1041E" w:rsidRPr="00ED5612">
        <w:rPr>
          <w:sz w:val="24"/>
          <w:szCs w:val="24"/>
        </w:rPr>
        <w:t xml:space="preserve"> </w:t>
      </w:r>
      <w:r w:rsidR="005B2F39" w:rsidRPr="00ED5612">
        <w:rPr>
          <w:sz w:val="24"/>
          <w:szCs w:val="24"/>
        </w:rPr>
        <w:t>46,2 procento.</w:t>
      </w:r>
    </w:p>
    <w:p w:rsidR="008B08E0" w:rsidRPr="00ED5612" w:rsidRDefault="008B08E0" w:rsidP="00FA4DF9">
      <w:pPr>
        <w:ind w:firstLine="720"/>
        <w:jc w:val="both"/>
        <w:rPr>
          <w:sz w:val="24"/>
          <w:szCs w:val="24"/>
        </w:rPr>
      </w:pPr>
      <w:r w:rsidRPr="00ED5612">
        <w:rPr>
          <w:sz w:val="24"/>
          <w:szCs w:val="24"/>
        </w:rPr>
        <w:t>2 paveiksle parodyta, kaip keitės</w:t>
      </w:r>
      <w:r w:rsidR="005B2F39" w:rsidRPr="00ED5612">
        <w:rPr>
          <w:sz w:val="24"/>
          <w:szCs w:val="24"/>
        </w:rPr>
        <w:t>i biudžeto pajamų struktūra 2015-2018</w:t>
      </w:r>
      <w:r w:rsidRPr="00ED5612">
        <w:rPr>
          <w:sz w:val="24"/>
          <w:szCs w:val="24"/>
        </w:rPr>
        <w:t xml:space="preserve"> metais.</w:t>
      </w:r>
    </w:p>
    <w:p w:rsidR="00E7495D" w:rsidRPr="00ED5612" w:rsidRDefault="00E7495D" w:rsidP="008B08E0">
      <w:pPr>
        <w:ind w:firstLine="720"/>
        <w:jc w:val="both"/>
        <w:rPr>
          <w:sz w:val="24"/>
          <w:szCs w:val="24"/>
        </w:rPr>
      </w:pPr>
    </w:p>
    <w:p w:rsidR="00063534" w:rsidRDefault="003A46AC" w:rsidP="00E95333">
      <w:pPr>
        <w:ind w:firstLine="720"/>
        <w:jc w:val="center"/>
        <w:rPr>
          <w:b/>
          <w:sz w:val="24"/>
          <w:szCs w:val="24"/>
        </w:rPr>
      </w:pPr>
      <w:r w:rsidRPr="009F7D43">
        <w:rPr>
          <w:noProof/>
          <w:sz w:val="24"/>
          <w:szCs w:val="24"/>
          <w:lang w:eastAsia="lt-LT"/>
        </w:rPr>
        <w:drawing>
          <wp:inline distT="0" distB="0" distL="0" distR="0" wp14:anchorId="6371565B" wp14:editId="0E0AC132">
            <wp:extent cx="5588635" cy="352806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3534" w:rsidRDefault="00063534" w:rsidP="00E95333">
      <w:pPr>
        <w:ind w:firstLine="720"/>
        <w:jc w:val="center"/>
        <w:rPr>
          <w:b/>
          <w:sz w:val="24"/>
          <w:szCs w:val="24"/>
        </w:rPr>
      </w:pPr>
    </w:p>
    <w:p w:rsidR="008B08E0" w:rsidRPr="00ED5612" w:rsidRDefault="008B08E0" w:rsidP="00E95333">
      <w:pPr>
        <w:ind w:firstLine="720"/>
        <w:jc w:val="center"/>
        <w:rPr>
          <w:sz w:val="24"/>
          <w:szCs w:val="24"/>
        </w:rPr>
      </w:pPr>
      <w:r w:rsidRPr="00063534">
        <w:rPr>
          <w:b/>
          <w:sz w:val="24"/>
          <w:szCs w:val="24"/>
        </w:rPr>
        <w:t>2 pav. Biudžeto pajamų struktūra 201</w:t>
      </w:r>
      <w:r w:rsidR="005B2F39" w:rsidRPr="00063534">
        <w:rPr>
          <w:b/>
          <w:sz w:val="24"/>
          <w:szCs w:val="24"/>
        </w:rPr>
        <w:t>5–2018</w:t>
      </w:r>
      <w:r w:rsidR="00171A48" w:rsidRPr="00063534">
        <w:rPr>
          <w:b/>
          <w:sz w:val="24"/>
          <w:szCs w:val="24"/>
        </w:rPr>
        <w:t xml:space="preserve"> </w:t>
      </w:r>
      <w:r w:rsidRPr="00063534">
        <w:rPr>
          <w:b/>
          <w:sz w:val="24"/>
          <w:szCs w:val="24"/>
        </w:rPr>
        <w:t>m., mln. eurų</w:t>
      </w:r>
    </w:p>
    <w:p w:rsidR="005845A1" w:rsidRDefault="00E95333" w:rsidP="00636FE0">
      <w:pPr>
        <w:ind w:firstLine="420"/>
        <w:jc w:val="both"/>
        <w:rPr>
          <w:sz w:val="24"/>
          <w:szCs w:val="24"/>
        </w:rPr>
      </w:pPr>
      <w:r w:rsidRPr="00ED5612">
        <w:rPr>
          <w:sz w:val="24"/>
          <w:szCs w:val="24"/>
        </w:rPr>
        <w:t xml:space="preserve">     </w:t>
      </w:r>
    </w:p>
    <w:p w:rsidR="00A92BB3" w:rsidRPr="00ED5612" w:rsidRDefault="00BC3B8D" w:rsidP="00FA4DF9">
      <w:pPr>
        <w:ind w:firstLine="720"/>
        <w:jc w:val="both"/>
        <w:rPr>
          <w:sz w:val="24"/>
          <w:szCs w:val="24"/>
        </w:rPr>
      </w:pPr>
      <w:r w:rsidRPr="00ED5612">
        <w:rPr>
          <w:sz w:val="24"/>
          <w:szCs w:val="24"/>
        </w:rPr>
        <w:t>2 paveiksle mat</w:t>
      </w:r>
      <w:r w:rsidR="00FA4DF9">
        <w:rPr>
          <w:sz w:val="24"/>
          <w:szCs w:val="24"/>
        </w:rPr>
        <w:t>yti,</w:t>
      </w:r>
      <w:r w:rsidRPr="00ED5612">
        <w:rPr>
          <w:sz w:val="24"/>
          <w:szCs w:val="24"/>
        </w:rPr>
        <w:t xml:space="preserve"> kad per pastaruosius ketverius metus Savivaldybės biudžeto pajamų dalyje didėjo gyventojų pajamų mokestis</w:t>
      </w:r>
      <w:r w:rsidR="005B2F39" w:rsidRPr="00ED5612">
        <w:rPr>
          <w:sz w:val="24"/>
          <w:szCs w:val="24"/>
        </w:rPr>
        <w:t>, o 2018 metais ž</w:t>
      </w:r>
      <w:r w:rsidR="00321CB2" w:rsidRPr="00ED5612">
        <w:rPr>
          <w:sz w:val="24"/>
          <w:szCs w:val="24"/>
        </w:rPr>
        <w:t>ymiai</w:t>
      </w:r>
      <w:r w:rsidR="005B2F39" w:rsidRPr="00ED5612">
        <w:rPr>
          <w:sz w:val="24"/>
          <w:szCs w:val="24"/>
        </w:rPr>
        <w:t xml:space="preserve"> padidėjo ir dotacijos.</w:t>
      </w:r>
    </w:p>
    <w:p w:rsidR="00A92BB3" w:rsidRPr="00390304" w:rsidRDefault="00307625" w:rsidP="00FA4DF9">
      <w:pPr>
        <w:ind w:firstLine="720"/>
        <w:jc w:val="both"/>
        <w:rPr>
          <w:sz w:val="24"/>
          <w:szCs w:val="24"/>
        </w:rPr>
      </w:pPr>
      <w:r w:rsidRPr="009F7D43">
        <w:rPr>
          <w:sz w:val="24"/>
          <w:szCs w:val="24"/>
        </w:rPr>
        <w:t xml:space="preserve">Nuo </w:t>
      </w:r>
      <w:r w:rsidR="00A92BB3" w:rsidRPr="00ED5612">
        <w:rPr>
          <w:sz w:val="24"/>
          <w:szCs w:val="24"/>
        </w:rPr>
        <w:t>2017</w:t>
      </w:r>
      <w:r w:rsidRPr="009F7D43">
        <w:rPr>
          <w:sz w:val="24"/>
          <w:szCs w:val="24"/>
        </w:rPr>
        <w:t xml:space="preserve"> metų</w:t>
      </w:r>
      <w:r w:rsidRPr="00ED5612">
        <w:rPr>
          <w:sz w:val="24"/>
          <w:szCs w:val="24"/>
        </w:rPr>
        <w:t xml:space="preserve"> </w:t>
      </w:r>
      <w:r w:rsidR="0075733E" w:rsidRPr="00ED5612">
        <w:rPr>
          <w:sz w:val="24"/>
          <w:szCs w:val="24"/>
        </w:rPr>
        <w:t>S</w:t>
      </w:r>
      <w:r w:rsidR="00A92BB3" w:rsidRPr="00ED5612">
        <w:rPr>
          <w:sz w:val="24"/>
          <w:szCs w:val="24"/>
        </w:rPr>
        <w:t xml:space="preserve">avivaldybės biudžete apskaitomos Europos </w:t>
      </w:r>
      <w:r w:rsidR="008D59CB" w:rsidRPr="00ED5612">
        <w:rPr>
          <w:sz w:val="24"/>
          <w:szCs w:val="24"/>
        </w:rPr>
        <w:t>Sąjungos</w:t>
      </w:r>
      <w:r w:rsidRPr="00ED5612">
        <w:rPr>
          <w:sz w:val="24"/>
          <w:szCs w:val="24"/>
        </w:rPr>
        <w:t xml:space="preserve"> finansinės paramos lėšos</w:t>
      </w:r>
      <w:r w:rsidR="002C0D14" w:rsidRPr="00ED5612">
        <w:rPr>
          <w:sz w:val="24"/>
          <w:szCs w:val="24"/>
        </w:rPr>
        <w:t xml:space="preserve">. </w:t>
      </w:r>
      <w:r w:rsidRPr="00ED5612">
        <w:rPr>
          <w:sz w:val="24"/>
          <w:szCs w:val="24"/>
        </w:rPr>
        <w:t>2018 metais</w:t>
      </w:r>
      <w:r w:rsidR="002C0D14" w:rsidRPr="00ED5612">
        <w:rPr>
          <w:sz w:val="24"/>
          <w:szCs w:val="24"/>
        </w:rPr>
        <w:t xml:space="preserve"> ES lėšų buvo</w:t>
      </w:r>
      <w:r w:rsidRPr="00ED5612">
        <w:rPr>
          <w:sz w:val="24"/>
          <w:szCs w:val="24"/>
        </w:rPr>
        <w:t xml:space="preserve"> planuoja</w:t>
      </w:r>
      <w:r w:rsidR="00C7450D" w:rsidRPr="00ED5612">
        <w:rPr>
          <w:sz w:val="24"/>
          <w:szCs w:val="24"/>
        </w:rPr>
        <w:t>ma apie 3,7</w:t>
      </w:r>
      <w:r w:rsidRPr="00ED5612">
        <w:rPr>
          <w:sz w:val="24"/>
          <w:szCs w:val="24"/>
        </w:rPr>
        <w:t xml:space="preserve"> mln. </w:t>
      </w:r>
      <w:r w:rsidR="00321CB2" w:rsidRPr="00ED5612">
        <w:rPr>
          <w:sz w:val="24"/>
          <w:szCs w:val="24"/>
        </w:rPr>
        <w:t>e</w:t>
      </w:r>
      <w:r w:rsidRPr="00ED5612">
        <w:rPr>
          <w:sz w:val="24"/>
          <w:szCs w:val="24"/>
        </w:rPr>
        <w:t xml:space="preserve">urų, </w:t>
      </w:r>
      <w:r w:rsidR="00B9340D" w:rsidRPr="00ED5612">
        <w:rPr>
          <w:sz w:val="24"/>
          <w:szCs w:val="24"/>
        </w:rPr>
        <w:t xml:space="preserve">planas įvykdytas </w:t>
      </w:r>
      <w:r w:rsidRPr="00ED5612">
        <w:rPr>
          <w:sz w:val="24"/>
          <w:szCs w:val="24"/>
        </w:rPr>
        <w:t>3</w:t>
      </w:r>
      <w:r w:rsidR="00C7450D" w:rsidRPr="00ED5612">
        <w:rPr>
          <w:sz w:val="24"/>
          <w:szCs w:val="24"/>
        </w:rPr>
        <w:t>,2</w:t>
      </w:r>
      <w:r w:rsidRPr="00ED5612">
        <w:rPr>
          <w:sz w:val="24"/>
          <w:szCs w:val="24"/>
        </w:rPr>
        <w:t xml:space="preserve"> mln. </w:t>
      </w:r>
      <w:r w:rsidR="00321CB2" w:rsidRPr="00ED5612">
        <w:rPr>
          <w:sz w:val="24"/>
          <w:szCs w:val="24"/>
        </w:rPr>
        <w:t>e</w:t>
      </w:r>
      <w:r w:rsidRPr="00ED5612">
        <w:rPr>
          <w:sz w:val="24"/>
          <w:szCs w:val="24"/>
        </w:rPr>
        <w:t xml:space="preserve">urų. </w:t>
      </w:r>
      <w:r w:rsidR="00C7450D" w:rsidRPr="00ED5612">
        <w:rPr>
          <w:sz w:val="24"/>
          <w:szCs w:val="24"/>
        </w:rPr>
        <w:t xml:space="preserve">2017 metais buvo planuojama apie 0,8 mln. </w:t>
      </w:r>
      <w:r w:rsidR="00321CB2" w:rsidRPr="00ED5612">
        <w:rPr>
          <w:sz w:val="24"/>
          <w:szCs w:val="24"/>
        </w:rPr>
        <w:t>e</w:t>
      </w:r>
      <w:r w:rsidR="00C7450D" w:rsidRPr="00ED5612">
        <w:rPr>
          <w:sz w:val="24"/>
          <w:szCs w:val="24"/>
        </w:rPr>
        <w:t xml:space="preserve">urų, planas įvykdytas  </w:t>
      </w:r>
      <w:r w:rsidR="006F2356" w:rsidRPr="00ED5612">
        <w:rPr>
          <w:sz w:val="24"/>
          <w:szCs w:val="24"/>
        </w:rPr>
        <w:t>0,3</w:t>
      </w:r>
      <w:r w:rsidR="00C7450D" w:rsidRPr="00ED5612">
        <w:rPr>
          <w:sz w:val="24"/>
          <w:szCs w:val="24"/>
        </w:rPr>
        <w:t xml:space="preserve"> mln. </w:t>
      </w:r>
      <w:r w:rsidR="00321CB2" w:rsidRPr="00ED5612">
        <w:rPr>
          <w:sz w:val="24"/>
          <w:szCs w:val="24"/>
        </w:rPr>
        <w:t>e</w:t>
      </w:r>
      <w:r w:rsidR="00C7450D" w:rsidRPr="00ED5612">
        <w:rPr>
          <w:sz w:val="24"/>
          <w:szCs w:val="24"/>
        </w:rPr>
        <w:t>urų.</w:t>
      </w:r>
      <w:r w:rsidR="006F2356" w:rsidRPr="009F7D43">
        <w:rPr>
          <w:sz w:val="24"/>
          <w:szCs w:val="24"/>
        </w:rPr>
        <w:t xml:space="preserve"> </w:t>
      </w:r>
    </w:p>
    <w:p w:rsidR="000369E4" w:rsidRPr="00063534" w:rsidRDefault="003A46AC" w:rsidP="00E7495D">
      <w:pPr>
        <w:ind w:firstLine="420"/>
        <w:jc w:val="center"/>
        <w:rPr>
          <w:b/>
          <w:color w:val="000000"/>
          <w:sz w:val="24"/>
          <w:szCs w:val="24"/>
          <w:shd w:val="clear" w:color="auto" w:fill="FFFFFF"/>
        </w:rPr>
      </w:pPr>
      <w:r w:rsidRPr="009F7D43">
        <w:rPr>
          <w:noProof/>
          <w:lang w:eastAsia="lt-LT"/>
        </w:rPr>
        <w:drawing>
          <wp:inline distT="0" distB="0" distL="0" distR="0" wp14:anchorId="07D090AA" wp14:editId="674A834D">
            <wp:extent cx="5956935" cy="2736215"/>
            <wp:effectExtent l="0" t="0" r="5715"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C3B8D" w:rsidRPr="00063534">
        <w:rPr>
          <w:b/>
          <w:sz w:val="24"/>
          <w:szCs w:val="24"/>
        </w:rPr>
        <w:t>3 pa</w:t>
      </w:r>
      <w:r w:rsidR="00AE32D8" w:rsidRPr="00063534">
        <w:rPr>
          <w:b/>
          <w:sz w:val="24"/>
          <w:szCs w:val="24"/>
        </w:rPr>
        <w:t>v. Biudžeto pajamų dinamika 2015</w:t>
      </w:r>
      <w:r w:rsidR="00BC3B8D" w:rsidRPr="00063534">
        <w:rPr>
          <w:b/>
          <w:sz w:val="24"/>
          <w:szCs w:val="24"/>
        </w:rPr>
        <w:t>–201</w:t>
      </w:r>
      <w:r w:rsidR="00AE32D8" w:rsidRPr="00063534">
        <w:rPr>
          <w:b/>
          <w:sz w:val="24"/>
          <w:szCs w:val="24"/>
        </w:rPr>
        <w:t>8</w:t>
      </w:r>
      <w:r w:rsidR="00BC3B8D" w:rsidRPr="00063534">
        <w:rPr>
          <w:b/>
          <w:sz w:val="24"/>
          <w:szCs w:val="24"/>
        </w:rPr>
        <w:t xml:space="preserve">  m., mln. eurų</w:t>
      </w:r>
      <w:r w:rsidR="00E95333" w:rsidRPr="00063534">
        <w:rPr>
          <w:b/>
          <w:color w:val="000000"/>
          <w:sz w:val="24"/>
          <w:szCs w:val="24"/>
          <w:shd w:val="clear" w:color="auto" w:fill="FFFFFF"/>
        </w:rPr>
        <w:t xml:space="preserve">  </w:t>
      </w:r>
    </w:p>
    <w:p w:rsidR="005845A1" w:rsidRDefault="005845A1" w:rsidP="00E7495D">
      <w:pPr>
        <w:ind w:firstLine="420"/>
        <w:jc w:val="center"/>
        <w:rPr>
          <w:color w:val="000000"/>
          <w:sz w:val="24"/>
          <w:szCs w:val="24"/>
          <w:shd w:val="clear" w:color="auto" w:fill="FFFFFF"/>
        </w:rPr>
      </w:pPr>
    </w:p>
    <w:p w:rsidR="005845A1" w:rsidRPr="00ED5612" w:rsidRDefault="005845A1" w:rsidP="00FA4DF9">
      <w:pPr>
        <w:ind w:firstLine="720"/>
        <w:jc w:val="both"/>
        <w:rPr>
          <w:color w:val="000000"/>
          <w:sz w:val="24"/>
          <w:szCs w:val="24"/>
          <w:shd w:val="clear" w:color="auto" w:fill="FFFFFF"/>
        </w:rPr>
      </w:pPr>
      <w:r w:rsidRPr="005845A1">
        <w:rPr>
          <w:color w:val="000000"/>
          <w:sz w:val="24"/>
          <w:szCs w:val="24"/>
          <w:shd w:val="clear" w:color="auto" w:fill="FFFFFF"/>
        </w:rPr>
        <w:t xml:space="preserve">3 paveiksle parodyta, kaip keitėsi Savivaldybės biudžeto pajamos per pastaruosius 4 metus, </w:t>
      </w:r>
      <w:r>
        <w:rPr>
          <w:color w:val="000000"/>
          <w:sz w:val="24"/>
          <w:szCs w:val="24"/>
          <w:shd w:val="clear" w:color="auto" w:fill="FFFFFF"/>
        </w:rPr>
        <w:t xml:space="preserve">  </w:t>
      </w:r>
      <w:r w:rsidRPr="005845A1">
        <w:rPr>
          <w:color w:val="000000"/>
          <w:sz w:val="24"/>
          <w:szCs w:val="24"/>
          <w:shd w:val="clear" w:color="auto" w:fill="FFFFFF"/>
        </w:rPr>
        <w:t>t. y. 2015-2018 metais.</w:t>
      </w:r>
    </w:p>
    <w:p w:rsidR="003B448A" w:rsidRPr="00ED5612" w:rsidRDefault="003435BD" w:rsidP="00FA4DF9">
      <w:pPr>
        <w:tabs>
          <w:tab w:val="left" w:pos="709"/>
        </w:tabs>
        <w:ind w:firstLine="720"/>
        <w:jc w:val="both"/>
        <w:rPr>
          <w:color w:val="000000"/>
          <w:sz w:val="24"/>
          <w:szCs w:val="24"/>
          <w:shd w:val="clear" w:color="auto" w:fill="FFFFFF"/>
        </w:rPr>
      </w:pPr>
      <w:r w:rsidRPr="00ED5612">
        <w:rPr>
          <w:color w:val="000000"/>
          <w:sz w:val="24"/>
          <w:szCs w:val="24"/>
          <w:shd w:val="clear" w:color="auto" w:fill="FFFFFF"/>
        </w:rPr>
        <w:lastRenderedPageBreak/>
        <w:t>P</w:t>
      </w:r>
      <w:r w:rsidR="00BC3B8D" w:rsidRPr="00ED5612">
        <w:rPr>
          <w:color w:val="000000"/>
          <w:sz w:val="24"/>
          <w:szCs w:val="24"/>
          <w:shd w:val="clear" w:color="auto" w:fill="FFFFFF"/>
        </w:rPr>
        <w:t xml:space="preserve">ajamų didėjimas </w:t>
      </w:r>
      <w:r w:rsidR="005A2736" w:rsidRPr="00ED5612">
        <w:rPr>
          <w:color w:val="000000"/>
          <w:sz w:val="24"/>
          <w:szCs w:val="24"/>
          <w:shd w:val="clear" w:color="auto" w:fill="FFFFFF"/>
        </w:rPr>
        <w:t xml:space="preserve">buvo </w:t>
      </w:r>
      <w:r w:rsidRPr="00ED5612">
        <w:rPr>
          <w:color w:val="000000"/>
          <w:sz w:val="24"/>
          <w:szCs w:val="24"/>
          <w:shd w:val="clear" w:color="auto" w:fill="FFFFFF"/>
        </w:rPr>
        <w:t xml:space="preserve">paskutiniaisiais metais. </w:t>
      </w:r>
      <w:r w:rsidR="00BC3B8D" w:rsidRPr="00ED5612">
        <w:rPr>
          <w:color w:val="000000"/>
          <w:sz w:val="24"/>
          <w:szCs w:val="24"/>
          <w:shd w:val="clear" w:color="auto" w:fill="FFFFFF"/>
        </w:rPr>
        <w:t xml:space="preserve">Tai lėmė didesnės pajamos iš gyventojų pajamų mokesčio (savivaldybėms Finansinių rodiklių įstatymu kiekvienais metais skiriama didesnė </w:t>
      </w:r>
      <w:r w:rsidR="00BC3B8D" w:rsidRPr="00ED5612">
        <w:rPr>
          <w:sz w:val="24"/>
          <w:szCs w:val="24"/>
        </w:rPr>
        <w:t xml:space="preserve">gyventojų pajamų mokesčio dalis (procentais), tenkanti visų savivaldybių biudžetams nuo šio mokesčio pajamų į konsoliduotus valstybės biudžetą ir savivaldybių biudžetus): </w:t>
      </w:r>
      <w:r w:rsidR="00AE32D8" w:rsidRPr="00ED5612">
        <w:rPr>
          <w:sz w:val="24"/>
          <w:szCs w:val="24"/>
        </w:rPr>
        <w:t xml:space="preserve">2018 m. – 82,82 procento, </w:t>
      </w:r>
      <w:r w:rsidRPr="00ED5612">
        <w:rPr>
          <w:sz w:val="24"/>
          <w:szCs w:val="24"/>
        </w:rPr>
        <w:t xml:space="preserve">2017 m. – 78,17 procento, </w:t>
      </w:r>
      <w:r w:rsidR="00900483" w:rsidRPr="00ED5612">
        <w:rPr>
          <w:sz w:val="24"/>
          <w:szCs w:val="24"/>
        </w:rPr>
        <w:t xml:space="preserve">2016 m. </w:t>
      </w:r>
      <w:r w:rsidR="000F65CA" w:rsidRPr="00ED5612">
        <w:rPr>
          <w:sz w:val="24"/>
          <w:szCs w:val="24"/>
        </w:rPr>
        <w:t xml:space="preserve">– 75,49 procento, </w:t>
      </w:r>
      <w:r w:rsidR="00BC3B8D" w:rsidRPr="00ED5612">
        <w:rPr>
          <w:sz w:val="24"/>
          <w:szCs w:val="24"/>
        </w:rPr>
        <w:t>2015 m.– 72,8 procento</w:t>
      </w:r>
      <w:r w:rsidR="00B9340D" w:rsidRPr="00ED5612">
        <w:rPr>
          <w:sz w:val="24"/>
          <w:szCs w:val="24"/>
        </w:rPr>
        <w:t xml:space="preserve">, </w:t>
      </w:r>
      <w:r w:rsidR="006F2356" w:rsidRPr="00ED5612">
        <w:rPr>
          <w:sz w:val="24"/>
          <w:szCs w:val="24"/>
        </w:rPr>
        <w:t xml:space="preserve">o </w:t>
      </w:r>
      <w:r w:rsidR="00B9340D" w:rsidRPr="00ED5612">
        <w:rPr>
          <w:sz w:val="24"/>
          <w:szCs w:val="24"/>
        </w:rPr>
        <w:t>n</w:t>
      </w:r>
      <w:r w:rsidR="00015ACB" w:rsidRPr="00ED5612">
        <w:rPr>
          <w:sz w:val="24"/>
          <w:szCs w:val="24"/>
        </w:rPr>
        <w:t>uo 2017 metų</w:t>
      </w:r>
      <w:r w:rsidR="00AE32D8" w:rsidRPr="00ED5612">
        <w:rPr>
          <w:sz w:val="24"/>
          <w:szCs w:val="24"/>
        </w:rPr>
        <w:t xml:space="preserve">, o ypač 2018 metais - </w:t>
      </w:r>
      <w:r w:rsidR="0075733E" w:rsidRPr="00ED5612">
        <w:rPr>
          <w:sz w:val="24"/>
          <w:szCs w:val="24"/>
        </w:rPr>
        <w:t>S</w:t>
      </w:r>
      <w:r w:rsidR="00015ACB" w:rsidRPr="00ED5612">
        <w:rPr>
          <w:sz w:val="24"/>
          <w:szCs w:val="24"/>
        </w:rPr>
        <w:t>avivaldybės biudžete apskaitomos Europos Sąjungos finansinės paramos lėšos.</w:t>
      </w:r>
    </w:p>
    <w:p w:rsidR="00DA7C5A" w:rsidRPr="00ED5612" w:rsidRDefault="00B9340D" w:rsidP="00FA4DF9">
      <w:pPr>
        <w:ind w:firstLine="720"/>
        <w:jc w:val="both"/>
        <w:rPr>
          <w:sz w:val="24"/>
          <w:szCs w:val="24"/>
        </w:rPr>
      </w:pPr>
      <w:r w:rsidRPr="00ED5612">
        <w:rPr>
          <w:sz w:val="24"/>
          <w:szCs w:val="24"/>
        </w:rPr>
        <w:t>Savivaldybės 2018</w:t>
      </w:r>
      <w:r w:rsidR="00F91E8A" w:rsidRPr="00ED5612">
        <w:rPr>
          <w:sz w:val="24"/>
          <w:szCs w:val="24"/>
        </w:rPr>
        <w:t xml:space="preserve"> metų biudžeto pajamų plano pagal pajamų rūšis vykdymas parodytas 1 lentelėje. </w:t>
      </w:r>
    </w:p>
    <w:p w:rsidR="00F91E8A" w:rsidRDefault="00F91E8A" w:rsidP="000369E4">
      <w:pPr>
        <w:ind w:firstLine="720"/>
        <w:jc w:val="both"/>
        <w:rPr>
          <w:sz w:val="24"/>
          <w:szCs w:val="24"/>
        </w:rPr>
      </w:pPr>
      <w:r w:rsidRPr="00ED5612">
        <w:rPr>
          <w:sz w:val="24"/>
          <w:szCs w:val="24"/>
        </w:rPr>
        <w:t xml:space="preserve">    </w:t>
      </w:r>
    </w:p>
    <w:p w:rsidR="00637426" w:rsidRPr="00ED5612" w:rsidRDefault="00AE588E" w:rsidP="00637426">
      <w:pPr>
        <w:jc w:val="center"/>
        <w:rPr>
          <w:b/>
          <w:sz w:val="24"/>
          <w:szCs w:val="24"/>
        </w:rPr>
      </w:pPr>
      <w:r w:rsidRPr="00ED5612">
        <w:rPr>
          <w:b/>
          <w:sz w:val="24"/>
          <w:szCs w:val="24"/>
        </w:rPr>
        <w:t xml:space="preserve">1 lentelė. </w:t>
      </w:r>
      <w:r w:rsidR="00F91E8A" w:rsidRPr="00ED5612">
        <w:rPr>
          <w:b/>
          <w:sz w:val="24"/>
          <w:szCs w:val="24"/>
        </w:rPr>
        <w:t>Savivaldybės 201</w:t>
      </w:r>
      <w:r w:rsidR="00B9340D" w:rsidRPr="00ED5612">
        <w:rPr>
          <w:b/>
          <w:sz w:val="24"/>
          <w:szCs w:val="24"/>
        </w:rPr>
        <w:t>8</w:t>
      </w:r>
      <w:r w:rsidR="00F91E8A" w:rsidRPr="00ED5612">
        <w:rPr>
          <w:b/>
          <w:sz w:val="24"/>
          <w:szCs w:val="24"/>
        </w:rPr>
        <w:t xml:space="preserve"> metų </w:t>
      </w:r>
      <w:r w:rsidR="00637426" w:rsidRPr="00ED5612">
        <w:rPr>
          <w:b/>
          <w:sz w:val="24"/>
          <w:szCs w:val="24"/>
        </w:rPr>
        <w:t xml:space="preserve"> biudžeto pajamų plano vykdymas</w:t>
      </w:r>
    </w:p>
    <w:p w:rsidR="00637426" w:rsidRPr="00ED5612" w:rsidRDefault="00637426" w:rsidP="00637426">
      <w:pPr>
        <w:jc w:val="right"/>
        <w:rPr>
          <w:b/>
          <w:sz w:val="24"/>
          <w:szCs w:val="24"/>
        </w:rPr>
      </w:pPr>
    </w:p>
    <w:p w:rsidR="00C4664F" w:rsidRPr="00ED5612" w:rsidRDefault="00637426" w:rsidP="00637426">
      <w:pPr>
        <w:jc w:val="center"/>
        <w:rPr>
          <w:b/>
          <w:sz w:val="24"/>
          <w:szCs w:val="24"/>
        </w:rPr>
      </w:pPr>
      <w:r w:rsidRPr="00ED5612">
        <w:rPr>
          <w:sz w:val="24"/>
          <w:szCs w:val="24"/>
        </w:rPr>
        <w:t xml:space="preserve">                                                                                                                           tūkst. eurų</w:t>
      </w:r>
    </w:p>
    <w:p w:rsidR="000369E4" w:rsidRPr="009F7D43" w:rsidRDefault="002034E6" w:rsidP="00C4664F">
      <w:pPr>
        <w:jc w:val="both"/>
        <w:rPr>
          <w:sz w:val="24"/>
          <w:szCs w:val="24"/>
          <w:lang w:eastAsia="lt-LT"/>
        </w:rPr>
      </w:pPr>
      <w:r w:rsidRPr="009F7D43">
        <w:rPr>
          <w:noProof/>
          <w:sz w:val="24"/>
          <w:szCs w:val="24"/>
          <w:lang w:eastAsia="lt-LT"/>
        </w:rPr>
        <w:drawing>
          <wp:inline distT="0" distB="0" distL="0" distR="0" wp14:anchorId="220EDAAF" wp14:editId="2EE83A2D">
            <wp:extent cx="5889009" cy="6817056"/>
            <wp:effectExtent l="0" t="0" r="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9009" cy="6817056"/>
                    </a:xfrm>
                    <a:prstGeom prst="rect">
                      <a:avLst/>
                    </a:prstGeom>
                    <a:noFill/>
                    <a:ln>
                      <a:noFill/>
                    </a:ln>
                  </pic:spPr>
                </pic:pic>
              </a:graphicData>
            </a:graphic>
          </wp:inline>
        </w:drawing>
      </w:r>
    </w:p>
    <w:p w:rsidR="00807321" w:rsidRPr="00ED5612" w:rsidRDefault="00807321" w:rsidP="00807321">
      <w:pPr>
        <w:numPr>
          <w:ilvl w:val="0"/>
          <w:numId w:val="6"/>
        </w:numPr>
        <w:jc w:val="center"/>
        <w:rPr>
          <w:b/>
          <w:sz w:val="28"/>
          <w:szCs w:val="28"/>
        </w:rPr>
      </w:pPr>
      <w:r w:rsidRPr="00ED5612">
        <w:rPr>
          <w:b/>
          <w:sz w:val="28"/>
          <w:szCs w:val="28"/>
        </w:rPr>
        <w:lastRenderedPageBreak/>
        <w:t>Išlaidų plano įvykdymas</w:t>
      </w:r>
    </w:p>
    <w:p w:rsidR="000369E4" w:rsidRPr="00ED5612" w:rsidRDefault="000369E4" w:rsidP="00807321">
      <w:pPr>
        <w:ind w:firstLine="420"/>
        <w:jc w:val="center"/>
        <w:rPr>
          <w:b/>
          <w:sz w:val="24"/>
          <w:szCs w:val="24"/>
        </w:rPr>
      </w:pPr>
    </w:p>
    <w:p w:rsidR="003923BF" w:rsidRPr="00ED5612" w:rsidRDefault="003923BF" w:rsidP="00FA4DF9">
      <w:pPr>
        <w:ind w:firstLine="720"/>
        <w:jc w:val="both"/>
        <w:rPr>
          <w:sz w:val="24"/>
          <w:szCs w:val="24"/>
        </w:rPr>
      </w:pPr>
      <w:r w:rsidRPr="00ED5612">
        <w:rPr>
          <w:sz w:val="24"/>
          <w:szCs w:val="24"/>
        </w:rPr>
        <w:t>Patiksl</w:t>
      </w:r>
      <w:r w:rsidR="00FA4DF9">
        <w:rPr>
          <w:sz w:val="24"/>
          <w:szCs w:val="24"/>
        </w:rPr>
        <w:t xml:space="preserve">intas 2018 m. išlaidų planas – </w:t>
      </w:r>
      <w:r w:rsidRPr="00ED5612">
        <w:rPr>
          <w:sz w:val="24"/>
          <w:szCs w:val="24"/>
        </w:rPr>
        <w:t>40 278,7 tūkst. eurų. Išlaidų planas įvykdytas 96,0 procent</w:t>
      </w:r>
      <w:r w:rsidR="00321CB2" w:rsidRPr="00ED5612">
        <w:rPr>
          <w:sz w:val="24"/>
          <w:szCs w:val="24"/>
        </w:rPr>
        <w:t>ais</w:t>
      </w:r>
      <w:r w:rsidRPr="00ED5612">
        <w:rPr>
          <w:sz w:val="24"/>
          <w:szCs w:val="24"/>
        </w:rPr>
        <w:t>, ir atskiroms veiklos priemonėms finansuoti panaudota 38 663,6</w:t>
      </w:r>
      <w:r w:rsidR="00807321" w:rsidRPr="00ED5612">
        <w:rPr>
          <w:sz w:val="24"/>
          <w:szCs w:val="24"/>
        </w:rPr>
        <w:t xml:space="preserve">  </w:t>
      </w:r>
      <w:r w:rsidRPr="00ED5612">
        <w:rPr>
          <w:sz w:val="24"/>
          <w:szCs w:val="24"/>
        </w:rPr>
        <w:t>tūkst. eurų.</w:t>
      </w:r>
    </w:p>
    <w:p w:rsidR="00114CFC" w:rsidRPr="00ED5612" w:rsidRDefault="00114CFC" w:rsidP="00FA4DF9">
      <w:pPr>
        <w:ind w:firstLine="720"/>
        <w:jc w:val="both"/>
        <w:rPr>
          <w:sz w:val="24"/>
          <w:szCs w:val="24"/>
        </w:rPr>
      </w:pPr>
      <w:r w:rsidRPr="00ED5612">
        <w:rPr>
          <w:sz w:val="24"/>
          <w:szCs w:val="24"/>
        </w:rPr>
        <w:t>Ataskaitinio laikotarpio pabaigoje į valstybės biudžetą grąžinta 53,0 tūkst. eurų nepanaudotų lėšų:</w:t>
      </w:r>
    </w:p>
    <w:p w:rsidR="00114CFC" w:rsidRPr="00ED5612" w:rsidRDefault="00FA4DF9" w:rsidP="00FA4DF9">
      <w:pPr>
        <w:ind w:firstLine="720"/>
        <w:jc w:val="both"/>
        <w:rPr>
          <w:sz w:val="24"/>
          <w:szCs w:val="24"/>
        </w:rPr>
      </w:pPr>
      <w:r>
        <w:rPr>
          <w:sz w:val="24"/>
          <w:szCs w:val="24"/>
        </w:rPr>
        <w:t xml:space="preserve">1. </w:t>
      </w:r>
      <w:r w:rsidR="00114CFC" w:rsidRPr="00ED5612">
        <w:rPr>
          <w:sz w:val="24"/>
          <w:szCs w:val="24"/>
        </w:rPr>
        <w:t xml:space="preserve">40,0 tūkst. eurų  - valstybinėms (perduotoms savivaldybei) funkcijoms vykdyti, iš jų:        </w:t>
      </w:r>
    </w:p>
    <w:p w:rsidR="00114CFC" w:rsidRPr="00ED5612" w:rsidRDefault="00114CFC" w:rsidP="00FA4DF9">
      <w:pPr>
        <w:ind w:firstLine="720"/>
        <w:jc w:val="both"/>
        <w:rPr>
          <w:sz w:val="24"/>
          <w:szCs w:val="24"/>
        </w:rPr>
      </w:pPr>
      <w:r w:rsidRPr="00ED5612">
        <w:rPr>
          <w:sz w:val="24"/>
          <w:szCs w:val="24"/>
        </w:rPr>
        <w:t>1.1. 8,9 tūkst. eurų - socialinėms paslaugoms finansuoti;</w:t>
      </w:r>
    </w:p>
    <w:p w:rsidR="00114CFC" w:rsidRPr="00ED5612" w:rsidRDefault="00114CFC" w:rsidP="00FA4DF9">
      <w:pPr>
        <w:ind w:firstLine="720"/>
        <w:jc w:val="both"/>
        <w:rPr>
          <w:sz w:val="24"/>
          <w:szCs w:val="24"/>
        </w:rPr>
      </w:pPr>
      <w:r w:rsidRPr="00ED5612">
        <w:rPr>
          <w:sz w:val="24"/>
          <w:szCs w:val="24"/>
        </w:rPr>
        <w:t>1.2. 6,5 tūkst. eurų -  socialinei paramai mokiniams;</w:t>
      </w:r>
    </w:p>
    <w:p w:rsidR="00114CFC" w:rsidRPr="00ED5612" w:rsidRDefault="00114CFC" w:rsidP="00FA4DF9">
      <w:pPr>
        <w:ind w:firstLine="720"/>
        <w:jc w:val="both"/>
        <w:rPr>
          <w:sz w:val="24"/>
          <w:szCs w:val="24"/>
        </w:rPr>
      </w:pPr>
      <w:r w:rsidRPr="00ED5612">
        <w:rPr>
          <w:sz w:val="24"/>
          <w:szCs w:val="24"/>
        </w:rPr>
        <w:t>1.3. 11,8 tūkst. eurų   - socialinėms išmokoms ir kompensacijoms skaičiuoti ir mokėti;</w:t>
      </w:r>
    </w:p>
    <w:p w:rsidR="00114CFC" w:rsidRPr="00ED5612" w:rsidRDefault="00114CFC" w:rsidP="00FA4DF9">
      <w:pPr>
        <w:tabs>
          <w:tab w:val="left" w:pos="709"/>
          <w:tab w:val="left" w:pos="1276"/>
        </w:tabs>
        <w:ind w:firstLine="720"/>
        <w:jc w:val="both"/>
        <w:rPr>
          <w:sz w:val="24"/>
          <w:szCs w:val="24"/>
        </w:rPr>
      </w:pPr>
      <w:r w:rsidRPr="00ED5612">
        <w:rPr>
          <w:sz w:val="24"/>
          <w:szCs w:val="24"/>
        </w:rPr>
        <w:t>1.4. 0,1 tūkst. eurų  – neveiksnių asmenų būklės peržiūrėjimui užtikrinti;</w:t>
      </w:r>
    </w:p>
    <w:p w:rsidR="00114CFC" w:rsidRPr="00ED5612" w:rsidRDefault="00114CFC" w:rsidP="00FA4DF9">
      <w:pPr>
        <w:ind w:firstLine="720"/>
        <w:jc w:val="both"/>
        <w:rPr>
          <w:sz w:val="24"/>
          <w:szCs w:val="24"/>
        </w:rPr>
      </w:pPr>
      <w:r w:rsidRPr="00ED5612">
        <w:rPr>
          <w:sz w:val="24"/>
          <w:szCs w:val="24"/>
        </w:rPr>
        <w:t>1.5. 1,0 tūkst. eurų – būsto nuomos mokesčio daliai kompensuoti;</w:t>
      </w:r>
    </w:p>
    <w:p w:rsidR="00114CFC" w:rsidRPr="00ED5612" w:rsidRDefault="00114CFC" w:rsidP="00FA4DF9">
      <w:pPr>
        <w:ind w:firstLine="720"/>
        <w:jc w:val="both"/>
        <w:rPr>
          <w:sz w:val="24"/>
          <w:szCs w:val="24"/>
        </w:rPr>
      </w:pPr>
      <w:r w:rsidRPr="00ED5612">
        <w:rPr>
          <w:sz w:val="24"/>
          <w:szCs w:val="24"/>
        </w:rPr>
        <w:t>1.6.  6,6 tūkst.</w:t>
      </w:r>
      <w:r w:rsidR="0001658B">
        <w:rPr>
          <w:sz w:val="24"/>
          <w:szCs w:val="24"/>
        </w:rPr>
        <w:t xml:space="preserve"> </w:t>
      </w:r>
      <w:r w:rsidRPr="00ED5612">
        <w:rPr>
          <w:sz w:val="24"/>
          <w:szCs w:val="24"/>
        </w:rPr>
        <w:t>eurų – vaikų teisių apsaugai;</w:t>
      </w:r>
    </w:p>
    <w:p w:rsidR="00114CFC" w:rsidRPr="00ED5612" w:rsidRDefault="00114CFC" w:rsidP="00FA4DF9">
      <w:pPr>
        <w:ind w:firstLine="720"/>
        <w:jc w:val="both"/>
        <w:rPr>
          <w:sz w:val="24"/>
          <w:szCs w:val="24"/>
        </w:rPr>
      </w:pPr>
      <w:r w:rsidRPr="00ED5612">
        <w:rPr>
          <w:sz w:val="24"/>
          <w:szCs w:val="24"/>
        </w:rPr>
        <w:t>1.7. 4,9 tūkst.</w:t>
      </w:r>
      <w:r w:rsidR="0001658B">
        <w:rPr>
          <w:sz w:val="24"/>
          <w:szCs w:val="24"/>
        </w:rPr>
        <w:t xml:space="preserve"> </w:t>
      </w:r>
      <w:r w:rsidRPr="00ED5612">
        <w:rPr>
          <w:sz w:val="24"/>
          <w:szCs w:val="24"/>
        </w:rPr>
        <w:t>eurų – valstybei nuosavybės teise priklausančių melioracijos ir hidrotechnikos statinių valdymui ir naudojimui patikėjimo teise užtikrinti</w:t>
      </w:r>
    </w:p>
    <w:p w:rsidR="00114CFC" w:rsidRPr="00ED5612" w:rsidRDefault="00114CFC" w:rsidP="00FA4DF9">
      <w:pPr>
        <w:ind w:firstLine="720"/>
        <w:jc w:val="both"/>
        <w:rPr>
          <w:sz w:val="24"/>
          <w:szCs w:val="24"/>
        </w:rPr>
      </w:pPr>
      <w:r w:rsidRPr="00ED5612">
        <w:rPr>
          <w:sz w:val="24"/>
          <w:szCs w:val="24"/>
        </w:rPr>
        <w:t>1.8. kitų valstybinėms (perduotoms savivaldybei) funkcijoms vykdyti lėšų grąžinta 0,2 tūkst. eurų.</w:t>
      </w:r>
    </w:p>
    <w:p w:rsidR="00114CFC" w:rsidRPr="00ED5612" w:rsidRDefault="00114CFC" w:rsidP="00FA4DF9">
      <w:pPr>
        <w:ind w:firstLine="720"/>
        <w:jc w:val="both"/>
        <w:rPr>
          <w:sz w:val="24"/>
          <w:szCs w:val="24"/>
        </w:rPr>
      </w:pPr>
      <w:r w:rsidRPr="00ED5612">
        <w:rPr>
          <w:sz w:val="24"/>
          <w:szCs w:val="24"/>
        </w:rPr>
        <w:t>2.  Mokinio krepšelio lėšų grąžinta 1,5 tūkst. eurų.</w:t>
      </w:r>
    </w:p>
    <w:p w:rsidR="008C5C6F" w:rsidRPr="00ED5612" w:rsidRDefault="00114CFC" w:rsidP="00FA4DF9">
      <w:pPr>
        <w:ind w:firstLine="720"/>
        <w:jc w:val="both"/>
        <w:rPr>
          <w:sz w:val="24"/>
          <w:szCs w:val="24"/>
          <w:lang w:eastAsia="lt-LT"/>
        </w:rPr>
      </w:pPr>
      <w:r w:rsidRPr="00ED5612">
        <w:rPr>
          <w:sz w:val="24"/>
          <w:szCs w:val="24"/>
        </w:rPr>
        <w:t>3. Kitų tikslinių dotacijų – 11,5 tūkst. eurų.</w:t>
      </w:r>
    </w:p>
    <w:p w:rsidR="00E7495D" w:rsidRPr="00ED5612" w:rsidRDefault="00FA4DF9" w:rsidP="00FA4DF9">
      <w:pPr>
        <w:ind w:firstLine="720"/>
        <w:jc w:val="both"/>
        <w:rPr>
          <w:sz w:val="24"/>
          <w:szCs w:val="24"/>
        </w:rPr>
      </w:pPr>
      <w:r>
        <w:rPr>
          <w:sz w:val="24"/>
          <w:szCs w:val="24"/>
        </w:rPr>
        <w:t xml:space="preserve">Ketverių </w:t>
      </w:r>
      <w:r w:rsidR="008C5C6F" w:rsidRPr="00ED5612">
        <w:rPr>
          <w:sz w:val="24"/>
          <w:szCs w:val="24"/>
        </w:rPr>
        <w:t xml:space="preserve">metų </w:t>
      </w:r>
      <w:r w:rsidR="000000DB" w:rsidRPr="00ED5612">
        <w:rPr>
          <w:sz w:val="24"/>
          <w:szCs w:val="24"/>
        </w:rPr>
        <w:t xml:space="preserve">asignavimų </w:t>
      </w:r>
      <w:r w:rsidR="008C5C6F" w:rsidRPr="00ED5612">
        <w:rPr>
          <w:sz w:val="24"/>
          <w:szCs w:val="24"/>
        </w:rPr>
        <w:t>dinamika</w:t>
      </w:r>
      <w:r w:rsidR="00854958" w:rsidRPr="00ED5612">
        <w:rPr>
          <w:sz w:val="24"/>
          <w:szCs w:val="24"/>
        </w:rPr>
        <w:t xml:space="preserve"> (mln. eurų)</w:t>
      </w:r>
      <w:r w:rsidR="008C5C6F" w:rsidRPr="00ED5612">
        <w:rPr>
          <w:sz w:val="24"/>
          <w:szCs w:val="24"/>
        </w:rPr>
        <w:t xml:space="preserve">, analizuojant plano įvykdymą, pavaizduota 4 paveiksle.    </w:t>
      </w:r>
    </w:p>
    <w:p w:rsidR="00854958" w:rsidRPr="00ED5612" w:rsidRDefault="00854958" w:rsidP="00335558">
      <w:pPr>
        <w:rPr>
          <w:sz w:val="24"/>
          <w:szCs w:val="24"/>
        </w:rPr>
      </w:pPr>
    </w:p>
    <w:p w:rsidR="00C81F97" w:rsidRPr="009F7D43" w:rsidRDefault="00854958" w:rsidP="00335558">
      <w:pPr>
        <w:rPr>
          <w:sz w:val="24"/>
          <w:szCs w:val="24"/>
        </w:rPr>
      </w:pPr>
      <w:r w:rsidRPr="009F7D43">
        <w:rPr>
          <w:noProof/>
          <w:sz w:val="24"/>
          <w:szCs w:val="24"/>
          <w:lang w:eastAsia="lt-LT"/>
        </w:rPr>
        <w:drawing>
          <wp:inline distT="0" distB="0" distL="0" distR="0" wp14:anchorId="75AC9827" wp14:editId="79560DF8">
            <wp:extent cx="5486400" cy="3534770"/>
            <wp:effectExtent l="0" t="0" r="19050" b="2794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4DAD" w:rsidRPr="00ED5612" w:rsidRDefault="000000DB" w:rsidP="00335558">
      <w:pPr>
        <w:rPr>
          <w:sz w:val="24"/>
          <w:szCs w:val="24"/>
        </w:rPr>
      </w:pPr>
      <w:r w:rsidRPr="00ED5612">
        <w:rPr>
          <w:sz w:val="24"/>
          <w:szCs w:val="24"/>
        </w:rPr>
        <w:t xml:space="preserve">     </w:t>
      </w:r>
    </w:p>
    <w:p w:rsidR="000000DB" w:rsidRPr="00063534" w:rsidRDefault="00EE1B6B" w:rsidP="00FA4DF9">
      <w:pPr>
        <w:jc w:val="center"/>
        <w:rPr>
          <w:b/>
          <w:sz w:val="24"/>
          <w:szCs w:val="24"/>
        </w:rPr>
      </w:pPr>
      <w:r w:rsidRPr="00063534">
        <w:rPr>
          <w:b/>
          <w:sz w:val="24"/>
          <w:szCs w:val="24"/>
        </w:rPr>
        <w:t>4</w:t>
      </w:r>
      <w:r w:rsidR="00FA7C52" w:rsidRPr="00063534">
        <w:rPr>
          <w:b/>
          <w:sz w:val="24"/>
          <w:szCs w:val="24"/>
        </w:rPr>
        <w:t xml:space="preserve"> </w:t>
      </w:r>
      <w:r w:rsidRPr="00063534">
        <w:rPr>
          <w:b/>
          <w:sz w:val="24"/>
          <w:szCs w:val="24"/>
        </w:rPr>
        <w:t>pav. Plungės r</w:t>
      </w:r>
      <w:r w:rsidR="00B0603F" w:rsidRPr="00063534">
        <w:rPr>
          <w:b/>
          <w:sz w:val="24"/>
          <w:szCs w:val="24"/>
        </w:rPr>
        <w:t>ajono s</w:t>
      </w:r>
      <w:r w:rsidR="00846D67" w:rsidRPr="00063534">
        <w:rPr>
          <w:b/>
          <w:sz w:val="24"/>
          <w:szCs w:val="24"/>
        </w:rPr>
        <w:t>avivaldybės biudžeto 2015</w:t>
      </w:r>
      <w:r w:rsidR="008A2417" w:rsidRPr="00063534">
        <w:rPr>
          <w:b/>
          <w:sz w:val="24"/>
          <w:szCs w:val="24"/>
        </w:rPr>
        <w:t xml:space="preserve"> – 2018</w:t>
      </w:r>
      <w:r w:rsidRPr="00063534">
        <w:rPr>
          <w:b/>
          <w:sz w:val="24"/>
          <w:szCs w:val="24"/>
        </w:rPr>
        <w:t xml:space="preserve"> metų išlaidų dinamika, mln. eurų</w:t>
      </w:r>
    </w:p>
    <w:p w:rsidR="00E7495D" w:rsidRPr="00ED5612" w:rsidRDefault="000000DB" w:rsidP="003E1DC9">
      <w:pPr>
        <w:jc w:val="both"/>
        <w:rPr>
          <w:sz w:val="24"/>
          <w:szCs w:val="24"/>
        </w:rPr>
      </w:pPr>
      <w:r w:rsidRPr="00ED5612">
        <w:rPr>
          <w:sz w:val="24"/>
          <w:szCs w:val="24"/>
        </w:rPr>
        <w:t xml:space="preserve">        </w:t>
      </w:r>
    </w:p>
    <w:p w:rsidR="004E5E06" w:rsidRPr="00ED5612" w:rsidRDefault="00893EC2" w:rsidP="00FA4DF9">
      <w:pPr>
        <w:ind w:firstLine="720"/>
        <w:jc w:val="both"/>
        <w:rPr>
          <w:sz w:val="24"/>
          <w:szCs w:val="24"/>
        </w:rPr>
      </w:pPr>
      <w:r w:rsidRPr="00ED5612">
        <w:rPr>
          <w:sz w:val="24"/>
          <w:szCs w:val="24"/>
        </w:rPr>
        <w:t>2017, 2018 metais Savivaldybės biudžete apskaitomos Europos Sąjungos finansinės paramos lėšos. Padidėjus biudžetui, atsirado galimybė skirti daugiau lėšų prisidė</w:t>
      </w:r>
      <w:r w:rsidR="009F7D43" w:rsidRPr="00ED5612">
        <w:rPr>
          <w:sz w:val="24"/>
          <w:szCs w:val="24"/>
        </w:rPr>
        <w:t>ti</w:t>
      </w:r>
      <w:r w:rsidRPr="00ED5612">
        <w:rPr>
          <w:sz w:val="24"/>
          <w:szCs w:val="24"/>
        </w:rPr>
        <w:t xml:space="preserve"> prie projektų – iš </w:t>
      </w:r>
      <w:proofErr w:type="spellStart"/>
      <w:r w:rsidRPr="00ED5612">
        <w:rPr>
          <w:sz w:val="24"/>
          <w:szCs w:val="24"/>
        </w:rPr>
        <w:t>savarankiškų</w:t>
      </w:r>
      <w:r w:rsidR="00A43BC2" w:rsidRPr="00ED5612">
        <w:rPr>
          <w:sz w:val="24"/>
          <w:szCs w:val="24"/>
        </w:rPr>
        <w:t>jų</w:t>
      </w:r>
      <w:proofErr w:type="spellEnd"/>
      <w:r w:rsidR="00A43BC2" w:rsidRPr="00ED5612">
        <w:rPr>
          <w:sz w:val="24"/>
          <w:szCs w:val="24"/>
        </w:rPr>
        <w:t xml:space="preserve"> funkcijų buvo skirta apie 0,6</w:t>
      </w:r>
      <w:r w:rsidR="00BE5FC0" w:rsidRPr="00ED5612">
        <w:rPr>
          <w:sz w:val="24"/>
          <w:szCs w:val="24"/>
        </w:rPr>
        <w:t xml:space="preserve"> </w:t>
      </w:r>
      <w:r w:rsidRPr="00ED5612">
        <w:rPr>
          <w:sz w:val="24"/>
          <w:szCs w:val="24"/>
        </w:rPr>
        <w:t>mln.</w:t>
      </w:r>
      <w:r w:rsidR="00743431">
        <w:rPr>
          <w:sz w:val="24"/>
          <w:szCs w:val="24"/>
        </w:rPr>
        <w:t xml:space="preserve"> </w:t>
      </w:r>
      <w:r w:rsidRPr="00ED5612">
        <w:rPr>
          <w:sz w:val="24"/>
          <w:szCs w:val="24"/>
        </w:rPr>
        <w:t>eurų. 2</w:t>
      </w:r>
      <w:r w:rsidR="00BE5FC0" w:rsidRPr="00ED5612">
        <w:rPr>
          <w:sz w:val="24"/>
          <w:szCs w:val="24"/>
        </w:rPr>
        <w:t xml:space="preserve"> </w:t>
      </w:r>
      <w:r w:rsidRPr="00ED5612">
        <w:rPr>
          <w:sz w:val="24"/>
          <w:szCs w:val="24"/>
        </w:rPr>
        <w:t xml:space="preserve">lentelėje </w:t>
      </w:r>
      <w:r w:rsidR="009F7D43" w:rsidRPr="00ED5612">
        <w:rPr>
          <w:sz w:val="24"/>
          <w:szCs w:val="24"/>
        </w:rPr>
        <w:t>nu</w:t>
      </w:r>
      <w:r w:rsidRPr="00ED5612">
        <w:rPr>
          <w:sz w:val="24"/>
          <w:szCs w:val="24"/>
        </w:rPr>
        <w:t xml:space="preserve">rodyti projektai, kuriems priemonėje </w:t>
      </w:r>
      <w:r w:rsidR="009F7D43">
        <w:rPr>
          <w:sz w:val="24"/>
          <w:szCs w:val="24"/>
        </w:rPr>
        <w:t>„</w:t>
      </w:r>
      <w:r w:rsidRPr="00ED5612">
        <w:rPr>
          <w:sz w:val="24"/>
          <w:szCs w:val="24"/>
        </w:rPr>
        <w:t>Investicijų ir kiti projektai” buvo</w:t>
      </w:r>
      <w:r w:rsidR="005F0E75" w:rsidRPr="00ED5612">
        <w:rPr>
          <w:sz w:val="24"/>
          <w:szCs w:val="24"/>
        </w:rPr>
        <w:t xml:space="preserve"> </w:t>
      </w:r>
      <w:r w:rsidRPr="00ED5612">
        <w:rPr>
          <w:sz w:val="24"/>
          <w:szCs w:val="24"/>
        </w:rPr>
        <w:t>naudojamo</w:t>
      </w:r>
      <w:r w:rsidR="004E5E06" w:rsidRPr="00ED5612">
        <w:rPr>
          <w:sz w:val="24"/>
          <w:szCs w:val="24"/>
        </w:rPr>
        <w:t xml:space="preserve">s </w:t>
      </w:r>
      <w:proofErr w:type="spellStart"/>
      <w:r w:rsidR="004E5E06" w:rsidRPr="00ED5612">
        <w:rPr>
          <w:sz w:val="24"/>
          <w:szCs w:val="24"/>
        </w:rPr>
        <w:t>savarankiškųjų</w:t>
      </w:r>
      <w:proofErr w:type="spellEnd"/>
      <w:r w:rsidR="004E5E06" w:rsidRPr="00ED5612">
        <w:rPr>
          <w:sz w:val="24"/>
          <w:szCs w:val="24"/>
        </w:rPr>
        <w:t xml:space="preserve"> funkcijų lėšos.</w:t>
      </w:r>
    </w:p>
    <w:p w:rsidR="00E7495D" w:rsidRPr="00ED5612" w:rsidRDefault="00E7495D" w:rsidP="003E1DC9">
      <w:pPr>
        <w:jc w:val="both"/>
        <w:rPr>
          <w:sz w:val="24"/>
          <w:szCs w:val="24"/>
        </w:rPr>
      </w:pPr>
    </w:p>
    <w:p w:rsidR="00E7495D" w:rsidRPr="00ED5612" w:rsidRDefault="00E7495D" w:rsidP="003E1DC9">
      <w:pPr>
        <w:jc w:val="both"/>
        <w:rPr>
          <w:sz w:val="24"/>
          <w:szCs w:val="24"/>
        </w:rPr>
      </w:pPr>
    </w:p>
    <w:tbl>
      <w:tblPr>
        <w:tblStyle w:val="Lentelstinklelis"/>
        <w:tblW w:w="0" w:type="auto"/>
        <w:tblLook w:val="04A0" w:firstRow="1" w:lastRow="0" w:firstColumn="1" w:lastColumn="0" w:noHBand="0" w:noVBand="1"/>
      </w:tblPr>
      <w:tblGrid>
        <w:gridCol w:w="556"/>
        <w:gridCol w:w="5838"/>
        <w:gridCol w:w="1096"/>
        <w:gridCol w:w="1149"/>
        <w:gridCol w:w="1216"/>
      </w:tblGrid>
      <w:tr w:rsidR="00C03B8E" w:rsidRPr="00ED5612" w:rsidTr="00C03B8E">
        <w:trPr>
          <w:trHeight w:val="615"/>
        </w:trPr>
        <w:tc>
          <w:tcPr>
            <w:tcW w:w="9367" w:type="dxa"/>
            <w:gridSpan w:val="5"/>
            <w:tcBorders>
              <w:top w:val="nil"/>
              <w:left w:val="nil"/>
              <w:bottom w:val="nil"/>
              <w:right w:val="nil"/>
            </w:tcBorders>
            <w:hideMark/>
          </w:tcPr>
          <w:p w:rsidR="00D45A3B" w:rsidRPr="009F7D43" w:rsidRDefault="00C03B8E" w:rsidP="006C644F">
            <w:pPr>
              <w:jc w:val="center"/>
              <w:rPr>
                <w:b/>
                <w:bCs/>
                <w:sz w:val="24"/>
                <w:szCs w:val="24"/>
              </w:rPr>
            </w:pPr>
            <w:r w:rsidRPr="009F7D43">
              <w:rPr>
                <w:b/>
                <w:bCs/>
                <w:sz w:val="24"/>
                <w:szCs w:val="24"/>
              </w:rPr>
              <w:lastRenderedPageBreak/>
              <w:t xml:space="preserve">2 lentelė. 2018-2020 metų strateginio veiklos plano priemonė </w:t>
            </w:r>
            <w:r w:rsidR="009F7D43">
              <w:rPr>
                <w:b/>
                <w:bCs/>
                <w:sz w:val="24"/>
                <w:szCs w:val="24"/>
              </w:rPr>
              <w:t>„</w:t>
            </w:r>
            <w:r w:rsidRPr="009F7D43">
              <w:rPr>
                <w:b/>
                <w:bCs/>
                <w:sz w:val="24"/>
                <w:szCs w:val="24"/>
              </w:rPr>
              <w:t>Investicijų ir kiti projektai (prisidėti prie projektų iš savivaldybės biudžeto)</w:t>
            </w:r>
            <w:r w:rsidR="009F7D43">
              <w:rPr>
                <w:b/>
                <w:bCs/>
                <w:sz w:val="24"/>
                <w:szCs w:val="24"/>
              </w:rPr>
              <w:t>“</w:t>
            </w:r>
          </w:p>
          <w:p w:rsidR="00E7495D" w:rsidRPr="00ED5612" w:rsidRDefault="00E7495D" w:rsidP="006C644F">
            <w:pPr>
              <w:jc w:val="center"/>
              <w:rPr>
                <w:b/>
                <w:bCs/>
                <w:sz w:val="24"/>
                <w:szCs w:val="24"/>
              </w:rPr>
            </w:pPr>
          </w:p>
        </w:tc>
      </w:tr>
      <w:tr w:rsidR="00C03B8E" w:rsidRPr="00ED5612" w:rsidTr="00C03B8E">
        <w:trPr>
          <w:trHeight w:val="270"/>
        </w:trPr>
        <w:tc>
          <w:tcPr>
            <w:tcW w:w="520" w:type="dxa"/>
            <w:tcBorders>
              <w:top w:val="nil"/>
              <w:left w:val="nil"/>
              <w:bottom w:val="single" w:sz="4" w:space="0" w:color="auto"/>
              <w:right w:val="nil"/>
            </w:tcBorders>
            <w:noWrap/>
            <w:hideMark/>
          </w:tcPr>
          <w:p w:rsidR="00C03B8E" w:rsidRPr="00ED5612" w:rsidRDefault="00C03B8E" w:rsidP="00C03B8E">
            <w:pPr>
              <w:jc w:val="both"/>
              <w:rPr>
                <w:sz w:val="24"/>
                <w:szCs w:val="24"/>
              </w:rPr>
            </w:pPr>
          </w:p>
        </w:tc>
        <w:tc>
          <w:tcPr>
            <w:tcW w:w="8847" w:type="dxa"/>
            <w:gridSpan w:val="4"/>
            <w:tcBorders>
              <w:top w:val="nil"/>
              <w:left w:val="nil"/>
              <w:bottom w:val="single" w:sz="4" w:space="0" w:color="auto"/>
              <w:right w:val="nil"/>
            </w:tcBorders>
            <w:hideMark/>
          </w:tcPr>
          <w:p w:rsidR="00C03B8E" w:rsidRPr="00ED5612" w:rsidRDefault="00C03B8E" w:rsidP="00C03B8E">
            <w:pPr>
              <w:jc w:val="right"/>
              <w:rPr>
                <w:sz w:val="24"/>
                <w:szCs w:val="24"/>
              </w:rPr>
            </w:pPr>
            <w:proofErr w:type="spellStart"/>
            <w:r w:rsidRPr="00ED5612">
              <w:rPr>
                <w:sz w:val="24"/>
                <w:szCs w:val="24"/>
              </w:rPr>
              <w:t>tūkst.Eur</w:t>
            </w:r>
            <w:proofErr w:type="spellEnd"/>
          </w:p>
        </w:tc>
      </w:tr>
      <w:tr w:rsidR="00C03B8E" w:rsidRPr="00ED5612" w:rsidTr="00097EA4">
        <w:trPr>
          <w:trHeight w:val="510"/>
        </w:trPr>
        <w:tc>
          <w:tcPr>
            <w:tcW w:w="520" w:type="dxa"/>
            <w:vMerge w:val="restart"/>
            <w:tcBorders>
              <w:top w:val="single" w:sz="4" w:space="0" w:color="auto"/>
            </w:tcBorders>
            <w:vAlign w:val="center"/>
            <w:hideMark/>
          </w:tcPr>
          <w:p w:rsidR="00C03B8E" w:rsidRPr="006C6227" w:rsidRDefault="00C03B8E" w:rsidP="00097EA4">
            <w:pPr>
              <w:jc w:val="center"/>
              <w:rPr>
                <w:sz w:val="24"/>
                <w:szCs w:val="24"/>
              </w:rPr>
            </w:pPr>
            <w:r w:rsidRPr="006C6227">
              <w:rPr>
                <w:sz w:val="24"/>
                <w:szCs w:val="24"/>
              </w:rPr>
              <w:t>Eil.</w:t>
            </w:r>
          </w:p>
          <w:p w:rsidR="00C03B8E" w:rsidRPr="006C6227" w:rsidRDefault="00C03B8E" w:rsidP="00097EA4">
            <w:pPr>
              <w:jc w:val="center"/>
              <w:rPr>
                <w:sz w:val="24"/>
                <w:szCs w:val="24"/>
              </w:rPr>
            </w:pPr>
            <w:r w:rsidRPr="006C6227">
              <w:rPr>
                <w:sz w:val="24"/>
                <w:szCs w:val="24"/>
              </w:rPr>
              <w:t>Nr.</w:t>
            </w:r>
          </w:p>
        </w:tc>
        <w:tc>
          <w:tcPr>
            <w:tcW w:w="5853" w:type="dxa"/>
            <w:vMerge w:val="restart"/>
            <w:tcBorders>
              <w:top w:val="single" w:sz="4" w:space="0" w:color="auto"/>
            </w:tcBorders>
            <w:vAlign w:val="center"/>
            <w:hideMark/>
          </w:tcPr>
          <w:p w:rsidR="00C03B8E" w:rsidRPr="006C6227" w:rsidRDefault="00C03B8E" w:rsidP="00097EA4">
            <w:pPr>
              <w:jc w:val="center"/>
              <w:rPr>
                <w:sz w:val="24"/>
                <w:szCs w:val="24"/>
              </w:rPr>
            </w:pPr>
            <w:r w:rsidRPr="006C6227">
              <w:rPr>
                <w:sz w:val="24"/>
                <w:szCs w:val="24"/>
              </w:rPr>
              <w:t>Projekto pavadinimas</w:t>
            </w:r>
          </w:p>
        </w:tc>
        <w:tc>
          <w:tcPr>
            <w:tcW w:w="950" w:type="dxa"/>
            <w:vMerge w:val="restart"/>
            <w:tcBorders>
              <w:top w:val="single" w:sz="4" w:space="0" w:color="auto"/>
            </w:tcBorders>
            <w:vAlign w:val="center"/>
            <w:hideMark/>
          </w:tcPr>
          <w:p w:rsidR="00C03B8E" w:rsidRPr="006C6227" w:rsidRDefault="00C03B8E" w:rsidP="00097EA4">
            <w:pPr>
              <w:jc w:val="center"/>
              <w:rPr>
                <w:sz w:val="24"/>
                <w:szCs w:val="24"/>
              </w:rPr>
            </w:pPr>
            <w:r w:rsidRPr="006C6227">
              <w:rPr>
                <w:sz w:val="24"/>
                <w:szCs w:val="24"/>
              </w:rPr>
              <w:t>Planas, tvirtinant biudžetą</w:t>
            </w:r>
          </w:p>
        </w:tc>
        <w:tc>
          <w:tcPr>
            <w:tcW w:w="994" w:type="dxa"/>
            <w:vMerge w:val="restart"/>
            <w:tcBorders>
              <w:top w:val="single" w:sz="4" w:space="0" w:color="auto"/>
            </w:tcBorders>
            <w:vAlign w:val="center"/>
            <w:hideMark/>
          </w:tcPr>
          <w:p w:rsidR="00C03B8E" w:rsidRPr="006C6227" w:rsidRDefault="00C03B8E" w:rsidP="00097EA4">
            <w:pPr>
              <w:jc w:val="center"/>
              <w:rPr>
                <w:sz w:val="24"/>
                <w:szCs w:val="24"/>
              </w:rPr>
            </w:pPr>
            <w:r w:rsidRPr="006C6227">
              <w:rPr>
                <w:sz w:val="24"/>
                <w:szCs w:val="24"/>
              </w:rPr>
              <w:t>Planas metų pabaigoje</w:t>
            </w:r>
          </w:p>
        </w:tc>
        <w:tc>
          <w:tcPr>
            <w:tcW w:w="1050" w:type="dxa"/>
            <w:vMerge w:val="restart"/>
            <w:tcBorders>
              <w:top w:val="single" w:sz="4" w:space="0" w:color="auto"/>
            </w:tcBorders>
            <w:vAlign w:val="center"/>
            <w:hideMark/>
          </w:tcPr>
          <w:p w:rsidR="00C03B8E" w:rsidRPr="006C6227" w:rsidRDefault="00C03B8E" w:rsidP="00097EA4">
            <w:pPr>
              <w:jc w:val="center"/>
              <w:rPr>
                <w:sz w:val="24"/>
                <w:szCs w:val="24"/>
              </w:rPr>
            </w:pPr>
            <w:r w:rsidRPr="006C6227">
              <w:rPr>
                <w:sz w:val="24"/>
                <w:szCs w:val="24"/>
              </w:rPr>
              <w:t>Panaudota  per 2018 metus</w:t>
            </w:r>
          </w:p>
        </w:tc>
      </w:tr>
      <w:tr w:rsidR="00C03B8E" w:rsidRPr="00ED5612" w:rsidTr="00C03B8E">
        <w:trPr>
          <w:trHeight w:val="375"/>
        </w:trPr>
        <w:tc>
          <w:tcPr>
            <w:tcW w:w="520" w:type="dxa"/>
            <w:vMerge/>
            <w:hideMark/>
          </w:tcPr>
          <w:p w:rsidR="00C03B8E" w:rsidRPr="00ED5612" w:rsidRDefault="00C03B8E" w:rsidP="00C03B8E">
            <w:pPr>
              <w:jc w:val="both"/>
              <w:rPr>
                <w:sz w:val="24"/>
                <w:szCs w:val="24"/>
              </w:rPr>
            </w:pPr>
          </w:p>
        </w:tc>
        <w:tc>
          <w:tcPr>
            <w:tcW w:w="5853" w:type="dxa"/>
            <w:vMerge/>
            <w:hideMark/>
          </w:tcPr>
          <w:p w:rsidR="00C03B8E" w:rsidRPr="00ED5612" w:rsidRDefault="00C03B8E" w:rsidP="00C03B8E">
            <w:pPr>
              <w:jc w:val="both"/>
              <w:rPr>
                <w:sz w:val="24"/>
                <w:szCs w:val="24"/>
              </w:rPr>
            </w:pPr>
          </w:p>
        </w:tc>
        <w:tc>
          <w:tcPr>
            <w:tcW w:w="950" w:type="dxa"/>
            <w:vMerge/>
            <w:hideMark/>
          </w:tcPr>
          <w:p w:rsidR="00C03B8E" w:rsidRPr="00ED5612" w:rsidRDefault="00C03B8E" w:rsidP="00C03B8E">
            <w:pPr>
              <w:jc w:val="both"/>
              <w:rPr>
                <w:sz w:val="24"/>
                <w:szCs w:val="24"/>
              </w:rPr>
            </w:pPr>
          </w:p>
        </w:tc>
        <w:tc>
          <w:tcPr>
            <w:tcW w:w="994" w:type="dxa"/>
            <w:vMerge/>
            <w:hideMark/>
          </w:tcPr>
          <w:p w:rsidR="00C03B8E" w:rsidRPr="00ED5612" w:rsidRDefault="00C03B8E" w:rsidP="00C03B8E">
            <w:pPr>
              <w:jc w:val="both"/>
              <w:rPr>
                <w:sz w:val="24"/>
                <w:szCs w:val="24"/>
              </w:rPr>
            </w:pPr>
          </w:p>
        </w:tc>
        <w:tc>
          <w:tcPr>
            <w:tcW w:w="1050" w:type="dxa"/>
            <w:vMerge/>
            <w:hideMark/>
          </w:tcPr>
          <w:p w:rsidR="00C03B8E" w:rsidRPr="00ED5612" w:rsidRDefault="00C03B8E" w:rsidP="00C03B8E">
            <w:pPr>
              <w:jc w:val="both"/>
              <w:rPr>
                <w:sz w:val="24"/>
                <w:szCs w:val="24"/>
              </w:rPr>
            </w:pPr>
          </w:p>
        </w:tc>
      </w:tr>
      <w:tr w:rsidR="00947B2D" w:rsidRPr="00ED5612" w:rsidTr="00947B2D">
        <w:trPr>
          <w:trHeight w:val="170"/>
        </w:trPr>
        <w:tc>
          <w:tcPr>
            <w:tcW w:w="520" w:type="dxa"/>
            <w:noWrap/>
          </w:tcPr>
          <w:p w:rsidR="00947B2D" w:rsidRPr="006C6227" w:rsidRDefault="00947B2D" w:rsidP="00947B2D">
            <w:pPr>
              <w:jc w:val="center"/>
              <w:rPr>
                <w:sz w:val="24"/>
                <w:szCs w:val="24"/>
              </w:rPr>
            </w:pPr>
            <w:r w:rsidRPr="006C6227">
              <w:rPr>
                <w:sz w:val="24"/>
                <w:szCs w:val="24"/>
              </w:rPr>
              <w:t>1</w:t>
            </w:r>
          </w:p>
        </w:tc>
        <w:tc>
          <w:tcPr>
            <w:tcW w:w="5853" w:type="dxa"/>
          </w:tcPr>
          <w:p w:rsidR="00947B2D" w:rsidRPr="006C6227" w:rsidRDefault="00947B2D" w:rsidP="00947B2D">
            <w:pPr>
              <w:jc w:val="center"/>
              <w:rPr>
                <w:sz w:val="24"/>
                <w:szCs w:val="24"/>
              </w:rPr>
            </w:pPr>
            <w:r w:rsidRPr="006C6227">
              <w:rPr>
                <w:sz w:val="24"/>
                <w:szCs w:val="24"/>
              </w:rPr>
              <w:t>2</w:t>
            </w:r>
          </w:p>
        </w:tc>
        <w:tc>
          <w:tcPr>
            <w:tcW w:w="950" w:type="dxa"/>
          </w:tcPr>
          <w:p w:rsidR="00947B2D" w:rsidRPr="006C6227" w:rsidRDefault="00947B2D" w:rsidP="00947B2D">
            <w:pPr>
              <w:jc w:val="center"/>
              <w:rPr>
                <w:sz w:val="24"/>
                <w:szCs w:val="24"/>
              </w:rPr>
            </w:pPr>
            <w:r w:rsidRPr="006C6227">
              <w:rPr>
                <w:sz w:val="24"/>
                <w:szCs w:val="24"/>
              </w:rPr>
              <w:t>3</w:t>
            </w:r>
          </w:p>
        </w:tc>
        <w:tc>
          <w:tcPr>
            <w:tcW w:w="994" w:type="dxa"/>
            <w:noWrap/>
          </w:tcPr>
          <w:p w:rsidR="00947B2D" w:rsidRPr="006C6227" w:rsidRDefault="00947B2D" w:rsidP="00947B2D">
            <w:pPr>
              <w:jc w:val="center"/>
              <w:rPr>
                <w:sz w:val="24"/>
                <w:szCs w:val="24"/>
              </w:rPr>
            </w:pPr>
            <w:r w:rsidRPr="006C6227">
              <w:rPr>
                <w:sz w:val="24"/>
                <w:szCs w:val="24"/>
              </w:rPr>
              <w:t>4</w:t>
            </w:r>
          </w:p>
        </w:tc>
        <w:tc>
          <w:tcPr>
            <w:tcW w:w="1050" w:type="dxa"/>
            <w:noWrap/>
          </w:tcPr>
          <w:p w:rsidR="00947B2D" w:rsidRPr="006C6227" w:rsidRDefault="00947B2D" w:rsidP="00947B2D">
            <w:pPr>
              <w:jc w:val="center"/>
              <w:rPr>
                <w:sz w:val="24"/>
                <w:szCs w:val="24"/>
              </w:rPr>
            </w:pPr>
            <w:r w:rsidRPr="006C6227">
              <w:rPr>
                <w:sz w:val="24"/>
                <w:szCs w:val="24"/>
              </w:rPr>
              <w:t>5</w:t>
            </w:r>
          </w:p>
        </w:tc>
      </w:tr>
      <w:tr w:rsidR="00C03B8E" w:rsidRPr="00ED5612" w:rsidTr="006C6227">
        <w:trPr>
          <w:trHeight w:val="943"/>
        </w:trPr>
        <w:tc>
          <w:tcPr>
            <w:tcW w:w="520" w:type="dxa"/>
            <w:noWrap/>
            <w:hideMark/>
          </w:tcPr>
          <w:p w:rsidR="00C03B8E" w:rsidRPr="00ED5612" w:rsidRDefault="00C03B8E" w:rsidP="00C03B8E">
            <w:pPr>
              <w:jc w:val="both"/>
              <w:rPr>
                <w:sz w:val="24"/>
                <w:szCs w:val="24"/>
              </w:rPr>
            </w:pPr>
            <w:r w:rsidRPr="00ED5612">
              <w:rPr>
                <w:sz w:val="24"/>
                <w:szCs w:val="24"/>
              </w:rPr>
              <w:t>1.</w:t>
            </w:r>
          </w:p>
        </w:tc>
        <w:tc>
          <w:tcPr>
            <w:tcW w:w="5853" w:type="dxa"/>
            <w:hideMark/>
          </w:tcPr>
          <w:p w:rsidR="00C03B8E" w:rsidRPr="00ED5612" w:rsidRDefault="00C03B8E" w:rsidP="00187EBF">
            <w:pPr>
              <w:rPr>
                <w:sz w:val="24"/>
                <w:szCs w:val="24"/>
              </w:rPr>
            </w:pPr>
            <w:r w:rsidRPr="00ED5612">
              <w:rPr>
                <w:sz w:val="24"/>
                <w:szCs w:val="24"/>
              </w:rPr>
              <w:t>Visuomeninės paskirties pastato, esančio Telšių g.3, Alsėdžiuose, atnaujinimas ir pritaikymas kaimo bendruomenės poreikiams, socialinei ir kultūrinei veiklai</w:t>
            </w:r>
          </w:p>
        </w:tc>
        <w:tc>
          <w:tcPr>
            <w:tcW w:w="950" w:type="dxa"/>
            <w:hideMark/>
          </w:tcPr>
          <w:p w:rsidR="00C03B8E" w:rsidRPr="00ED5612" w:rsidRDefault="00C03B8E" w:rsidP="006C6227">
            <w:pPr>
              <w:jc w:val="center"/>
              <w:rPr>
                <w:sz w:val="24"/>
                <w:szCs w:val="24"/>
              </w:rPr>
            </w:pPr>
            <w:r w:rsidRPr="00ED5612">
              <w:rPr>
                <w:sz w:val="24"/>
                <w:szCs w:val="24"/>
              </w:rPr>
              <w:t>20,0</w:t>
            </w:r>
          </w:p>
        </w:tc>
        <w:tc>
          <w:tcPr>
            <w:tcW w:w="994" w:type="dxa"/>
            <w:noWrap/>
            <w:hideMark/>
          </w:tcPr>
          <w:p w:rsidR="00C03B8E" w:rsidRPr="00ED5612" w:rsidRDefault="00C03B8E" w:rsidP="006C6227">
            <w:pPr>
              <w:jc w:val="center"/>
              <w:rPr>
                <w:sz w:val="24"/>
                <w:szCs w:val="24"/>
              </w:rPr>
            </w:pPr>
            <w:r w:rsidRPr="00ED5612">
              <w:rPr>
                <w:sz w:val="24"/>
                <w:szCs w:val="24"/>
              </w:rPr>
              <w:t>0,0</w:t>
            </w:r>
          </w:p>
        </w:tc>
        <w:tc>
          <w:tcPr>
            <w:tcW w:w="1050" w:type="dxa"/>
            <w:noWrap/>
            <w:hideMark/>
          </w:tcPr>
          <w:p w:rsidR="00C03B8E" w:rsidRPr="00ED5612" w:rsidRDefault="00C03B8E" w:rsidP="006C6227">
            <w:pPr>
              <w:jc w:val="center"/>
              <w:rPr>
                <w:sz w:val="24"/>
                <w:szCs w:val="24"/>
              </w:rPr>
            </w:pPr>
            <w:r w:rsidRPr="00ED5612">
              <w:rPr>
                <w:sz w:val="24"/>
                <w:szCs w:val="24"/>
              </w:rPr>
              <w:t>0,0</w:t>
            </w:r>
          </w:p>
        </w:tc>
      </w:tr>
      <w:tr w:rsidR="00C03B8E" w:rsidRPr="00ED5612" w:rsidTr="006C6227">
        <w:trPr>
          <w:trHeight w:val="401"/>
        </w:trPr>
        <w:tc>
          <w:tcPr>
            <w:tcW w:w="520" w:type="dxa"/>
            <w:noWrap/>
            <w:hideMark/>
          </w:tcPr>
          <w:p w:rsidR="00C03B8E" w:rsidRPr="00ED5612" w:rsidRDefault="00C03B8E" w:rsidP="00C03B8E">
            <w:pPr>
              <w:jc w:val="both"/>
              <w:rPr>
                <w:sz w:val="24"/>
                <w:szCs w:val="24"/>
              </w:rPr>
            </w:pPr>
            <w:r w:rsidRPr="00ED5612">
              <w:rPr>
                <w:sz w:val="24"/>
                <w:szCs w:val="24"/>
              </w:rPr>
              <w:t>2.</w:t>
            </w:r>
          </w:p>
        </w:tc>
        <w:tc>
          <w:tcPr>
            <w:tcW w:w="5853" w:type="dxa"/>
            <w:hideMark/>
          </w:tcPr>
          <w:p w:rsidR="00C03B8E" w:rsidRPr="00ED5612" w:rsidRDefault="00C03B8E" w:rsidP="00187EBF">
            <w:pPr>
              <w:rPr>
                <w:sz w:val="24"/>
                <w:szCs w:val="24"/>
              </w:rPr>
            </w:pPr>
            <w:r w:rsidRPr="00ED5612">
              <w:rPr>
                <w:sz w:val="24"/>
                <w:szCs w:val="24"/>
              </w:rPr>
              <w:t xml:space="preserve">Poilsio ir pramogų zonos įrengimas </w:t>
            </w:r>
            <w:proofErr w:type="spellStart"/>
            <w:r w:rsidRPr="00ED5612">
              <w:rPr>
                <w:sz w:val="24"/>
                <w:szCs w:val="24"/>
              </w:rPr>
              <w:t>Prūsalių</w:t>
            </w:r>
            <w:proofErr w:type="spellEnd"/>
            <w:r w:rsidRPr="00ED5612">
              <w:rPr>
                <w:sz w:val="24"/>
                <w:szCs w:val="24"/>
              </w:rPr>
              <w:t xml:space="preserve"> kaime</w:t>
            </w:r>
          </w:p>
        </w:tc>
        <w:tc>
          <w:tcPr>
            <w:tcW w:w="950" w:type="dxa"/>
            <w:hideMark/>
          </w:tcPr>
          <w:p w:rsidR="00C03B8E" w:rsidRPr="00ED5612" w:rsidRDefault="00C03B8E" w:rsidP="006C6227">
            <w:pPr>
              <w:jc w:val="center"/>
              <w:rPr>
                <w:sz w:val="24"/>
                <w:szCs w:val="24"/>
              </w:rPr>
            </w:pPr>
            <w:r w:rsidRPr="00ED5612">
              <w:rPr>
                <w:sz w:val="24"/>
                <w:szCs w:val="24"/>
              </w:rPr>
              <w:t>15,7</w:t>
            </w:r>
          </w:p>
        </w:tc>
        <w:tc>
          <w:tcPr>
            <w:tcW w:w="994" w:type="dxa"/>
            <w:noWrap/>
            <w:hideMark/>
          </w:tcPr>
          <w:p w:rsidR="00C03B8E" w:rsidRPr="00ED5612" w:rsidRDefault="00C03B8E" w:rsidP="006C6227">
            <w:pPr>
              <w:jc w:val="center"/>
              <w:rPr>
                <w:sz w:val="24"/>
                <w:szCs w:val="24"/>
              </w:rPr>
            </w:pPr>
            <w:r w:rsidRPr="00ED5612">
              <w:rPr>
                <w:sz w:val="24"/>
                <w:szCs w:val="24"/>
              </w:rPr>
              <w:t>15,7</w:t>
            </w:r>
          </w:p>
        </w:tc>
        <w:tc>
          <w:tcPr>
            <w:tcW w:w="1050" w:type="dxa"/>
            <w:noWrap/>
            <w:hideMark/>
          </w:tcPr>
          <w:p w:rsidR="00C03B8E" w:rsidRPr="00ED5612" w:rsidRDefault="00C03B8E" w:rsidP="006C6227">
            <w:pPr>
              <w:jc w:val="center"/>
              <w:rPr>
                <w:sz w:val="24"/>
                <w:szCs w:val="24"/>
              </w:rPr>
            </w:pPr>
            <w:r w:rsidRPr="00ED5612">
              <w:rPr>
                <w:sz w:val="24"/>
                <w:szCs w:val="24"/>
              </w:rPr>
              <w:t>15,3</w:t>
            </w:r>
          </w:p>
        </w:tc>
      </w:tr>
      <w:tr w:rsidR="00C03B8E" w:rsidRPr="00ED5612" w:rsidTr="00C03B8E">
        <w:trPr>
          <w:trHeight w:val="570"/>
        </w:trPr>
        <w:tc>
          <w:tcPr>
            <w:tcW w:w="520" w:type="dxa"/>
            <w:noWrap/>
            <w:hideMark/>
          </w:tcPr>
          <w:p w:rsidR="00C03B8E" w:rsidRPr="00ED5612" w:rsidRDefault="00C03B8E" w:rsidP="00C03B8E">
            <w:pPr>
              <w:jc w:val="both"/>
              <w:rPr>
                <w:sz w:val="24"/>
                <w:szCs w:val="24"/>
              </w:rPr>
            </w:pPr>
            <w:r w:rsidRPr="00ED5612">
              <w:rPr>
                <w:sz w:val="24"/>
                <w:szCs w:val="24"/>
              </w:rPr>
              <w:t>3.</w:t>
            </w:r>
          </w:p>
        </w:tc>
        <w:tc>
          <w:tcPr>
            <w:tcW w:w="5853" w:type="dxa"/>
            <w:hideMark/>
          </w:tcPr>
          <w:p w:rsidR="00187EBF" w:rsidRPr="00ED5612" w:rsidRDefault="00C03B8E" w:rsidP="00D45A3B">
            <w:pPr>
              <w:rPr>
                <w:sz w:val="24"/>
                <w:szCs w:val="24"/>
              </w:rPr>
            </w:pPr>
            <w:r w:rsidRPr="00ED5612">
              <w:rPr>
                <w:sz w:val="24"/>
                <w:szCs w:val="24"/>
              </w:rPr>
              <w:t xml:space="preserve">Mokyklos stadiono rekonstrukcija-universalios aikštelės įrengimas mokyklos ir bendruomenės poreikiams </w:t>
            </w:r>
          </w:p>
        </w:tc>
        <w:tc>
          <w:tcPr>
            <w:tcW w:w="950" w:type="dxa"/>
            <w:hideMark/>
          </w:tcPr>
          <w:p w:rsidR="00C03B8E" w:rsidRPr="00ED5612" w:rsidRDefault="00C03B8E" w:rsidP="006C6227">
            <w:pPr>
              <w:jc w:val="center"/>
              <w:rPr>
                <w:sz w:val="24"/>
                <w:szCs w:val="24"/>
              </w:rPr>
            </w:pPr>
            <w:r w:rsidRPr="00ED5612">
              <w:rPr>
                <w:sz w:val="24"/>
                <w:szCs w:val="24"/>
              </w:rPr>
              <w:t>15,7</w:t>
            </w:r>
          </w:p>
        </w:tc>
        <w:tc>
          <w:tcPr>
            <w:tcW w:w="994" w:type="dxa"/>
            <w:noWrap/>
            <w:hideMark/>
          </w:tcPr>
          <w:p w:rsidR="00C03B8E" w:rsidRPr="00ED5612" w:rsidRDefault="00C03B8E" w:rsidP="006C6227">
            <w:pPr>
              <w:jc w:val="center"/>
              <w:rPr>
                <w:sz w:val="24"/>
                <w:szCs w:val="24"/>
              </w:rPr>
            </w:pPr>
            <w:r w:rsidRPr="00ED5612">
              <w:rPr>
                <w:sz w:val="24"/>
                <w:szCs w:val="24"/>
              </w:rPr>
              <w:t>18,2</w:t>
            </w:r>
          </w:p>
        </w:tc>
        <w:tc>
          <w:tcPr>
            <w:tcW w:w="1050" w:type="dxa"/>
            <w:noWrap/>
            <w:hideMark/>
          </w:tcPr>
          <w:p w:rsidR="00C03B8E" w:rsidRPr="00ED5612" w:rsidRDefault="00C03B8E" w:rsidP="006C6227">
            <w:pPr>
              <w:jc w:val="center"/>
              <w:rPr>
                <w:sz w:val="24"/>
                <w:szCs w:val="24"/>
              </w:rPr>
            </w:pPr>
            <w:r w:rsidRPr="00ED5612">
              <w:rPr>
                <w:sz w:val="24"/>
                <w:szCs w:val="24"/>
              </w:rPr>
              <w:t>18,2</w:t>
            </w:r>
          </w:p>
        </w:tc>
      </w:tr>
      <w:tr w:rsidR="00C03B8E" w:rsidRPr="00ED5612" w:rsidTr="00D45A3B">
        <w:trPr>
          <w:trHeight w:val="240"/>
        </w:trPr>
        <w:tc>
          <w:tcPr>
            <w:tcW w:w="520" w:type="dxa"/>
            <w:noWrap/>
            <w:hideMark/>
          </w:tcPr>
          <w:p w:rsidR="00C03B8E" w:rsidRPr="00ED5612" w:rsidRDefault="00C03B8E" w:rsidP="00C03B8E">
            <w:pPr>
              <w:jc w:val="both"/>
              <w:rPr>
                <w:sz w:val="24"/>
                <w:szCs w:val="24"/>
              </w:rPr>
            </w:pPr>
            <w:r w:rsidRPr="00ED5612">
              <w:rPr>
                <w:sz w:val="24"/>
                <w:szCs w:val="24"/>
              </w:rPr>
              <w:t>4.</w:t>
            </w:r>
          </w:p>
        </w:tc>
        <w:tc>
          <w:tcPr>
            <w:tcW w:w="5853" w:type="dxa"/>
            <w:hideMark/>
          </w:tcPr>
          <w:p w:rsidR="00C03B8E" w:rsidRPr="00ED5612" w:rsidRDefault="00C03B8E" w:rsidP="00187EBF">
            <w:pPr>
              <w:rPr>
                <w:sz w:val="24"/>
                <w:szCs w:val="24"/>
              </w:rPr>
            </w:pPr>
            <w:r w:rsidRPr="00ED5612">
              <w:rPr>
                <w:sz w:val="24"/>
                <w:szCs w:val="24"/>
              </w:rPr>
              <w:t xml:space="preserve">Socialinio būsto  plėtra Plungės rajone </w:t>
            </w:r>
          </w:p>
        </w:tc>
        <w:tc>
          <w:tcPr>
            <w:tcW w:w="950" w:type="dxa"/>
            <w:hideMark/>
          </w:tcPr>
          <w:p w:rsidR="00C03B8E" w:rsidRPr="00ED5612" w:rsidRDefault="00C03B8E" w:rsidP="006C6227">
            <w:pPr>
              <w:jc w:val="center"/>
              <w:rPr>
                <w:sz w:val="24"/>
                <w:szCs w:val="24"/>
              </w:rPr>
            </w:pPr>
            <w:r w:rsidRPr="00ED5612">
              <w:rPr>
                <w:sz w:val="24"/>
                <w:szCs w:val="24"/>
              </w:rPr>
              <w:t>37,0</w:t>
            </w:r>
          </w:p>
        </w:tc>
        <w:tc>
          <w:tcPr>
            <w:tcW w:w="994" w:type="dxa"/>
            <w:noWrap/>
            <w:hideMark/>
          </w:tcPr>
          <w:p w:rsidR="00C03B8E" w:rsidRPr="00ED5612" w:rsidRDefault="00C03B8E" w:rsidP="006C6227">
            <w:pPr>
              <w:jc w:val="center"/>
              <w:rPr>
                <w:sz w:val="24"/>
                <w:szCs w:val="24"/>
              </w:rPr>
            </w:pPr>
            <w:r w:rsidRPr="00ED5612">
              <w:rPr>
                <w:sz w:val="24"/>
                <w:szCs w:val="24"/>
              </w:rPr>
              <w:t>11,9</w:t>
            </w:r>
          </w:p>
        </w:tc>
        <w:tc>
          <w:tcPr>
            <w:tcW w:w="1050" w:type="dxa"/>
            <w:noWrap/>
            <w:hideMark/>
          </w:tcPr>
          <w:p w:rsidR="00C03B8E" w:rsidRPr="00ED5612" w:rsidRDefault="00C03B8E" w:rsidP="006C6227">
            <w:pPr>
              <w:jc w:val="center"/>
              <w:rPr>
                <w:sz w:val="24"/>
                <w:szCs w:val="24"/>
              </w:rPr>
            </w:pPr>
            <w:r w:rsidRPr="00ED5612">
              <w:rPr>
                <w:sz w:val="24"/>
                <w:szCs w:val="24"/>
              </w:rPr>
              <w:t>11,8</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5.</w:t>
            </w:r>
          </w:p>
        </w:tc>
        <w:tc>
          <w:tcPr>
            <w:tcW w:w="5853" w:type="dxa"/>
            <w:hideMark/>
          </w:tcPr>
          <w:p w:rsidR="004E5E06" w:rsidRPr="00ED5612" w:rsidRDefault="00C03B8E" w:rsidP="00D45A3B">
            <w:pPr>
              <w:rPr>
                <w:sz w:val="24"/>
                <w:szCs w:val="24"/>
              </w:rPr>
            </w:pPr>
            <w:r w:rsidRPr="00ED5612">
              <w:rPr>
                <w:sz w:val="24"/>
                <w:szCs w:val="24"/>
              </w:rPr>
              <w:t>Kulių miestelio inžinerinių statinių ir viešųjų erdvių sutvarkymas</w:t>
            </w:r>
          </w:p>
        </w:tc>
        <w:tc>
          <w:tcPr>
            <w:tcW w:w="950" w:type="dxa"/>
            <w:hideMark/>
          </w:tcPr>
          <w:p w:rsidR="00C03B8E" w:rsidRPr="00ED5612" w:rsidRDefault="00C03B8E" w:rsidP="006C6227">
            <w:pPr>
              <w:jc w:val="center"/>
              <w:rPr>
                <w:sz w:val="24"/>
                <w:szCs w:val="24"/>
              </w:rPr>
            </w:pPr>
            <w:r w:rsidRPr="00ED5612">
              <w:rPr>
                <w:sz w:val="24"/>
                <w:szCs w:val="24"/>
              </w:rPr>
              <w:t>20,0</w:t>
            </w:r>
          </w:p>
        </w:tc>
        <w:tc>
          <w:tcPr>
            <w:tcW w:w="994" w:type="dxa"/>
            <w:noWrap/>
            <w:hideMark/>
          </w:tcPr>
          <w:p w:rsidR="00C03B8E" w:rsidRPr="00ED5612" w:rsidRDefault="00C03B8E" w:rsidP="006C6227">
            <w:pPr>
              <w:jc w:val="center"/>
              <w:rPr>
                <w:sz w:val="24"/>
                <w:szCs w:val="24"/>
              </w:rPr>
            </w:pPr>
            <w:r w:rsidRPr="00ED5612">
              <w:rPr>
                <w:sz w:val="24"/>
                <w:szCs w:val="24"/>
              </w:rPr>
              <w:t>0,0</w:t>
            </w:r>
          </w:p>
        </w:tc>
        <w:tc>
          <w:tcPr>
            <w:tcW w:w="1050" w:type="dxa"/>
            <w:noWrap/>
            <w:hideMark/>
          </w:tcPr>
          <w:p w:rsidR="00C03B8E" w:rsidRPr="00ED5612" w:rsidRDefault="00C03B8E" w:rsidP="006C6227">
            <w:pPr>
              <w:jc w:val="center"/>
              <w:rPr>
                <w:sz w:val="24"/>
                <w:szCs w:val="24"/>
              </w:rPr>
            </w:pPr>
            <w:r w:rsidRPr="00ED5612">
              <w:rPr>
                <w:sz w:val="24"/>
                <w:szCs w:val="24"/>
              </w:rPr>
              <w:t>0,0</w:t>
            </w:r>
          </w:p>
        </w:tc>
      </w:tr>
      <w:tr w:rsidR="00C03B8E" w:rsidRPr="00ED5612" w:rsidTr="00D45A3B">
        <w:trPr>
          <w:trHeight w:val="536"/>
        </w:trPr>
        <w:tc>
          <w:tcPr>
            <w:tcW w:w="520" w:type="dxa"/>
            <w:noWrap/>
            <w:hideMark/>
          </w:tcPr>
          <w:p w:rsidR="00C03B8E" w:rsidRPr="00ED5612" w:rsidRDefault="00C03B8E" w:rsidP="00C03B8E">
            <w:pPr>
              <w:jc w:val="both"/>
              <w:rPr>
                <w:sz w:val="24"/>
                <w:szCs w:val="24"/>
              </w:rPr>
            </w:pPr>
            <w:r w:rsidRPr="00ED5612">
              <w:rPr>
                <w:sz w:val="24"/>
                <w:szCs w:val="24"/>
              </w:rPr>
              <w:t>6.</w:t>
            </w:r>
          </w:p>
        </w:tc>
        <w:tc>
          <w:tcPr>
            <w:tcW w:w="5853" w:type="dxa"/>
            <w:hideMark/>
          </w:tcPr>
          <w:p w:rsidR="00C03B8E" w:rsidRPr="009F7D43" w:rsidRDefault="00C03B8E" w:rsidP="009F7D43">
            <w:pPr>
              <w:rPr>
                <w:sz w:val="24"/>
                <w:szCs w:val="24"/>
              </w:rPr>
            </w:pPr>
            <w:r w:rsidRPr="00ED5612">
              <w:rPr>
                <w:sz w:val="24"/>
                <w:szCs w:val="24"/>
              </w:rPr>
              <w:t xml:space="preserve">Modernių kūrybiškumą skatinančių erdvių kūrimas Plungės </w:t>
            </w:r>
            <w:r w:rsidR="009F7D43">
              <w:rPr>
                <w:sz w:val="24"/>
                <w:szCs w:val="24"/>
              </w:rPr>
              <w:t>„</w:t>
            </w:r>
            <w:r w:rsidRPr="009F7D43">
              <w:rPr>
                <w:sz w:val="24"/>
                <w:szCs w:val="24"/>
              </w:rPr>
              <w:t>Saulės</w:t>
            </w:r>
            <w:r w:rsidR="009F7D43">
              <w:rPr>
                <w:sz w:val="24"/>
                <w:szCs w:val="24"/>
              </w:rPr>
              <w:t>“</w:t>
            </w:r>
            <w:r w:rsidRPr="009F7D43">
              <w:rPr>
                <w:sz w:val="24"/>
                <w:szCs w:val="24"/>
              </w:rPr>
              <w:t xml:space="preserve"> gimnazijoje</w:t>
            </w:r>
          </w:p>
        </w:tc>
        <w:tc>
          <w:tcPr>
            <w:tcW w:w="950" w:type="dxa"/>
            <w:hideMark/>
          </w:tcPr>
          <w:p w:rsidR="00C03B8E" w:rsidRPr="00ED5612" w:rsidRDefault="00C03B8E" w:rsidP="006C6227">
            <w:pPr>
              <w:jc w:val="center"/>
              <w:rPr>
                <w:sz w:val="24"/>
                <w:szCs w:val="24"/>
              </w:rPr>
            </w:pPr>
            <w:r w:rsidRPr="00ED5612">
              <w:rPr>
                <w:sz w:val="24"/>
                <w:szCs w:val="24"/>
              </w:rPr>
              <w:t>17,7</w:t>
            </w:r>
          </w:p>
        </w:tc>
        <w:tc>
          <w:tcPr>
            <w:tcW w:w="994" w:type="dxa"/>
            <w:noWrap/>
            <w:hideMark/>
          </w:tcPr>
          <w:p w:rsidR="00C03B8E" w:rsidRPr="00ED5612" w:rsidRDefault="00C03B8E" w:rsidP="006C6227">
            <w:pPr>
              <w:jc w:val="center"/>
              <w:rPr>
                <w:sz w:val="24"/>
                <w:szCs w:val="24"/>
              </w:rPr>
            </w:pPr>
            <w:r w:rsidRPr="00ED5612">
              <w:rPr>
                <w:sz w:val="24"/>
                <w:szCs w:val="24"/>
              </w:rPr>
              <w:t>5,8</w:t>
            </w:r>
          </w:p>
        </w:tc>
        <w:tc>
          <w:tcPr>
            <w:tcW w:w="1050" w:type="dxa"/>
            <w:noWrap/>
            <w:hideMark/>
          </w:tcPr>
          <w:p w:rsidR="00C03B8E" w:rsidRPr="00ED5612" w:rsidRDefault="00C03B8E" w:rsidP="006C6227">
            <w:pPr>
              <w:jc w:val="center"/>
              <w:rPr>
                <w:sz w:val="24"/>
                <w:szCs w:val="24"/>
              </w:rPr>
            </w:pPr>
            <w:r w:rsidRPr="00ED5612">
              <w:rPr>
                <w:sz w:val="24"/>
                <w:szCs w:val="24"/>
              </w:rPr>
              <w:t>5,4</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7.</w:t>
            </w:r>
          </w:p>
        </w:tc>
        <w:tc>
          <w:tcPr>
            <w:tcW w:w="5853" w:type="dxa"/>
            <w:hideMark/>
          </w:tcPr>
          <w:p w:rsidR="00C03B8E" w:rsidRPr="00ED5612" w:rsidRDefault="00C03B8E" w:rsidP="00187EBF">
            <w:pPr>
              <w:rPr>
                <w:sz w:val="24"/>
                <w:szCs w:val="24"/>
              </w:rPr>
            </w:pPr>
            <w:r w:rsidRPr="00ED5612">
              <w:rPr>
                <w:sz w:val="24"/>
                <w:szCs w:val="24"/>
              </w:rPr>
              <w:t xml:space="preserve">Žemaitijos regiono tradicijų sklaida </w:t>
            </w:r>
            <w:proofErr w:type="spellStart"/>
            <w:r w:rsidRPr="00ED5612">
              <w:rPr>
                <w:sz w:val="24"/>
                <w:szCs w:val="24"/>
              </w:rPr>
              <w:t>e.rinkodaros</w:t>
            </w:r>
            <w:proofErr w:type="spellEnd"/>
            <w:r w:rsidRPr="00ED5612">
              <w:rPr>
                <w:sz w:val="24"/>
                <w:szCs w:val="24"/>
              </w:rPr>
              <w:t xml:space="preserve"> priemonėmis</w:t>
            </w:r>
          </w:p>
        </w:tc>
        <w:tc>
          <w:tcPr>
            <w:tcW w:w="950" w:type="dxa"/>
            <w:noWrap/>
            <w:hideMark/>
          </w:tcPr>
          <w:p w:rsidR="00C03B8E" w:rsidRPr="00ED5612" w:rsidRDefault="00C03B8E" w:rsidP="006C6227">
            <w:pPr>
              <w:jc w:val="center"/>
              <w:rPr>
                <w:sz w:val="24"/>
                <w:szCs w:val="24"/>
              </w:rPr>
            </w:pPr>
            <w:r w:rsidRPr="00ED5612">
              <w:rPr>
                <w:sz w:val="24"/>
                <w:szCs w:val="24"/>
              </w:rPr>
              <w:t>20,0</w:t>
            </w:r>
          </w:p>
        </w:tc>
        <w:tc>
          <w:tcPr>
            <w:tcW w:w="994" w:type="dxa"/>
            <w:noWrap/>
            <w:hideMark/>
          </w:tcPr>
          <w:p w:rsidR="00C03B8E" w:rsidRPr="00ED5612" w:rsidRDefault="00C03B8E" w:rsidP="006C6227">
            <w:pPr>
              <w:jc w:val="center"/>
              <w:rPr>
                <w:sz w:val="24"/>
                <w:szCs w:val="24"/>
              </w:rPr>
            </w:pPr>
            <w:r w:rsidRPr="00ED5612">
              <w:rPr>
                <w:sz w:val="24"/>
                <w:szCs w:val="24"/>
              </w:rPr>
              <w:t>7,4</w:t>
            </w:r>
          </w:p>
        </w:tc>
        <w:tc>
          <w:tcPr>
            <w:tcW w:w="1050" w:type="dxa"/>
            <w:noWrap/>
            <w:hideMark/>
          </w:tcPr>
          <w:p w:rsidR="00C03B8E" w:rsidRPr="00ED5612" w:rsidRDefault="00C03B8E" w:rsidP="006C6227">
            <w:pPr>
              <w:jc w:val="center"/>
              <w:rPr>
                <w:sz w:val="24"/>
                <w:szCs w:val="24"/>
              </w:rPr>
            </w:pPr>
            <w:r w:rsidRPr="00ED5612">
              <w:rPr>
                <w:sz w:val="24"/>
                <w:szCs w:val="24"/>
              </w:rPr>
              <w:t>4,2</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8.</w:t>
            </w:r>
          </w:p>
        </w:tc>
        <w:tc>
          <w:tcPr>
            <w:tcW w:w="5853" w:type="dxa"/>
            <w:hideMark/>
          </w:tcPr>
          <w:p w:rsidR="00C03B8E" w:rsidRPr="00ED5612" w:rsidRDefault="00C03B8E" w:rsidP="00187EBF">
            <w:pPr>
              <w:rPr>
                <w:sz w:val="24"/>
                <w:szCs w:val="24"/>
              </w:rPr>
            </w:pPr>
            <w:r w:rsidRPr="00ED5612">
              <w:rPr>
                <w:sz w:val="24"/>
                <w:szCs w:val="24"/>
              </w:rPr>
              <w:t>Žemaitijos istorinio-religinio kelio sklaida e. rinkodaros priemonėmis</w:t>
            </w:r>
          </w:p>
        </w:tc>
        <w:tc>
          <w:tcPr>
            <w:tcW w:w="950" w:type="dxa"/>
            <w:noWrap/>
            <w:hideMark/>
          </w:tcPr>
          <w:p w:rsidR="00C03B8E" w:rsidRPr="00ED5612" w:rsidRDefault="00C03B8E" w:rsidP="006C6227">
            <w:pPr>
              <w:jc w:val="center"/>
              <w:rPr>
                <w:sz w:val="24"/>
                <w:szCs w:val="24"/>
              </w:rPr>
            </w:pPr>
            <w:r w:rsidRPr="00ED5612">
              <w:rPr>
                <w:sz w:val="24"/>
                <w:szCs w:val="24"/>
              </w:rPr>
              <w:t>6,0</w:t>
            </w:r>
          </w:p>
        </w:tc>
        <w:tc>
          <w:tcPr>
            <w:tcW w:w="994" w:type="dxa"/>
            <w:noWrap/>
            <w:hideMark/>
          </w:tcPr>
          <w:p w:rsidR="00C03B8E" w:rsidRPr="00ED5612" w:rsidRDefault="00C03B8E" w:rsidP="006C6227">
            <w:pPr>
              <w:jc w:val="center"/>
              <w:rPr>
                <w:sz w:val="24"/>
                <w:szCs w:val="24"/>
              </w:rPr>
            </w:pPr>
            <w:r w:rsidRPr="00ED5612">
              <w:rPr>
                <w:sz w:val="24"/>
                <w:szCs w:val="24"/>
              </w:rPr>
              <w:t>2,9</w:t>
            </w:r>
          </w:p>
        </w:tc>
        <w:tc>
          <w:tcPr>
            <w:tcW w:w="1050" w:type="dxa"/>
            <w:noWrap/>
            <w:hideMark/>
          </w:tcPr>
          <w:p w:rsidR="00C03B8E" w:rsidRPr="00ED5612" w:rsidRDefault="00C03B8E" w:rsidP="006C6227">
            <w:pPr>
              <w:jc w:val="center"/>
              <w:rPr>
                <w:sz w:val="24"/>
                <w:szCs w:val="24"/>
              </w:rPr>
            </w:pPr>
            <w:r w:rsidRPr="00ED5612">
              <w:rPr>
                <w:sz w:val="24"/>
                <w:szCs w:val="24"/>
              </w:rPr>
              <w:t>2,8</w:t>
            </w:r>
          </w:p>
        </w:tc>
      </w:tr>
      <w:tr w:rsidR="00C03B8E" w:rsidRPr="00ED5612" w:rsidTr="00D45A3B">
        <w:trPr>
          <w:trHeight w:val="262"/>
        </w:trPr>
        <w:tc>
          <w:tcPr>
            <w:tcW w:w="520" w:type="dxa"/>
            <w:noWrap/>
            <w:hideMark/>
          </w:tcPr>
          <w:p w:rsidR="00C03B8E" w:rsidRPr="00ED5612" w:rsidRDefault="00C03B8E" w:rsidP="00C03B8E">
            <w:pPr>
              <w:jc w:val="both"/>
              <w:rPr>
                <w:sz w:val="24"/>
                <w:szCs w:val="24"/>
              </w:rPr>
            </w:pPr>
            <w:r w:rsidRPr="00ED5612">
              <w:rPr>
                <w:sz w:val="24"/>
                <w:szCs w:val="24"/>
              </w:rPr>
              <w:t>9.</w:t>
            </w:r>
          </w:p>
        </w:tc>
        <w:tc>
          <w:tcPr>
            <w:tcW w:w="5853" w:type="dxa"/>
            <w:hideMark/>
          </w:tcPr>
          <w:p w:rsidR="00C03B8E" w:rsidRPr="00ED5612" w:rsidRDefault="00C03B8E" w:rsidP="00187EBF">
            <w:pPr>
              <w:rPr>
                <w:sz w:val="24"/>
                <w:szCs w:val="24"/>
              </w:rPr>
            </w:pPr>
            <w:r w:rsidRPr="00ED5612">
              <w:rPr>
                <w:sz w:val="24"/>
                <w:szCs w:val="24"/>
              </w:rPr>
              <w:t xml:space="preserve">Gynybinio ir gamtos paveldo keliai </w:t>
            </w:r>
          </w:p>
        </w:tc>
        <w:tc>
          <w:tcPr>
            <w:tcW w:w="950" w:type="dxa"/>
            <w:hideMark/>
          </w:tcPr>
          <w:p w:rsidR="00C03B8E" w:rsidRPr="00ED5612" w:rsidRDefault="00C03B8E" w:rsidP="006C6227">
            <w:pPr>
              <w:jc w:val="center"/>
              <w:rPr>
                <w:sz w:val="24"/>
                <w:szCs w:val="24"/>
              </w:rPr>
            </w:pPr>
            <w:r w:rsidRPr="00ED5612">
              <w:rPr>
                <w:sz w:val="24"/>
                <w:szCs w:val="24"/>
              </w:rPr>
              <w:t>6,7</w:t>
            </w:r>
          </w:p>
        </w:tc>
        <w:tc>
          <w:tcPr>
            <w:tcW w:w="994" w:type="dxa"/>
            <w:noWrap/>
            <w:hideMark/>
          </w:tcPr>
          <w:p w:rsidR="00C03B8E" w:rsidRPr="00ED5612" w:rsidRDefault="00C03B8E" w:rsidP="006C6227">
            <w:pPr>
              <w:jc w:val="center"/>
              <w:rPr>
                <w:sz w:val="24"/>
                <w:szCs w:val="24"/>
              </w:rPr>
            </w:pPr>
            <w:r w:rsidRPr="00ED5612">
              <w:rPr>
                <w:sz w:val="24"/>
                <w:szCs w:val="24"/>
              </w:rPr>
              <w:t>1,3</w:t>
            </w:r>
          </w:p>
        </w:tc>
        <w:tc>
          <w:tcPr>
            <w:tcW w:w="1050" w:type="dxa"/>
            <w:noWrap/>
            <w:hideMark/>
          </w:tcPr>
          <w:p w:rsidR="00C03B8E" w:rsidRPr="00ED5612" w:rsidRDefault="00C03B8E" w:rsidP="006C6227">
            <w:pPr>
              <w:jc w:val="center"/>
              <w:rPr>
                <w:sz w:val="24"/>
                <w:szCs w:val="24"/>
              </w:rPr>
            </w:pPr>
            <w:r w:rsidRPr="00ED5612">
              <w:rPr>
                <w:sz w:val="24"/>
                <w:szCs w:val="24"/>
              </w:rPr>
              <w:t>1,2</w:t>
            </w:r>
          </w:p>
        </w:tc>
      </w:tr>
      <w:tr w:rsidR="00C03B8E" w:rsidRPr="00ED5612" w:rsidTr="00D45A3B">
        <w:trPr>
          <w:trHeight w:val="252"/>
        </w:trPr>
        <w:tc>
          <w:tcPr>
            <w:tcW w:w="520" w:type="dxa"/>
            <w:noWrap/>
            <w:hideMark/>
          </w:tcPr>
          <w:p w:rsidR="00C03B8E" w:rsidRPr="00ED5612" w:rsidRDefault="00C03B8E" w:rsidP="00C03B8E">
            <w:pPr>
              <w:jc w:val="both"/>
              <w:rPr>
                <w:sz w:val="24"/>
                <w:szCs w:val="24"/>
              </w:rPr>
            </w:pPr>
            <w:r w:rsidRPr="00ED5612">
              <w:rPr>
                <w:sz w:val="24"/>
                <w:szCs w:val="24"/>
              </w:rPr>
              <w:t>10.</w:t>
            </w:r>
          </w:p>
        </w:tc>
        <w:tc>
          <w:tcPr>
            <w:tcW w:w="5853" w:type="dxa"/>
            <w:hideMark/>
          </w:tcPr>
          <w:p w:rsidR="00C03B8E" w:rsidRPr="00ED5612" w:rsidRDefault="00C03B8E" w:rsidP="00187EBF">
            <w:pPr>
              <w:rPr>
                <w:sz w:val="24"/>
                <w:szCs w:val="24"/>
              </w:rPr>
            </w:pPr>
            <w:r w:rsidRPr="00ED5612">
              <w:rPr>
                <w:sz w:val="24"/>
                <w:szCs w:val="24"/>
              </w:rPr>
              <w:t xml:space="preserve">Lietuvos tarpukario (1918-1940) architektūra </w:t>
            </w:r>
          </w:p>
        </w:tc>
        <w:tc>
          <w:tcPr>
            <w:tcW w:w="950" w:type="dxa"/>
            <w:noWrap/>
            <w:hideMark/>
          </w:tcPr>
          <w:p w:rsidR="00C03B8E" w:rsidRPr="00ED5612" w:rsidRDefault="00C03B8E" w:rsidP="006C6227">
            <w:pPr>
              <w:jc w:val="center"/>
              <w:rPr>
                <w:sz w:val="24"/>
                <w:szCs w:val="24"/>
              </w:rPr>
            </w:pPr>
            <w:r w:rsidRPr="00ED5612">
              <w:rPr>
                <w:sz w:val="24"/>
                <w:szCs w:val="24"/>
              </w:rPr>
              <w:t>1,7</w:t>
            </w:r>
          </w:p>
        </w:tc>
        <w:tc>
          <w:tcPr>
            <w:tcW w:w="994" w:type="dxa"/>
            <w:noWrap/>
            <w:hideMark/>
          </w:tcPr>
          <w:p w:rsidR="00C03B8E" w:rsidRPr="00ED5612" w:rsidRDefault="00C03B8E" w:rsidP="006C6227">
            <w:pPr>
              <w:jc w:val="center"/>
              <w:rPr>
                <w:sz w:val="24"/>
                <w:szCs w:val="24"/>
              </w:rPr>
            </w:pPr>
            <w:r w:rsidRPr="00ED5612">
              <w:rPr>
                <w:sz w:val="24"/>
                <w:szCs w:val="24"/>
              </w:rPr>
              <w:t>0,3</w:t>
            </w:r>
          </w:p>
        </w:tc>
        <w:tc>
          <w:tcPr>
            <w:tcW w:w="1050" w:type="dxa"/>
            <w:noWrap/>
            <w:hideMark/>
          </w:tcPr>
          <w:p w:rsidR="00C03B8E" w:rsidRPr="00ED5612" w:rsidRDefault="00C03B8E" w:rsidP="006C6227">
            <w:pPr>
              <w:jc w:val="center"/>
              <w:rPr>
                <w:sz w:val="24"/>
                <w:szCs w:val="24"/>
              </w:rPr>
            </w:pPr>
            <w:r w:rsidRPr="00ED5612">
              <w:rPr>
                <w:sz w:val="24"/>
                <w:szCs w:val="24"/>
              </w:rPr>
              <w:t>0,3</w:t>
            </w:r>
          </w:p>
        </w:tc>
      </w:tr>
      <w:tr w:rsidR="00C03B8E" w:rsidRPr="00ED5612" w:rsidTr="00D45A3B">
        <w:trPr>
          <w:trHeight w:val="540"/>
        </w:trPr>
        <w:tc>
          <w:tcPr>
            <w:tcW w:w="520" w:type="dxa"/>
            <w:noWrap/>
            <w:hideMark/>
          </w:tcPr>
          <w:p w:rsidR="00C03B8E" w:rsidRPr="00ED5612" w:rsidRDefault="00C03B8E" w:rsidP="00C03B8E">
            <w:pPr>
              <w:jc w:val="both"/>
              <w:rPr>
                <w:sz w:val="24"/>
                <w:szCs w:val="24"/>
              </w:rPr>
            </w:pPr>
            <w:r w:rsidRPr="00ED5612">
              <w:rPr>
                <w:sz w:val="24"/>
                <w:szCs w:val="24"/>
              </w:rPr>
              <w:t>11.</w:t>
            </w:r>
          </w:p>
        </w:tc>
        <w:tc>
          <w:tcPr>
            <w:tcW w:w="5853" w:type="dxa"/>
            <w:hideMark/>
          </w:tcPr>
          <w:p w:rsidR="00C03B8E" w:rsidRPr="00ED5612" w:rsidRDefault="00C03B8E" w:rsidP="00187EBF">
            <w:pPr>
              <w:rPr>
                <w:sz w:val="24"/>
                <w:szCs w:val="24"/>
              </w:rPr>
            </w:pPr>
            <w:r w:rsidRPr="00ED5612">
              <w:rPr>
                <w:sz w:val="24"/>
                <w:szCs w:val="24"/>
              </w:rPr>
              <w:t>Telšių regiono sav</w:t>
            </w:r>
            <w:r w:rsidR="00661064" w:rsidRPr="00ED5612">
              <w:rPr>
                <w:sz w:val="24"/>
                <w:szCs w:val="24"/>
              </w:rPr>
              <w:t>ivaldybes jungiančių turizmo tra</w:t>
            </w:r>
            <w:r w:rsidRPr="00ED5612">
              <w:rPr>
                <w:sz w:val="24"/>
                <w:szCs w:val="24"/>
              </w:rPr>
              <w:t>sų informacinės infrastruktūros plėtra</w:t>
            </w:r>
          </w:p>
        </w:tc>
        <w:tc>
          <w:tcPr>
            <w:tcW w:w="950" w:type="dxa"/>
            <w:noWrap/>
            <w:hideMark/>
          </w:tcPr>
          <w:p w:rsidR="00C03B8E" w:rsidRPr="00ED5612" w:rsidRDefault="00C03B8E" w:rsidP="006C6227">
            <w:pPr>
              <w:jc w:val="center"/>
              <w:rPr>
                <w:sz w:val="24"/>
                <w:szCs w:val="24"/>
              </w:rPr>
            </w:pPr>
            <w:r w:rsidRPr="00ED5612">
              <w:rPr>
                <w:sz w:val="24"/>
                <w:szCs w:val="24"/>
              </w:rPr>
              <w:t>7,0</w:t>
            </w:r>
          </w:p>
        </w:tc>
        <w:tc>
          <w:tcPr>
            <w:tcW w:w="994" w:type="dxa"/>
            <w:noWrap/>
            <w:hideMark/>
          </w:tcPr>
          <w:p w:rsidR="00C03B8E" w:rsidRPr="00ED5612" w:rsidRDefault="00C03B8E" w:rsidP="006C6227">
            <w:pPr>
              <w:jc w:val="center"/>
              <w:rPr>
                <w:sz w:val="24"/>
                <w:szCs w:val="24"/>
              </w:rPr>
            </w:pPr>
            <w:r w:rsidRPr="00ED5612">
              <w:rPr>
                <w:sz w:val="24"/>
                <w:szCs w:val="24"/>
              </w:rPr>
              <w:t>3,5</w:t>
            </w:r>
          </w:p>
        </w:tc>
        <w:tc>
          <w:tcPr>
            <w:tcW w:w="1050" w:type="dxa"/>
            <w:noWrap/>
            <w:hideMark/>
          </w:tcPr>
          <w:p w:rsidR="00C03B8E" w:rsidRPr="00ED5612" w:rsidRDefault="00C03B8E" w:rsidP="006C6227">
            <w:pPr>
              <w:jc w:val="center"/>
              <w:rPr>
                <w:sz w:val="24"/>
                <w:szCs w:val="24"/>
              </w:rPr>
            </w:pPr>
            <w:r w:rsidRPr="00ED5612">
              <w:rPr>
                <w:sz w:val="24"/>
                <w:szCs w:val="24"/>
              </w:rPr>
              <w:t>3,4</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12.</w:t>
            </w:r>
          </w:p>
        </w:tc>
        <w:tc>
          <w:tcPr>
            <w:tcW w:w="5853" w:type="dxa"/>
            <w:hideMark/>
          </w:tcPr>
          <w:p w:rsidR="00C03B8E" w:rsidRPr="00ED5612" w:rsidRDefault="00C03B8E" w:rsidP="00187EBF">
            <w:pPr>
              <w:rPr>
                <w:sz w:val="24"/>
                <w:szCs w:val="24"/>
              </w:rPr>
            </w:pPr>
            <w:r w:rsidRPr="00ED5612">
              <w:rPr>
                <w:sz w:val="24"/>
                <w:szCs w:val="24"/>
              </w:rPr>
              <w:t xml:space="preserve">Daugiabučių namų atnaujinimo (modernizavimas) programa </w:t>
            </w:r>
          </w:p>
        </w:tc>
        <w:tc>
          <w:tcPr>
            <w:tcW w:w="950" w:type="dxa"/>
            <w:noWrap/>
            <w:hideMark/>
          </w:tcPr>
          <w:p w:rsidR="00C03B8E" w:rsidRPr="00ED5612" w:rsidRDefault="00C03B8E" w:rsidP="006C6227">
            <w:pPr>
              <w:jc w:val="center"/>
              <w:rPr>
                <w:sz w:val="24"/>
                <w:szCs w:val="24"/>
              </w:rPr>
            </w:pPr>
            <w:r w:rsidRPr="00ED5612">
              <w:rPr>
                <w:sz w:val="24"/>
                <w:szCs w:val="24"/>
              </w:rPr>
              <w:t>60,0</w:t>
            </w:r>
          </w:p>
        </w:tc>
        <w:tc>
          <w:tcPr>
            <w:tcW w:w="994" w:type="dxa"/>
            <w:noWrap/>
            <w:hideMark/>
          </w:tcPr>
          <w:p w:rsidR="00C03B8E" w:rsidRPr="00ED5612" w:rsidRDefault="00C03B8E" w:rsidP="006C6227">
            <w:pPr>
              <w:jc w:val="center"/>
              <w:rPr>
                <w:sz w:val="24"/>
                <w:szCs w:val="24"/>
              </w:rPr>
            </w:pPr>
            <w:r w:rsidRPr="00ED5612">
              <w:rPr>
                <w:sz w:val="24"/>
                <w:szCs w:val="24"/>
              </w:rPr>
              <w:t>39,8</w:t>
            </w:r>
          </w:p>
        </w:tc>
        <w:tc>
          <w:tcPr>
            <w:tcW w:w="1050" w:type="dxa"/>
            <w:noWrap/>
            <w:hideMark/>
          </w:tcPr>
          <w:p w:rsidR="00C03B8E" w:rsidRPr="00ED5612" w:rsidRDefault="00C03B8E" w:rsidP="006C6227">
            <w:pPr>
              <w:jc w:val="center"/>
              <w:rPr>
                <w:sz w:val="24"/>
                <w:szCs w:val="24"/>
              </w:rPr>
            </w:pPr>
            <w:r w:rsidRPr="00ED5612">
              <w:rPr>
                <w:sz w:val="24"/>
                <w:szCs w:val="24"/>
              </w:rPr>
              <w:t>34,7</w:t>
            </w:r>
          </w:p>
        </w:tc>
      </w:tr>
      <w:tr w:rsidR="00C03B8E" w:rsidRPr="00ED5612" w:rsidTr="00C03B8E">
        <w:trPr>
          <w:trHeight w:val="630"/>
        </w:trPr>
        <w:tc>
          <w:tcPr>
            <w:tcW w:w="520" w:type="dxa"/>
            <w:noWrap/>
            <w:hideMark/>
          </w:tcPr>
          <w:p w:rsidR="00C03B8E" w:rsidRPr="00ED5612" w:rsidRDefault="00C03B8E" w:rsidP="00C03B8E">
            <w:pPr>
              <w:jc w:val="both"/>
              <w:rPr>
                <w:sz w:val="24"/>
                <w:szCs w:val="24"/>
              </w:rPr>
            </w:pPr>
            <w:r w:rsidRPr="00ED5612">
              <w:rPr>
                <w:sz w:val="24"/>
                <w:szCs w:val="24"/>
              </w:rPr>
              <w:t>13.</w:t>
            </w:r>
          </w:p>
        </w:tc>
        <w:tc>
          <w:tcPr>
            <w:tcW w:w="5853" w:type="dxa"/>
            <w:hideMark/>
          </w:tcPr>
          <w:p w:rsidR="00C03B8E" w:rsidRPr="009F7D43" w:rsidRDefault="00C03B8E" w:rsidP="009F7D43">
            <w:pPr>
              <w:rPr>
                <w:sz w:val="24"/>
                <w:szCs w:val="24"/>
              </w:rPr>
            </w:pPr>
            <w:r w:rsidRPr="00ED5612">
              <w:rPr>
                <w:sz w:val="24"/>
                <w:szCs w:val="24"/>
              </w:rPr>
              <w:t xml:space="preserve">Ikimokyklinio ir priešmokyklinio prieinamumo didinimas Plungės rajono lopšeliuose-darželiuose </w:t>
            </w:r>
            <w:r w:rsidR="009F7D43">
              <w:rPr>
                <w:sz w:val="24"/>
                <w:szCs w:val="24"/>
              </w:rPr>
              <w:t>„</w:t>
            </w:r>
            <w:r w:rsidRPr="009F7D43">
              <w:rPr>
                <w:sz w:val="24"/>
                <w:szCs w:val="24"/>
              </w:rPr>
              <w:t>Raudonkepuraitė</w:t>
            </w:r>
            <w:r w:rsidR="009F7D43">
              <w:rPr>
                <w:sz w:val="24"/>
                <w:szCs w:val="24"/>
              </w:rPr>
              <w:t>“</w:t>
            </w:r>
            <w:r w:rsidRPr="009F7D43">
              <w:rPr>
                <w:sz w:val="24"/>
                <w:szCs w:val="24"/>
              </w:rPr>
              <w:t xml:space="preserve"> ir </w:t>
            </w:r>
            <w:r w:rsidR="009F7D43">
              <w:rPr>
                <w:sz w:val="24"/>
                <w:szCs w:val="24"/>
              </w:rPr>
              <w:t>„</w:t>
            </w:r>
            <w:r w:rsidRPr="009F7D43">
              <w:rPr>
                <w:sz w:val="24"/>
                <w:szCs w:val="24"/>
              </w:rPr>
              <w:t>Vyturėlis</w:t>
            </w:r>
            <w:r w:rsidR="009F7D43">
              <w:rPr>
                <w:sz w:val="24"/>
                <w:szCs w:val="24"/>
              </w:rPr>
              <w:t>“</w:t>
            </w:r>
          </w:p>
        </w:tc>
        <w:tc>
          <w:tcPr>
            <w:tcW w:w="950" w:type="dxa"/>
            <w:noWrap/>
            <w:hideMark/>
          </w:tcPr>
          <w:p w:rsidR="00C03B8E" w:rsidRPr="00ED5612" w:rsidRDefault="00C03B8E" w:rsidP="006C6227">
            <w:pPr>
              <w:jc w:val="center"/>
              <w:rPr>
                <w:sz w:val="24"/>
                <w:szCs w:val="24"/>
              </w:rPr>
            </w:pPr>
            <w:r w:rsidRPr="00ED5612">
              <w:rPr>
                <w:sz w:val="24"/>
                <w:szCs w:val="24"/>
              </w:rPr>
              <w:t>56,3</w:t>
            </w:r>
          </w:p>
        </w:tc>
        <w:tc>
          <w:tcPr>
            <w:tcW w:w="994" w:type="dxa"/>
            <w:noWrap/>
            <w:hideMark/>
          </w:tcPr>
          <w:p w:rsidR="00C03B8E" w:rsidRPr="00ED5612" w:rsidRDefault="00C03B8E" w:rsidP="006C6227">
            <w:pPr>
              <w:jc w:val="center"/>
              <w:rPr>
                <w:sz w:val="24"/>
                <w:szCs w:val="24"/>
              </w:rPr>
            </w:pPr>
            <w:r w:rsidRPr="00ED5612">
              <w:rPr>
                <w:sz w:val="24"/>
                <w:szCs w:val="24"/>
              </w:rPr>
              <w:t>0,0</w:t>
            </w:r>
          </w:p>
        </w:tc>
        <w:tc>
          <w:tcPr>
            <w:tcW w:w="1050" w:type="dxa"/>
            <w:noWrap/>
            <w:hideMark/>
          </w:tcPr>
          <w:p w:rsidR="00C03B8E" w:rsidRPr="00ED5612" w:rsidRDefault="00C03B8E" w:rsidP="006C6227">
            <w:pPr>
              <w:jc w:val="center"/>
              <w:rPr>
                <w:sz w:val="24"/>
                <w:szCs w:val="24"/>
              </w:rPr>
            </w:pPr>
            <w:r w:rsidRPr="00ED5612">
              <w:rPr>
                <w:sz w:val="24"/>
                <w:szCs w:val="24"/>
              </w:rPr>
              <w:t>0,0</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14.</w:t>
            </w:r>
          </w:p>
        </w:tc>
        <w:tc>
          <w:tcPr>
            <w:tcW w:w="5853" w:type="dxa"/>
            <w:hideMark/>
          </w:tcPr>
          <w:p w:rsidR="00C03B8E" w:rsidRPr="00ED5612" w:rsidRDefault="00C03B8E" w:rsidP="00187EBF">
            <w:pPr>
              <w:rPr>
                <w:sz w:val="24"/>
                <w:szCs w:val="24"/>
              </w:rPr>
            </w:pPr>
            <w:r w:rsidRPr="00ED5612">
              <w:rPr>
                <w:sz w:val="24"/>
                <w:szCs w:val="24"/>
              </w:rPr>
              <w:t>Vaizdo stebėjimo kamerų įrengimas Latvijos ir Lietuvos miestų saugumui užtikrinti</w:t>
            </w:r>
          </w:p>
        </w:tc>
        <w:tc>
          <w:tcPr>
            <w:tcW w:w="950" w:type="dxa"/>
            <w:noWrap/>
            <w:hideMark/>
          </w:tcPr>
          <w:p w:rsidR="00C03B8E" w:rsidRPr="00ED5612" w:rsidRDefault="00C03B8E" w:rsidP="006C6227">
            <w:pPr>
              <w:jc w:val="center"/>
              <w:rPr>
                <w:sz w:val="24"/>
                <w:szCs w:val="24"/>
              </w:rPr>
            </w:pPr>
            <w:r w:rsidRPr="00ED5612">
              <w:rPr>
                <w:sz w:val="24"/>
                <w:szCs w:val="24"/>
              </w:rPr>
              <w:t>89,4</w:t>
            </w:r>
          </w:p>
        </w:tc>
        <w:tc>
          <w:tcPr>
            <w:tcW w:w="994" w:type="dxa"/>
            <w:noWrap/>
            <w:hideMark/>
          </w:tcPr>
          <w:p w:rsidR="00C03B8E" w:rsidRPr="00ED5612" w:rsidRDefault="00C03B8E" w:rsidP="006C6227">
            <w:pPr>
              <w:jc w:val="center"/>
              <w:rPr>
                <w:sz w:val="24"/>
                <w:szCs w:val="24"/>
              </w:rPr>
            </w:pPr>
            <w:r w:rsidRPr="00ED5612">
              <w:rPr>
                <w:sz w:val="24"/>
                <w:szCs w:val="24"/>
              </w:rPr>
              <w:t>62,7</w:t>
            </w:r>
          </w:p>
        </w:tc>
        <w:tc>
          <w:tcPr>
            <w:tcW w:w="1050" w:type="dxa"/>
            <w:noWrap/>
            <w:hideMark/>
          </w:tcPr>
          <w:p w:rsidR="00C03B8E" w:rsidRPr="00ED5612" w:rsidRDefault="00C03B8E" w:rsidP="006C6227">
            <w:pPr>
              <w:jc w:val="center"/>
              <w:rPr>
                <w:sz w:val="24"/>
                <w:szCs w:val="24"/>
              </w:rPr>
            </w:pPr>
            <w:r w:rsidRPr="00ED5612">
              <w:rPr>
                <w:sz w:val="24"/>
                <w:szCs w:val="24"/>
              </w:rPr>
              <w:t>2,2</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15.</w:t>
            </w:r>
          </w:p>
        </w:tc>
        <w:tc>
          <w:tcPr>
            <w:tcW w:w="5853" w:type="dxa"/>
            <w:hideMark/>
          </w:tcPr>
          <w:p w:rsidR="00C03B8E" w:rsidRPr="00ED5612" w:rsidRDefault="00C03B8E" w:rsidP="00187EBF">
            <w:pPr>
              <w:rPr>
                <w:sz w:val="24"/>
                <w:szCs w:val="24"/>
              </w:rPr>
            </w:pPr>
            <w:r w:rsidRPr="00ED5612">
              <w:rPr>
                <w:sz w:val="24"/>
                <w:szCs w:val="24"/>
              </w:rPr>
              <w:t>Darnaus turizmo paslaugų plėtra, priimant bendrus sprendimus</w:t>
            </w:r>
          </w:p>
        </w:tc>
        <w:tc>
          <w:tcPr>
            <w:tcW w:w="950" w:type="dxa"/>
            <w:noWrap/>
            <w:hideMark/>
          </w:tcPr>
          <w:p w:rsidR="00C03B8E" w:rsidRPr="00ED5612" w:rsidRDefault="00C03B8E" w:rsidP="006C6227">
            <w:pPr>
              <w:jc w:val="center"/>
              <w:rPr>
                <w:sz w:val="24"/>
                <w:szCs w:val="24"/>
              </w:rPr>
            </w:pPr>
            <w:r w:rsidRPr="00ED5612">
              <w:rPr>
                <w:sz w:val="24"/>
                <w:szCs w:val="24"/>
              </w:rPr>
              <w:t>111,4</w:t>
            </w:r>
          </w:p>
        </w:tc>
        <w:tc>
          <w:tcPr>
            <w:tcW w:w="994" w:type="dxa"/>
            <w:noWrap/>
            <w:hideMark/>
          </w:tcPr>
          <w:p w:rsidR="00C03B8E" w:rsidRPr="00ED5612" w:rsidRDefault="00C03B8E" w:rsidP="006C6227">
            <w:pPr>
              <w:jc w:val="center"/>
              <w:rPr>
                <w:sz w:val="24"/>
                <w:szCs w:val="24"/>
              </w:rPr>
            </w:pPr>
            <w:r w:rsidRPr="00ED5612">
              <w:rPr>
                <w:sz w:val="24"/>
                <w:szCs w:val="24"/>
              </w:rPr>
              <w:t>27,8</w:t>
            </w:r>
          </w:p>
        </w:tc>
        <w:tc>
          <w:tcPr>
            <w:tcW w:w="1050" w:type="dxa"/>
            <w:noWrap/>
            <w:hideMark/>
          </w:tcPr>
          <w:p w:rsidR="00C03B8E" w:rsidRPr="00ED5612" w:rsidRDefault="00C03B8E" w:rsidP="006C6227">
            <w:pPr>
              <w:jc w:val="center"/>
              <w:rPr>
                <w:sz w:val="24"/>
                <w:szCs w:val="24"/>
              </w:rPr>
            </w:pPr>
            <w:r w:rsidRPr="00ED5612">
              <w:rPr>
                <w:sz w:val="24"/>
                <w:szCs w:val="24"/>
              </w:rPr>
              <w:t>23,5</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16.</w:t>
            </w:r>
          </w:p>
        </w:tc>
        <w:tc>
          <w:tcPr>
            <w:tcW w:w="5853" w:type="dxa"/>
            <w:hideMark/>
          </w:tcPr>
          <w:p w:rsidR="00C03B8E" w:rsidRPr="00ED5612" w:rsidRDefault="00C03B8E" w:rsidP="00187EBF">
            <w:pPr>
              <w:rPr>
                <w:sz w:val="24"/>
                <w:szCs w:val="24"/>
              </w:rPr>
            </w:pPr>
            <w:r w:rsidRPr="00ED5612">
              <w:rPr>
                <w:sz w:val="24"/>
                <w:szCs w:val="24"/>
              </w:rPr>
              <w:t xml:space="preserve">Kraštovaizdžio planavimas, tvarkymas ir būklės gerinimas Plungės </w:t>
            </w:r>
            <w:proofErr w:type="spellStart"/>
            <w:r w:rsidRPr="00ED5612">
              <w:rPr>
                <w:sz w:val="24"/>
                <w:szCs w:val="24"/>
              </w:rPr>
              <w:t>raj</w:t>
            </w:r>
            <w:proofErr w:type="spellEnd"/>
            <w:r w:rsidRPr="00ED5612">
              <w:rPr>
                <w:sz w:val="24"/>
                <w:szCs w:val="24"/>
              </w:rPr>
              <w:t>.</w:t>
            </w:r>
          </w:p>
        </w:tc>
        <w:tc>
          <w:tcPr>
            <w:tcW w:w="950" w:type="dxa"/>
            <w:noWrap/>
            <w:hideMark/>
          </w:tcPr>
          <w:p w:rsidR="00C03B8E" w:rsidRPr="00ED5612" w:rsidRDefault="00C03B8E" w:rsidP="006C6227">
            <w:pPr>
              <w:jc w:val="center"/>
              <w:rPr>
                <w:sz w:val="24"/>
                <w:szCs w:val="24"/>
              </w:rPr>
            </w:pPr>
            <w:r w:rsidRPr="00ED5612">
              <w:rPr>
                <w:sz w:val="24"/>
                <w:szCs w:val="24"/>
              </w:rPr>
              <w:t>10,0</w:t>
            </w:r>
          </w:p>
        </w:tc>
        <w:tc>
          <w:tcPr>
            <w:tcW w:w="994" w:type="dxa"/>
            <w:noWrap/>
            <w:hideMark/>
          </w:tcPr>
          <w:p w:rsidR="00C03B8E" w:rsidRPr="00ED5612" w:rsidRDefault="00C03B8E" w:rsidP="006C6227">
            <w:pPr>
              <w:jc w:val="center"/>
              <w:rPr>
                <w:sz w:val="24"/>
                <w:szCs w:val="24"/>
              </w:rPr>
            </w:pPr>
            <w:r w:rsidRPr="00ED5612">
              <w:rPr>
                <w:sz w:val="24"/>
                <w:szCs w:val="24"/>
              </w:rPr>
              <w:t>0,0</w:t>
            </w:r>
          </w:p>
        </w:tc>
        <w:tc>
          <w:tcPr>
            <w:tcW w:w="1050" w:type="dxa"/>
            <w:noWrap/>
            <w:hideMark/>
          </w:tcPr>
          <w:p w:rsidR="00C03B8E" w:rsidRPr="00ED5612" w:rsidRDefault="00C03B8E" w:rsidP="006C6227">
            <w:pPr>
              <w:jc w:val="center"/>
              <w:rPr>
                <w:sz w:val="24"/>
                <w:szCs w:val="24"/>
              </w:rPr>
            </w:pPr>
            <w:r w:rsidRPr="00ED5612">
              <w:rPr>
                <w:sz w:val="24"/>
                <w:szCs w:val="24"/>
              </w:rPr>
              <w:t>0,0</w:t>
            </w:r>
          </w:p>
        </w:tc>
      </w:tr>
      <w:tr w:rsidR="00C03B8E" w:rsidRPr="00ED5612" w:rsidTr="006C6227">
        <w:trPr>
          <w:trHeight w:val="453"/>
        </w:trPr>
        <w:tc>
          <w:tcPr>
            <w:tcW w:w="520" w:type="dxa"/>
            <w:noWrap/>
            <w:hideMark/>
          </w:tcPr>
          <w:p w:rsidR="00C03B8E" w:rsidRPr="00ED5612" w:rsidRDefault="00C03B8E" w:rsidP="00C03B8E">
            <w:pPr>
              <w:jc w:val="both"/>
              <w:rPr>
                <w:sz w:val="24"/>
                <w:szCs w:val="24"/>
              </w:rPr>
            </w:pPr>
            <w:r w:rsidRPr="00ED5612">
              <w:rPr>
                <w:sz w:val="24"/>
                <w:szCs w:val="24"/>
              </w:rPr>
              <w:t>17.</w:t>
            </w:r>
          </w:p>
        </w:tc>
        <w:tc>
          <w:tcPr>
            <w:tcW w:w="5853" w:type="dxa"/>
            <w:hideMark/>
          </w:tcPr>
          <w:p w:rsidR="00E7495D" w:rsidRPr="00ED5612" w:rsidRDefault="00C03B8E" w:rsidP="006C6227">
            <w:pPr>
              <w:rPr>
                <w:sz w:val="24"/>
                <w:szCs w:val="24"/>
              </w:rPr>
            </w:pPr>
            <w:r w:rsidRPr="00ED5612">
              <w:rPr>
                <w:sz w:val="24"/>
                <w:szCs w:val="24"/>
              </w:rPr>
              <w:t>Neformaliojo švietimo veiklų kokybės gerinimas Plungės rajone</w:t>
            </w:r>
          </w:p>
        </w:tc>
        <w:tc>
          <w:tcPr>
            <w:tcW w:w="950" w:type="dxa"/>
            <w:noWrap/>
            <w:hideMark/>
          </w:tcPr>
          <w:p w:rsidR="00C03B8E" w:rsidRPr="00ED5612" w:rsidRDefault="00C03B8E" w:rsidP="006C6227">
            <w:pPr>
              <w:jc w:val="center"/>
              <w:rPr>
                <w:sz w:val="24"/>
                <w:szCs w:val="24"/>
              </w:rPr>
            </w:pPr>
            <w:r w:rsidRPr="00ED5612">
              <w:rPr>
                <w:sz w:val="24"/>
                <w:szCs w:val="24"/>
              </w:rPr>
              <w:t>26,2</w:t>
            </w:r>
          </w:p>
        </w:tc>
        <w:tc>
          <w:tcPr>
            <w:tcW w:w="994" w:type="dxa"/>
            <w:noWrap/>
            <w:hideMark/>
          </w:tcPr>
          <w:p w:rsidR="00C03B8E" w:rsidRPr="00ED5612" w:rsidRDefault="00C03B8E" w:rsidP="006C6227">
            <w:pPr>
              <w:jc w:val="center"/>
              <w:rPr>
                <w:sz w:val="24"/>
                <w:szCs w:val="24"/>
              </w:rPr>
            </w:pPr>
            <w:r w:rsidRPr="00ED5612">
              <w:rPr>
                <w:sz w:val="24"/>
                <w:szCs w:val="24"/>
              </w:rPr>
              <w:t>46,0</w:t>
            </w:r>
          </w:p>
        </w:tc>
        <w:tc>
          <w:tcPr>
            <w:tcW w:w="1050" w:type="dxa"/>
            <w:noWrap/>
            <w:hideMark/>
          </w:tcPr>
          <w:p w:rsidR="00C03B8E" w:rsidRPr="00ED5612" w:rsidRDefault="00C03B8E" w:rsidP="006C6227">
            <w:pPr>
              <w:jc w:val="center"/>
              <w:rPr>
                <w:sz w:val="24"/>
                <w:szCs w:val="24"/>
              </w:rPr>
            </w:pPr>
            <w:r w:rsidRPr="00ED5612">
              <w:rPr>
                <w:sz w:val="24"/>
                <w:szCs w:val="24"/>
              </w:rPr>
              <w:t>45,8</w:t>
            </w:r>
          </w:p>
        </w:tc>
      </w:tr>
      <w:tr w:rsidR="00C03B8E" w:rsidRPr="00ED5612" w:rsidTr="00C03B8E">
        <w:trPr>
          <w:trHeight w:val="345"/>
        </w:trPr>
        <w:tc>
          <w:tcPr>
            <w:tcW w:w="520" w:type="dxa"/>
            <w:noWrap/>
            <w:hideMark/>
          </w:tcPr>
          <w:p w:rsidR="00C03B8E" w:rsidRPr="00ED5612" w:rsidRDefault="00C03B8E" w:rsidP="00C03B8E">
            <w:pPr>
              <w:jc w:val="both"/>
              <w:rPr>
                <w:sz w:val="24"/>
                <w:szCs w:val="24"/>
              </w:rPr>
            </w:pPr>
            <w:r w:rsidRPr="00ED5612">
              <w:rPr>
                <w:sz w:val="24"/>
                <w:szCs w:val="24"/>
              </w:rPr>
              <w:t>18.</w:t>
            </w:r>
          </w:p>
        </w:tc>
        <w:tc>
          <w:tcPr>
            <w:tcW w:w="5853" w:type="dxa"/>
            <w:hideMark/>
          </w:tcPr>
          <w:p w:rsidR="004E5E06" w:rsidRPr="00ED5612" w:rsidRDefault="00C03B8E" w:rsidP="004E5E06">
            <w:pPr>
              <w:rPr>
                <w:sz w:val="24"/>
                <w:szCs w:val="24"/>
              </w:rPr>
            </w:pPr>
            <w:r w:rsidRPr="00ED5612">
              <w:rPr>
                <w:sz w:val="24"/>
                <w:szCs w:val="24"/>
              </w:rPr>
              <w:t>Dirbtinės dangos futbolo stadiono Plungėje įrengimas</w:t>
            </w:r>
          </w:p>
        </w:tc>
        <w:tc>
          <w:tcPr>
            <w:tcW w:w="950" w:type="dxa"/>
            <w:noWrap/>
            <w:hideMark/>
          </w:tcPr>
          <w:p w:rsidR="00C03B8E" w:rsidRPr="00ED5612" w:rsidRDefault="00C03B8E" w:rsidP="006C6227">
            <w:pPr>
              <w:jc w:val="center"/>
              <w:rPr>
                <w:sz w:val="24"/>
                <w:szCs w:val="24"/>
              </w:rPr>
            </w:pPr>
            <w:r w:rsidRPr="00ED5612">
              <w:rPr>
                <w:sz w:val="24"/>
                <w:szCs w:val="24"/>
              </w:rPr>
              <w:t>79,3</w:t>
            </w:r>
          </w:p>
        </w:tc>
        <w:tc>
          <w:tcPr>
            <w:tcW w:w="994" w:type="dxa"/>
            <w:noWrap/>
            <w:hideMark/>
          </w:tcPr>
          <w:p w:rsidR="00C03B8E" w:rsidRPr="00ED5612" w:rsidRDefault="00C03B8E" w:rsidP="006C6227">
            <w:pPr>
              <w:jc w:val="center"/>
              <w:rPr>
                <w:sz w:val="24"/>
                <w:szCs w:val="24"/>
              </w:rPr>
            </w:pPr>
            <w:r w:rsidRPr="00ED5612">
              <w:rPr>
                <w:sz w:val="24"/>
                <w:szCs w:val="24"/>
              </w:rPr>
              <w:t>79,3</w:t>
            </w:r>
          </w:p>
        </w:tc>
        <w:tc>
          <w:tcPr>
            <w:tcW w:w="1050" w:type="dxa"/>
            <w:noWrap/>
            <w:hideMark/>
          </w:tcPr>
          <w:p w:rsidR="00C03B8E" w:rsidRPr="00ED5612" w:rsidRDefault="00C03B8E" w:rsidP="006C6227">
            <w:pPr>
              <w:jc w:val="center"/>
              <w:rPr>
                <w:sz w:val="24"/>
                <w:szCs w:val="24"/>
              </w:rPr>
            </w:pPr>
            <w:r w:rsidRPr="00ED5612">
              <w:rPr>
                <w:sz w:val="24"/>
                <w:szCs w:val="24"/>
              </w:rPr>
              <w:t>79,2</w:t>
            </w:r>
          </w:p>
        </w:tc>
      </w:tr>
      <w:tr w:rsidR="00C03B8E" w:rsidRPr="00ED5612" w:rsidTr="00C03B8E">
        <w:trPr>
          <w:trHeight w:val="660"/>
        </w:trPr>
        <w:tc>
          <w:tcPr>
            <w:tcW w:w="520" w:type="dxa"/>
            <w:noWrap/>
            <w:hideMark/>
          </w:tcPr>
          <w:p w:rsidR="00C03B8E" w:rsidRPr="00ED5612" w:rsidRDefault="00C03B8E" w:rsidP="00C03B8E">
            <w:pPr>
              <w:jc w:val="both"/>
              <w:rPr>
                <w:sz w:val="24"/>
                <w:szCs w:val="24"/>
              </w:rPr>
            </w:pPr>
            <w:r w:rsidRPr="00ED5612">
              <w:rPr>
                <w:sz w:val="24"/>
                <w:szCs w:val="24"/>
              </w:rPr>
              <w:t>19.</w:t>
            </w:r>
          </w:p>
        </w:tc>
        <w:tc>
          <w:tcPr>
            <w:tcW w:w="5853" w:type="dxa"/>
            <w:hideMark/>
          </w:tcPr>
          <w:p w:rsidR="004E5E06" w:rsidRPr="00ED5612" w:rsidRDefault="00C03B8E" w:rsidP="00D45A3B">
            <w:pPr>
              <w:rPr>
                <w:sz w:val="24"/>
                <w:szCs w:val="24"/>
              </w:rPr>
            </w:pPr>
            <w:r w:rsidRPr="00ED5612">
              <w:rPr>
                <w:sz w:val="24"/>
                <w:szCs w:val="24"/>
              </w:rPr>
              <w:t>Dalies visuomeninės paskirties pastato ir viešųjų erdvių, esančių Platelių miestelio centrinėje dalyje, sutvarkymas</w:t>
            </w:r>
          </w:p>
        </w:tc>
        <w:tc>
          <w:tcPr>
            <w:tcW w:w="950" w:type="dxa"/>
            <w:noWrap/>
            <w:hideMark/>
          </w:tcPr>
          <w:p w:rsidR="00C03B8E" w:rsidRPr="00ED5612" w:rsidRDefault="00C03B8E" w:rsidP="006C6227">
            <w:pPr>
              <w:jc w:val="center"/>
              <w:rPr>
                <w:sz w:val="24"/>
                <w:szCs w:val="24"/>
              </w:rPr>
            </w:pPr>
            <w:r w:rsidRPr="00ED5612">
              <w:rPr>
                <w:sz w:val="24"/>
                <w:szCs w:val="24"/>
              </w:rPr>
              <w:t>8,1</w:t>
            </w:r>
          </w:p>
        </w:tc>
        <w:tc>
          <w:tcPr>
            <w:tcW w:w="994" w:type="dxa"/>
            <w:noWrap/>
            <w:hideMark/>
          </w:tcPr>
          <w:p w:rsidR="00C03B8E" w:rsidRPr="00ED5612" w:rsidRDefault="00C03B8E" w:rsidP="006C6227">
            <w:pPr>
              <w:jc w:val="center"/>
              <w:rPr>
                <w:sz w:val="24"/>
                <w:szCs w:val="24"/>
              </w:rPr>
            </w:pPr>
            <w:r w:rsidRPr="00ED5612">
              <w:rPr>
                <w:sz w:val="24"/>
                <w:szCs w:val="24"/>
              </w:rPr>
              <w:t>10,9</w:t>
            </w:r>
          </w:p>
        </w:tc>
        <w:tc>
          <w:tcPr>
            <w:tcW w:w="1050" w:type="dxa"/>
            <w:noWrap/>
            <w:hideMark/>
          </w:tcPr>
          <w:p w:rsidR="00C03B8E" w:rsidRPr="00ED5612" w:rsidRDefault="00C03B8E" w:rsidP="006C6227">
            <w:pPr>
              <w:jc w:val="center"/>
              <w:rPr>
                <w:sz w:val="24"/>
                <w:szCs w:val="24"/>
              </w:rPr>
            </w:pPr>
            <w:r w:rsidRPr="00ED5612">
              <w:rPr>
                <w:sz w:val="24"/>
                <w:szCs w:val="24"/>
              </w:rPr>
              <w:t>10,9</w:t>
            </w:r>
          </w:p>
        </w:tc>
      </w:tr>
      <w:tr w:rsidR="004E5E06" w:rsidRPr="00ED5612" w:rsidTr="00E7495D">
        <w:trPr>
          <w:trHeight w:val="273"/>
        </w:trPr>
        <w:tc>
          <w:tcPr>
            <w:tcW w:w="520" w:type="dxa"/>
            <w:noWrap/>
            <w:hideMark/>
          </w:tcPr>
          <w:p w:rsidR="004E5E06" w:rsidRPr="00ED5612" w:rsidRDefault="004E5E06" w:rsidP="00C03B8E">
            <w:pPr>
              <w:jc w:val="both"/>
              <w:rPr>
                <w:sz w:val="24"/>
                <w:szCs w:val="24"/>
              </w:rPr>
            </w:pPr>
            <w:r w:rsidRPr="00ED5612">
              <w:rPr>
                <w:sz w:val="24"/>
                <w:szCs w:val="24"/>
              </w:rPr>
              <w:t>20.</w:t>
            </w:r>
          </w:p>
        </w:tc>
        <w:tc>
          <w:tcPr>
            <w:tcW w:w="5853" w:type="dxa"/>
            <w:hideMark/>
          </w:tcPr>
          <w:p w:rsidR="004E5E06" w:rsidRPr="00ED5612" w:rsidRDefault="004E5E06" w:rsidP="00E7495D">
            <w:pPr>
              <w:rPr>
                <w:sz w:val="24"/>
                <w:szCs w:val="24"/>
              </w:rPr>
            </w:pPr>
            <w:r w:rsidRPr="00ED5612">
              <w:rPr>
                <w:sz w:val="24"/>
                <w:szCs w:val="24"/>
              </w:rPr>
              <w:t>Savivaldos darbuotojų gebėjimų ugdymas i</w:t>
            </w:r>
            <w:r w:rsidR="00E7495D" w:rsidRPr="00ED5612">
              <w:rPr>
                <w:sz w:val="24"/>
                <w:szCs w:val="24"/>
              </w:rPr>
              <w:t xml:space="preserve">r ryšių su vietos </w:t>
            </w:r>
            <w:proofErr w:type="spellStart"/>
            <w:r w:rsidR="00E7495D" w:rsidRPr="00ED5612">
              <w:rPr>
                <w:sz w:val="24"/>
                <w:szCs w:val="24"/>
              </w:rPr>
              <w:t>bendruom</w:t>
            </w:r>
            <w:proofErr w:type="spellEnd"/>
            <w:r w:rsidR="00E7495D" w:rsidRPr="00ED5612">
              <w:rPr>
                <w:sz w:val="24"/>
                <w:szCs w:val="24"/>
              </w:rPr>
              <w:t>.</w:t>
            </w:r>
            <w:r w:rsidRPr="00ED5612">
              <w:rPr>
                <w:sz w:val="24"/>
                <w:szCs w:val="24"/>
              </w:rPr>
              <w:t xml:space="preserve"> stiprinimas Kulių (LT) </w:t>
            </w:r>
            <w:r w:rsidR="00E7495D" w:rsidRPr="00ED5612">
              <w:rPr>
                <w:sz w:val="24"/>
                <w:szCs w:val="24"/>
              </w:rPr>
              <w:t xml:space="preserve">ir </w:t>
            </w:r>
            <w:proofErr w:type="spellStart"/>
            <w:r w:rsidRPr="00ED5612">
              <w:rPr>
                <w:sz w:val="24"/>
                <w:szCs w:val="24"/>
              </w:rPr>
              <w:t>Kalėčių</w:t>
            </w:r>
            <w:proofErr w:type="spellEnd"/>
            <w:r w:rsidRPr="00ED5612">
              <w:rPr>
                <w:sz w:val="24"/>
                <w:szCs w:val="24"/>
              </w:rPr>
              <w:t xml:space="preserve"> (LV) seniūnijų gyventojų kokybei ir socialinei aplinkai gerinti</w:t>
            </w:r>
          </w:p>
        </w:tc>
        <w:tc>
          <w:tcPr>
            <w:tcW w:w="950" w:type="dxa"/>
            <w:noWrap/>
            <w:hideMark/>
          </w:tcPr>
          <w:p w:rsidR="004E5E06" w:rsidRPr="00ED5612" w:rsidRDefault="004E5E06" w:rsidP="006C6227">
            <w:pPr>
              <w:jc w:val="center"/>
              <w:rPr>
                <w:sz w:val="24"/>
                <w:szCs w:val="24"/>
              </w:rPr>
            </w:pPr>
            <w:r w:rsidRPr="00ED5612">
              <w:rPr>
                <w:sz w:val="24"/>
                <w:szCs w:val="24"/>
              </w:rPr>
              <w:t>131,2</w:t>
            </w:r>
          </w:p>
        </w:tc>
        <w:tc>
          <w:tcPr>
            <w:tcW w:w="994" w:type="dxa"/>
            <w:noWrap/>
            <w:hideMark/>
          </w:tcPr>
          <w:p w:rsidR="004E5E06" w:rsidRPr="00ED5612" w:rsidRDefault="004E5E06" w:rsidP="006C6227">
            <w:pPr>
              <w:jc w:val="center"/>
              <w:rPr>
                <w:sz w:val="24"/>
                <w:szCs w:val="24"/>
              </w:rPr>
            </w:pPr>
            <w:r w:rsidRPr="00ED5612">
              <w:rPr>
                <w:sz w:val="24"/>
                <w:szCs w:val="24"/>
              </w:rPr>
              <w:t>44,9</w:t>
            </w:r>
          </w:p>
        </w:tc>
        <w:tc>
          <w:tcPr>
            <w:tcW w:w="1050" w:type="dxa"/>
            <w:noWrap/>
            <w:hideMark/>
          </w:tcPr>
          <w:p w:rsidR="004E5E06" w:rsidRPr="00ED5612" w:rsidRDefault="004E5E06" w:rsidP="006C6227">
            <w:pPr>
              <w:jc w:val="center"/>
              <w:rPr>
                <w:sz w:val="24"/>
                <w:szCs w:val="24"/>
              </w:rPr>
            </w:pPr>
            <w:r w:rsidRPr="00ED5612">
              <w:rPr>
                <w:sz w:val="24"/>
                <w:szCs w:val="24"/>
              </w:rPr>
              <w:t>44,2</w:t>
            </w:r>
          </w:p>
        </w:tc>
      </w:tr>
      <w:tr w:rsidR="004E5E06" w:rsidRPr="00ED5612" w:rsidTr="00D45A3B">
        <w:trPr>
          <w:trHeight w:val="857"/>
        </w:trPr>
        <w:tc>
          <w:tcPr>
            <w:tcW w:w="520" w:type="dxa"/>
            <w:noWrap/>
            <w:hideMark/>
          </w:tcPr>
          <w:p w:rsidR="004E5E06" w:rsidRPr="00ED5612" w:rsidRDefault="004E5E06" w:rsidP="00C03B8E">
            <w:pPr>
              <w:jc w:val="both"/>
              <w:rPr>
                <w:sz w:val="24"/>
                <w:szCs w:val="24"/>
              </w:rPr>
            </w:pPr>
            <w:r w:rsidRPr="00ED5612">
              <w:rPr>
                <w:sz w:val="24"/>
                <w:szCs w:val="24"/>
              </w:rPr>
              <w:t>21.</w:t>
            </w:r>
          </w:p>
        </w:tc>
        <w:tc>
          <w:tcPr>
            <w:tcW w:w="5853" w:type="dxa"/>
            <w:hideMark/>
          </w:tcPr>
          <w:p w:rsidR="004E5E06" w:rsidRPr="009F7D43" w:rsidRDefault="004E5E06" w:rsidP="009F7D43">
            <w:pPr>
              <w:rPr>
                <w:sz w:val="24"/>
                <w:szCs w:val="24"/>
              </w:rPr>
            </w:pPr>
            <w:r w:rsidRPr="00ED5612">
              <w:rPr>
                <w:sz w:val="24"/>
                <w:szCs w:val="24"/>
              </w:rPr>
              <w:t>Priemonių</w:t>
            </w:r>
            <w:r w:rsidR="009F7D43">
              <w:rPr>
                <w:sz w:val="24"/>
                <w:szCs w:val="24"/>
              </w:rPr>
              <w:t>,</w:t>
            </w:r>
            <w:r w:rsidRPr="009F7D43">
              <w:rPr>
                <w:sz w:val="24"/>
                <w:szCs w:val="24"/>
              </w:rPr>
              <w:t xml:space="preserve"> gerinančių ambulatorinių sveikatos priežiūros paslaugų prieinamum</w:t>
            </w:r>
            <w:r w:rsidR="009F7D43">
              <w:rPr>
                <w:sz w:val="24"/>
                <w:szCs w:val="24"/>
              </w:rPr>
              <w:t>ą</w:t>
            </w:r>
            <w:r w:rsidRPr="009F7D43">
              <w:rPr>
                <w:sz w:val="24"/>
                <w:szCs w:val="24"/>
              </w:rPr>
              <w:t xml:space="preserve"> tuberkulioze sergantiems asmenims, įgyvendinim</w:t>
            </w:r>
            <w:r w:rsidR="00D45A3B" w:rsidRPr="009F7D43">
              <w:rPr>
                <w:sz w:val="24"/>
                <w:szCs w:val="24"/>
              </w:rPr>
              <w:t>a</w:t>
            </w:r>
            <w:r w:rsidRPr="009F7D43">
              <w:rPr>
                <w:sz w:val="24"/>
                <w:szCs w:val="24"/>
              </w:rPr>
              <w:t>s Plungės rajone</w:t>
            </w:r>
          </w:p>
        </w:tc>
        <w:tc>
          <w:tcPr>
            <w:tcW w:w="950" w:type="dxa"/>
            <w:noWrap/>
            <w:hideMark/>
          </w:tcPr>
          <w:p w:rsidR="004E5E06" w:rsidRPr="00ED5612" w:rsidRDefault="004E5E06" w:rsidP="006C6227">
            <w:pPr>
              <w:jc w:val="center"/>
              <w:rPr>
                <w:sz w:val="24"/>
                <w:szCs w:val="24"/>
              </w:rPr>
            </w:pPr>
            <w:r w:rsidRPr="00ED5612">
              <w:rPr>
                <w:sz w:val="24"/>
                <w:szCs w:val="24"/>
              </w:rPr>
              <w:t>1,2</w:t>
            </w:r>
          </w:p>
        </w:tc>
        <w:tc>
          <w:tcPr>
            <w:tcW w:w="994" w:type="dxa"/>
            <w:noWrap/>
            <w:hideMark/>
          </w:tcPr>
          <w:p w:rsidR="004E5E06" w:rsidRPr="00ED5612" w:rsidRDefault="004E5E06" w:rsidP="006C6227">
            <w:pPr>
              <w:jc w:val="center"/>
              <w:rPr>
                <w:sz w:val="24"/>
                <w:szCs w:val="24"/>
              </w:rPr>
            </w:pPr>
            <w:r w:rsidRPr="00ED5612">
              <w:rPr>
                <w:sz w:val="24"/>
                <w:szCs w:val="24"/>
              </w:rPr>
              <w:t>0,1</w:t>
            </w:r>
          </w:p>
        </w:tc>
        <w:tc>
          <w:tcPr>
            <w:tcW w:w="1050" w:type="dxa"/>
            <w:noWrap/>
            <w:hideMark/>
          </w:tcPr>
          <w:p w:rsidR="004E5E06" w:rsidRPr="00ED5612" w:rsidRDefault="004E5E06" w:rsidP="006C6227">
            <w:pPr>
              <w:jc w:val="center"/>
              <w:rPr>
                <w:sz w:val="24"/>
                <w:szCs w:val="24"/>
              </w:rPr>
            </w:pPr>
            <w:r w:rsidRPr="00ED5612">
              <w:rPr>
                <w:sz w:val="24"/>
                <w:szCs w:val="24"/>
              </w:rPr>
              <w:t>0,1</w:t>
            </w:r>
          </w:p>
        </w:tc>
      </w:tr>
      <w:tr w:rsidR="006C6227" w:rsidRPr="00ED5612" w:rsidTr="006C6227">
        <w:trPr>
          <w:trHeight w:val="273"/>
        </w:trPr>
        <w:tc>
          <w:tcPr>
            <w:tcW w:w="520" w:type="dxa"/>
            <w:noWrap/>
          </w:tcPr>
          <w:p w:rsidR="006C6227" w:rsidRPr="006C6227" w:rsidRDefault="006C6227" w:rsidP="006C6227">
            <w:pPr>
              <w:jc w:val="center"/>
              <w:rPr>
                <w:sz w:val="24"/>
                <w:szCs w:val="24"/>
              </w:rPr>
            </w:pPr>
            <w:r w:rsidRPr="006C6227">
              <w:rPr>
                <w:sz w:val="24"/>
                <w:szCs w:val="24"/>
              </w:rPr>
              <w:lastRenderedPageBreak/>
              <w:t>1</w:t>
            </w:r>
          </w:p>
        </w:tc>
        <w:tc>
          <w:tcPr>
            <w:tcW w:w="5853" w:type="dxa"/>
          </w:tcPr>
          <w:p w:rsidR="006C6227" w:rsidRPr="006C6227" w:rsidRDefault="006C6227" w:rsidP="006C6227">
            <w:pPr>
              <w:jc w:val="center"/>
              <w:rPr>
                <w:sz w:val="24"/>
                <w:szCs w:val="24"/>
              </w:rPr>
            </w:pPr>
            <w:r w:rsidRPr="006C6227">
              <w:rPr>
                <w:sz w:val="24"/>
                <w:szCs w:val="24"/>
              </w:rPr>
              <w:t>2</w:t>
            </w:r>
          </w:p>
        </w:tc>
        <w:tc>
          <w:tcPr>
            <w:tcW w:w="950" w:type="dxa"/>
            <w:noWrap/>
          </w:tcPr>
          <w:p w:rsidR="006C6227" w:rsidRPr="006C6227" w:rsidRDefault="006C6227" w:rsidP="006C6227">
            <w:pPr>
              <w:jc w:val="center"/>
              <w:rPr>
                <w:sz w:val="24"/>
                <w:szCs w:val="24"/>
              </w:rPr>
            </w:pPr>
            <w:r w:rsidRPr="006C6227">
              <w:rPr>
                <w:sz w:val="24"/>
                <w:szCs w:val="24"/>
              </w:rPr>
              <w:t>3</w:t>
            </w:r>
          </w:p>
        </w:tc>
        <w:tc>
          <w:tcPr>
            <w:tcW w:w="994" w:type="dxa"/>
            <w:noWrap/>
          </w:tcPr>
          <w:p w:rsidR="006C6227" w:rsidRPr="006C6227" w:rsidRDefault="006C6227" w:rsidP="006C6227">
            <w:pPr>
              <w:jc w:val="center"/>
              <w:rPr>
                <w:sz w:val="24"/>
                <w:szCs w:val="24"/>
              </w:rPr>
            </w:pPr>
            <w:r w:rsidRPr="006C6227">
              <w:rPr>
                <w:sz w:val="24"/>
                <w:szCs w:val="24"/>
              </w:rPr>
              <w:t>4</w:t>
            </w:r>
          </w:p>
        </w:tc>
        <w:tc>
          <w:tcPr>
            <w:tcW w:w="1050" w:type="dxa"/>
            <w:noWrap/>
          </w:tcPr>
          <w:p w:rsidR="006C6227" w:rsidRPr="006C6227" w:rsidRDefault="006C6227" w:rsidP="006C6227">
            <w:pPr>
              <w:jc w:val="center"/>
              <w:rPr>
                <w:sz w:val="24"/>
                <w:szCs w:val="24"/>
              </w:rPr>
            </w:pPr>
            <w:r w:rsidRPr="006C6227">
              <w:rPr>
                <w:sz w:val="24"/>
                <w:szCs w:val="24"/>
              </w:rPr>
              <w:t>5</w:t>
            </w:r>
          </w:p>
        </w:tc>
      </w:tr>
      <w:tr w:rsidR="00E7495D" w:rsidRPr="00ED5612" w:rsidTr="00D45A3B">
        <w:trPr>
          <w:trHeight w:val="556"/>
        </w:trPr>
        <w:tc>
          <w:tcPr>
            <w:tcW w:w="520" w:type="dxa"/>
            <w:noWrap/>
            <w:hideMark/>
          </w:tcPr>
          <w:p w:rsidR="00E7495D" w:rsidRPr="00ED5612" w:rsidRDefault="00E7495D" w:rsidP="00C03B8E">
            <w:pPr>
              <w:jc w:val="both"/>
              <w:rPr>
                <w:sz w:val="24"/>
                <w:szCs w:val="24"/>
              </w:rPr>
            </w:pPr>
            <w:r w:rsidRPr="00ED5612">
              <w:rPr>
                <w:sz w:val="24"/>
                <w:szCs w:val="24"/>
              </w:rPr>
              <w:t>22.</w:t>
            </w:r>
          </w:p>
        </w:tc>
        <w:tc>
          <w:tcPr>
            <w:tcW w:w="5853" w:type="dxa"/>
            <w:hideMark/>
          </w:tcPr>
          <w:p w:rsidR="00E7495D" w:rsidRPr="00ED5612" w:rsidRDefault="00E7495D" w:rsidP="009F7D43">
            <w:pPr>
              <w:rPr>
                <w:sz w:val="24"/>
                <w:szCs w:val="24"/>
              </w:rPr>
            </w:pPr>
            <w:r w:rsidRPr="00ED5612">
              <w:rPr>
                <w:sz w:val="24"/>
                <w:szCs w:val="24"/>
              </w:rPr>
              <w:t xml:space="preserve">Baltijos paveldo maršrutai. Paveldo turizmo infrastruktūros plėtra Pietų Baltijos teritorijoje </w:t>
            </w:r>
          </w:p>
        </w:tc>
        <w:tc>
          <w:tcPr>
            <w:tcW w:w="950" w:type="dxa"/>
            <w:noWrap/>
            <w:hideMark/>
          </w:tcPr>
          <w:p w:rsidR="00E7495D" w:rsidRPr="00ED5612" w:rsidRDefault="00E7495D" w:rsidP="006C6227">
            <w:pPr>
              <w:jc w:val="center"/>
              <w:rPr>
                <w:sz w:val="24"/>
                <w:szCs w:val="24"/>
              </w:rPr>
            </w:pPr>
            <w:r w:rsidRPr="00ED5612">
              <w:rPr>
                <w:sz w:val="24"/>
                <w:szCs w:val="24"/>
              </w:rPr>
              <w:t>37,0</w:t>
            </w:r>
          </w:p>
        </w:tc>
        <w:tc>
          <w:tcPr>
            <w:tcW w:w="994" w:type="dxa"/>
            <w:noWrap/>
            <w:hideMark/>
          </w:tcPr>
          <w:p w:rsidR="00E7495D" w:rsidRPr="00ED5612" w:rsidRDefault="00E7495D" w:rsidP="006C6227">
            <w:pPr>
              <w:jc w:val="center"/>
              <w:rPr>
                <w:sz w:val="24"/>
                <w:szCs w:val="24"/>
              </w:rPr>
            </w:pPr>
            <w:r w:rsidRPr="00ED5612">
              <w:rPr>
                <w:sz w:val="24"/>
                <w:szCs w:val="24"/>
              </w:rPr>
              <w:t>18,7</w:t>
            </w:r>
          </w:p>
        </w:tc>
        <w:tc>
          <w:tcPr>
            <w:tcW w:w="1050" w:type="dxa"/>
            <w:noWrap/>
            <w:hideMark/>
          </w:tcPr>
          <w:p w:rsidR="00E7495D" w:rsidRPr="00ED5612" w:rsidRDefault="00E7495D" w:rsidP="006C6227">
            <w:pPr>
              <w:jc w:val="center"/>
              <w:rPr>
                <w:sz w:val="24"/>
                <w:szCs w:val="24"/>
              </w:rPr>
            </w:pPr>
            <w:r w:rsidRPr="00ED5612">
              <w:rPr>
                <w:sz w:val="24"/>
                <w:szCs w:val="24"/>
              </w:rPr>
              <w:t>18,0</w:t>
            </w:r>
          </w:p>
        </w:tc>
      </w:tr>
      <w:tr w:rsidR="00E7495D" w:rsidRPr="00ED5612" w:rsidTr="00C03B8E">
        <w:trPr>
          <w:trHeight w:val="945"/>
        </w:trPr>
        <w:tc>
          <w:tcPr>
            <w:tcW w:w="520" w:type="dxa"/>
            <w:noWrap/>
            <w:hideMark/>
          </w:tcPr>
          <w:p w:rsidR="00E7495D" w:rsidRPr="00ED5612" w:rsidRDefault="00E7495D" w:rsidP="00C03B8E">
            <w:pPr>
              <w:jc w:val="both"/>
              <w:rPr>
                <w:sz w:val="24"/>
                <w:szCs w:val="24"/>
              </w:rPr>
            </w:pPr>
            <w:r w:rsidRPr="00ED5612">
              <w:rPr>
                <w:sz w:val="24"/>
                <w:szCs w:val="24"/>
              </w:rPr>
              <w:t>23.</w:t>
            </w:r>
          </w:p>
        </w:tc>
        <w:tc>
          <w:tcPr>
            <w:tcW w:w="5853" w:type="dxa"/>
            <w:hideMark/>
          </w:tcPr>
          <w:p w:rsidR="00E7495D" w:rsidRPr="009F7D43" w:rsidRDefault="00E7495D" w:rsidP="00187EBF">
            <w:pPr>
              <w:rPr>
                <w:sz w:val="24"/>
                <w:szCs w:val="24"/>
              </w:rPr>
            </w:pPr>
            <w:r w:rsidRPr="00ED5612">
              <w:rPr>
                <w:sz w:val="24"/>
                <w:szCs w:val="24"/>
              </w:rPr>
              <w:t>Plungė</w:t>
            </w:r>
            <w:r w:rsidR="009F7D43">
              <w:rPr>
                <w:sz w:val="24"/>
                <w:szCs w:val="24"/>
              </w:rPr>
              <w:t>s</w:t>
            </w:r>
            <w:r w:rsidRPr="009F7D43">
              <w:rPr>
                <w:sz w:val="24"/>
                <w:szCs w:val="24"/>
              </w:rPr>
              <w:t xml:space="preserve"> miesto ir priemiesčio gyventojų privačių namų prijungimas prie geriamojo vandens tiekėjams ir nuotekų tvarkytojams arba </w:t>
            </w:r>
            <w:r w:rsidR="009F7D43">
              <w:rPr>
                <w:sz w:val="24"/>
                <w:szCs w:val="24"/>
              </w:rPr>
              <w:t>S</w:t>
            </w:r>
            <w:r w:rsidRPr="009F7D43">
              <w:rPr>
                <w:sz w:val="24"/>
                <w:szCs w:val="24"/>
              </w:rPr>
              <w:t xml:space="preserve">avivaldybei priklausančios nuotekų surinkimo infrastruktūros </w:t>
            </w:r>
          </w:p>
        </w:tc>
        <w:tc>
          <w:tcPr>
            <w:tcW w:w="950" w:type="dxa"/>
            <w:noWrap/>
            <w:hideMark/>
          </w:tcPr>
          <w:p w:rsidR="00E7495D" w:rsidRPr="00ED5612" w:rsidRDefault="00E7495D" w:rsidP="006C6227">
            <w:pPr>
              <w:jc w:val="center"/>
              <w:rPr>
                <w:sz w:val="24"/>
                <w:szCs w:val="24"/>
              </w:rPr>
            </w:pPr>
            <w:r w:rsidRPr="00ED5612">
              <w:rPr>
                <w:sz w:val="24"/>
                <w:szCs w:val="24"/>
              </w:rPr>
              <w:t>2,4</w:t>
            </w:r>
          </w:p>
        </w:tc>
        <w:tc>
          <w:tcPr>
            <w:tcW w:w="994" w:type="dxa"/>
            <w:noWrap/>
            <w:hideMark/>
          </w:tcPr>
          <w:p w:rsidR="00E7495D" w:rsidRPr="00ED5612" w:rsidRDefault="00E7495D" w:rsidP="006C6227">
            <w:pPr>
              <w:jc w:val="center"/>
              <w:rPr>
                <w:sz w:val="24"/>
                <w:szCs w:val="24"/>
              </w:rPr>
            </w:pPr>
            <w:r w:rsidRPr="00ED5612">
              <w:rPr>
                <w:sz w:val="24"/>
                <w:szCs w:val="24"/>
              </w:rPr>
              <w:t>2,4</w:t>
            </w:r>
          </w:p>
        </w:tc>
        <w:tc>
          <w:tcPr>
            <w:tcW w:w="1050" w:type="dxa"/>
            <w:noWrap/>
            <w:hideMark/>
          </w:tcPr>
          <w:p w:rsidR="00E7495D" w:rsidRPr="00ED5612" w:rsidRDefault="00E7495D" w:rsidP="006C6227">
            <w:pPr>
              <w:jc w:val="center"/>
              <w:rPr>
                <w:sz w:val="24"/>
                <w:szCs w:val="24"/>
              </w:rPr>
            </w:pPr>
          </w:p>
        </w:tc>
      </w:tr>
      <w:tr w:rsidR="00E7495D" w:rsidRPr="00ED5612" w:rsidTr="00C03B8E">
        <w:trPr>
          <w:trHeight w:val="600"/>
        </w:trPr>
        <w:tc>
          <w:tcPr>
            <w:tcW w:w="520" w:type="dxa"/>
            <w:noWrap/>
            <w:hideMark/>
          </w:tcPr>
          <w:p w:rsidR="00E7495D" w:rsidRPr="00ED5612" w:rsidRDefault="00E7495D" w:rsidP="00C03B8E">
            <w:pPr>
              <w:jc w:val="both"/>
              <w:rPr>
                <w:sz w:val="24"/>
                <w:szCs w:val="24"/>
              </w:rPr>
            </w:pPr>
            <w:r w:rsidRPr="00ED5612">
              <w:rPr>
                <w:sz w:val="24"/>
                <w:szCs w:val="24"/>
              </w:rPr>
              <w:t>24.</w:t>
            </w:r>
          </w:p>
        </w:tc>
        <w:tc>
          <w:tcPr>
            <w:tcW w:w="5853" w:type="dxa"/>
            <w:hideMark/>
          </w:tcPr>
          <w:p w:rsidR="00E7495D" w:rsidRPr="00ED5612" w:rsidRDefault="00E7495D" w:rsidP="00187EBF">
            <w:pPr>
              <w:rPr>
                <w:sz w:val="24"/>
                <w:szCs w:val="24"/>
              </w:rPr>
            </w:pPr>
            <w:r w:rsidRPr="00ED5612">
              <w:rPr>
                <w:sz w:val="24"/>
                <w:szCs w:val="24"/>
              </w:rPr>
              <w:t xml:space="preserve">Buvusio mokyklos pastato dalies ir viešųjų erdvių </w:t>
            </w:r>
            <w:proofErr w:type="spellStart"/>
            <w:r w:rsidRPr="00ED5612">
              <w:rPr>
                <w:sz w:val="24"/>
                <w:szCs w:val="24"/>
              </w:rPr>
              <w:t>Narvaišių</w:t>
            </w:r>
            <w:proofErr w:type="spellEnd"/>
            <w:r w:rsidRPr="00ED5612">
              <w:rPr>
                <w:sz w:val="24"/>
                <w:szCs w:val="24"/>
              </w:rPr>
              <w:t xml:space="preserve"> kaime kompleksiškas atnaujinimas</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101,3</w:t>
            </w:r>
          </w:p>
        </w:tc>
        <w:tc>
          <w:tcPr>
            <w:tcW w:w="1050" w:type="dxa"/>
            <w:noWrap/>
            <w:hideMark/>
          </w:tcPr>
          <w:p w:rsidR="00E7495D" w:rsidRPr="00ED5612" w:rsidRDefault="00E7495D" w:rsidP="006C6227">
            <w:pPr>
              <w:jc w:val="center"/>
              <w:rPr>
                <w:sz w:val="24"/>
                <w:szCs w:val="24"/>
              </w:rPr>
            </w:pPr>
            <w:r w:rsidRPr="00ED5612">
              <w:rPr>
                <w:sz w:val="24"/>
                <w:szCs w:val="24"/>
              </w:rPr>
              <w:t>101,2</w:t>
            </w:r>
          </w:p>
        </w:tc>
      </w:tr>
      <w:tr w:rsidR="00E7495D" w:rsidRPr="00ED5612" w:rsidTr="00D45A3B">
        <w:trPr>
          <w:trHeight w:val="248"/>
        </w:trPr>
        <w:tc>
          <w:tcPr>
            <w:tcW w:w="520" w:type="dxa"/>
            <w:noWrap/>
            <w:hideMark/>
          </w:tcPr>
          <w:p w:rsidR="00E7495D" w:rsidRPr="00ED5612" w:rsidRDefault="00E7495D" w:rsidP="00C03B8E">
            <w:pPr>
              <w:jc w:val="both"/>
              <w:rPr>
                <w:sz w:val="24"/>
                <w:szCs w:val="24"/>
              </w:rPr>
            </w:pPr>
            <w:r w:rsidRPr="00ED5612">
              <w:rPr>
                <w:sz w:val="24"/>
                <w:szCs w:val="24"/>
              </w:rPr>
              <w:t>25.</w:t>
            </w:r>
          </w:p>
        </w:tc>
        <w:tc>
          <w:tcPr>
            <w:tcW w:w="5853" w:type="dxa"/>
            <w:hideMark/>
          </w:tcPr>
          <w:p w:rsidR="00E7495D" w:rsidRPr="00ED5612" w:rsidRDefault="00E7495D" w:rsidP="00187EBF">
            <w:pPr>
              <w:rPr>
                <w:sz w:val="24"/>
                <w:szCs w:val="24"/>
              </w:rPr>
            </w:pPr>
            <w:r w:rsidRPr="00ED5612">
              <w:rPr>
                <w:sz w:val="24"/>
                <w:szCs w:val="24"/>
              </w:rPr>
              <w:t xml:space="preserve">Plungės miesto darnaus </w:t>
            </w:r>
            <w:proofErr w:type="spellStart"/>
            <w:r w:rsidRPr="00ED5612">
              <w:rPr>
                <w:sz w:val="24"/>
                <w:szCs w:val="24"/>
              </w:rPr>
              <w:t>judumo</w:t>
            </w:r>
            <w:proofErr w:type="spellEnd"/>
            <w:r w:rsidRPr="00ED5612">
              <w:rPr>
                <w:sz w:val="24"/>
                <w:szCs w:val="24"/>
              </w:rPr>
              <w:t xml:space="preserve"> plano parengimas</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13,4</w:t>
            </w:r>
          </w:p>
        </w:tc>
        <w:tc>
          <w:tcPr>
            <w:tcW w:w="1050" w:type="dxa"/>
            <w:noWrap/>
            <w:hideMark/>
          </w:tcPr>
          <w:p w:rsidR="00E7495D" w:rsidRPr="00ED5612" w:rsidRDefault="00E7495D" w:rsidP="006C6227">
            <w:pPr>
              <w:jc w:val="center"/>
              <w:rPr>
                <w:sz w:val="24"/>
                <w:szCs w:val="24"/>
              </w:rPr>
            </w:pPr>
            <w:r w:rsidRPr="00ED5612">
              <w:rPr>
                <w:sz w:val="24"/>
                <w:szCs w:val="24"/>
              </w:rPr>
              <w:t>13,4</w:t>
            </w:r>
          </w:p>
        </w:tc>
      </w:tr>
      <w:tr w:rsidR="00E7495D" w:rsidRPr="00ED5612" w:rsidTr="00097EA4">
        <w:trPr>
          <w:trHeight w:val="256"/>
        </w:trPr>
        <w:tc>
          <w:tcPr>
            <w:tcW w:w="520" w:type="dxa"/>
            <w:noWrap/>
            <w:hideMark/>
          </w:tcPr>
          <w:p w:rsidR="00E7495D" w:rsidRPr="00ED5612" w:rsidRDefault="00E7495D" w:rsidP="00C03B8E">
            <w:pPr>
              <w:jc w:val="both"/>
              <w:rPr>
                <w:sz w:val="24"/>
                <w:szCs w:val="24"/>
              </w:rPr>
            </w:pPr>
            <w:r w:rsidRPr="00ED5612">
              <w:rPr>
                <w:sz w:val="24"/>
                <w:szCs w:val="24"/>
              </w:rPr>
              <w:t>26.</w:t>
            </w:r>
          </w:p>
        </w:tc>
        <w:tc>
          <w:tcPr>
            <w:tcW w:w="5853" w:type="dxa"/>
            <w:hideMark/>
          </w:tcPr>
          <w:p w:rsidR="001F0C24" w:rsidRPr="00ED5612" w:rsidRDefault="00BE5FC0" w:rsidP="00097EA4">
            <w:pPr>
              <w:rPr>
                <w:sz w:val="24"/>
                <w:szCs w:val="24"/>
              </w:rPr>
            </w:pPr>
            <w:r w:rsidRPr="00ED5612">
              <w:rPr>
                <w:sz w:val="24"/>
                <w:szCs w:val="24"/>
              </w:rPr>
              <w:t>Kulių gi</w:t>
            </w:r>
            <w:r w:rsidR="00E7495D" w:rsidRPr="00ED5612">
              <w:rPr>
                <w:sz w:val="24"/>
                <w:szCs w:val="24"/>
              </w:rPr>
              <w:t>mnazijos kapitalinis remontas</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73,1</w:t>
            </w:r>
          </w:p>
        </w:tc>
        <w:tc>
          <w:tcPr>
            <w:tcW w:w="1050" w:type="dxa"/>
            <w:noWrap/>
            <w:hideMark/>
          </w:tcPr>
          <w:p w:rsidR="00E7495D" w:rsidRPr="00ED5612" w:rsidRDefault="00E7495D" w:rsidP="006C6227">
            <w:pPr>
              <w:jc w:val="center"/>
              <w:rPr>
                <w:sz w:val="24"/>
                <w:szCs w:val="24"/>
              </w:rPr>
            </w:pPr>
            <w:r w:rsidRPr="00ED5612">
              <w:rPr>
                <w:sz w:val="24"/>
                <w:szCs w:val="24"/>
              </w:rPr>
              <w:t>62,4</w:t>
            </w:r>
          </w:p>
        </w:tc>
      </w:tr>
      <w:tr w:rsidR="00E7495D" w:rsidRPr="00ED5612" w:rsidTr="00C03B8E">
        <w:trPr>
          <w:trHeight w:val="960"/>
        </w:trPr>
        <w:tc>
          <w:tcPr>
            <w:tcW w:w="520" w:type="dxa"/>
            <w:noWrap/>
            <w:hideMark/>
          </w:tcPr>
          <w:p w:rsidR="00E7495D" w:rsidRPr="00ED5612" w:rsidRDefault="00E7495D" w:rsidP="00C03B8E">
            <w:pPr>
              <w:jc w:val="both"/>
              <w:rPr>
                <w:sz w:val="24"/>
                <w:szCs w:val="24"/>
              </w:rPr>
            </w:pPr>
            <w:r w:rsidRPr="00ED5612">
              <w:rPr>
                <w:sz w:val="24"/>
                <w:szCs w:val="24"/>
              </w:rPr>
              <w:t>27.</w:t>
            </w:r>
          </w:p>
        </w:tc>
        <w:tc>
          <w:tcPr>
            <w:tcW w:w="5853" w:type="dxa"/>
            <w:hideMark/>
          </w:tcPr>
          <w:p w:rsidR="001F0C24" w:rsidRPr="00ED5612" w:rsidRDefault="00E7495D" w:rsidP="001F0C24">
            <w:pPr>
              <w:rPr>
                <w:sz w:val="24"/>
                <w:szCs w:val="24"/>
              </w:rPr>
            </w:pPr>
            <w:r w:rsidRPr="00ED5612">
              <w:rPr>
                <w:sz w:val="24"/>
                <w:szCs w:val="24"/>
              </w:rPr>
              <w:t>Užterštos teritorijos buvusioje naftos produktų bazėje</w:t>
            </w:r>
            <w:r w:rsidR="009F7D43">
              <w:rPr>
                <w:sz w:val="24"/>
                <w:szCs w:val="24"/>
              </w:rPr>
              <w:t>,</w:t>
            </w:r>
            <w:r w:rsidRPr="009F7D43">
              <w:rPr>
                <w:sz w:val="24"/>
                <w:szCs w:val="24"/>
              </w:rPr>
              <w:t xml:space="preserve"> </w:t>
            </w:r>
            <w:proofErr w:type="spellStart"/>
            <w:r w:rsidRPr="009F7D43">
              <w:rPr>
                <w:sz w:val="24"/>
                <w:szCs w:val="24"/>
              </w:rPr>
              <w:t>Šateikių</w:t>
            </w:r>
            <w:proofErr w:type="spellEnd"/>
            <w:r w:rsidRPr="009F7D43">
              <w:rPr>
                <w:sz w:val="24"/>
                <w:szCs w:val="24"/>
              </w:rPr>
              <w:t xml:space="preserve"> sen.</w:t>
            </w:r>
            <w:r w:rsidR="009F7D43">
              <w:rPr>
                <w:sz w:val="24"/>
                <w:szCs w:val="24"/>
              </w:rPr>
              <w:t>,</w:t>
            </w:r>
            <w:r w:rsidRPr="009F7D43">
              <w:rPr>
                <w:sz w:val="24"/>
                <w:szCs w:val="24"/>
              </w:rPr>
              <w:t xml:space="preserve"> </w:t>
            </w:r>
            <w:proofErr w:type="spellStart"/>
            <w:r w:rsidRPr="009F7D43">
              <w:rPr>
                <w:sz w:val="24"/>
                <w:szCs w:val="24"/>
              </w:rPr>
              <w:t>Narvaišių</w:t>
            </w:r>
            <w:proofErr w:type="spellEnd"/>
            <w:r w:rsidRPr="009F7D43">
              <w:rPr>
                <w:sz w:val="24"/>
                <w:szCs w:val="24"/>
              </w:rPr>
              <w:t xml:space="preserve"> km.</w:t>
            </w:r>
            <w:r w:rsidR="009F7D43">
              <w:rPr>
                <w:sz w:val="24"/>
                <w:szCs w:val="24"/>
              </w:rPr>
              <w:t>,</w:t>
            </w:r>
            <w:r w:rsidRPr="009F7D43">
              <w:rPr>
                <w:sz w:val="24"/>
                <w:szCs w:val="24"/>
              </w:rPr>
              <w:t xml:space="preserve"> ir cheminėmis medžiagomis užterštos teritorijos, esančios Plungėje, Birutės gatvėje, greta </w:t>
            </w:r>
            <w:proofErr w:type="spellStart"/>
            <w:r w:rsidRPr="009F7D43">
              <w:rPr>
                <w:sz w:val="24"/>
                <w:szCs w:val="24"/>
              </w:rPr>
              <w:t>Gandingos</w:t>
            </w:r>
            <w:proofErr w:type="spellEnd"/>
            <w:r w:rsidRPr="009F7D43">
              <w:rPr>
                <w:sz w:val="24"/>
                <w:szCs w:val="24"/>
              </w:rPr>
              <w:t xml:space="preserve"> HE tvenkinio </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2,4</w:t>
            </w:r>
          </w:p>
        </w:tc>
        <w:tc>
          <w:tcPr>
            <w:tcW w:w="1050" w:type="dxa"/>
            <w:noWrap/>
            <w:hideMark/>
          </w:tcPr>
          <w:p w:rsidR="00E7495D" w:rsidRPr="00ED5612" w:rsidRDefault="00E7495D" w:rsidP="006C6227">
            <w:pPr>
              <w:jc w:val="center"/>
              <w:rPr>
                <w:sz w:val="24"/>
                <w:szCs w:val="24"/>
              </w:rPr>
            </w:pPr>
            <w:r w:rsidRPr="00ED5612">
              <w:rPr>
                <w:sz w:val="24"/>
                <w:szCs w:val="24"/>
              </w:rPr>
              <w:t>2,4</w:t>
            </w:r>
          </w:p>
        </w:tc>
      </w:tr>
      <w:tr w:rsidR="00E7495D" w:rsidRPr="00ED5612" w:rsidTr="00C03B8E">
        <w:trPr>
          <w:trHeight w:val="585"/>
        </w:trPr>
        <w:tc>
          <w:tcPr>
            <w:tcW w:w="520" w:type="dxa"/>
            <w:noWrap/>
            <w:hideMark/>
          </w:tcPr>
          <w:p w:rsidR="00E7495D" w:rsidRPr="00ED5612" w:rsidRDefault="00E7495D" w:rsidP="00C03B8E">
            <w:pPr>
              <w:jc w:val="both"/>
              <w:rPr>
                <w:sz w:val="24"/>
                <w:szCs w:val="24"/>
              </w:rPr>
            </w:pPr>
            <w:r w:rsidRPr="00ED5612">
              <w:rPr>
                <w:sz w:val="24"/>
                <w:szCs w:val="24"/>
              </w:rPr>
              <w:t>28.</w:t>
            </w:r>
          </w:p>
        </w:tc>
        <w:tc>
          <w:tcPr>
            <w:tcW w:w="5853" w:type="dxa"/>
            <w:hideMark/>
          </w:tcPr>
          <w:p w:rsidR="00E7495D" w:rsidRPr="00ED5612" w:rsidRDefault="00E7495D" w:rsidP="00187EBF">
            <w:pPr>
              <w:rPr>
                <w:sz w:val="24"/>
                <w:szCs w:val="24"/>
              </w:rPr>
            </w:pPr>
            <w:r w:rsidRPr="00ED5612">
              <w:rPr>
                <w:sz w:val="24"/>
                <w:szCs w:val="24"/>
              </w:rPr>
              <w:t>Lauko scenos ir sporto aikštelės Plateliuose įrengimas ir pritaikymas bendruomenės poreikiams</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13,8</w:t>
            </w:r>
          </w:p>
        </w:tc>
        <w:tc>
          <w:tcPr>
            <w:tcW w:w="1050" w:type="dxa"/>
            <w:noWrap/>
            <w:hideMark/>
          </w:tcPr>
          <w:p w:rsidR="00E7495D" w:rsidRPr="00ED5612" w:rsidRDefault="00E7495D" w:rsidP="006C6227">
            <w:pPr>
              <w:jc w:val="center"/>
              <w:rPr>
                <w:sz w:val="24"/>
                <w:szCs w:val="24"/>
              </w:rPr>
            </w:pPr>
            <w:r w:rsidRPr="00ED5612">
              <w:rPr>
                <w:sz w:val="24"/>
                <w:szCs w:val="24"/>
              </w:rPr>
              <w:t>13,7</w:t>
            </w:r>
          </w:p>
        </w:tc>
      </w:tr>
      <w:tr w:rsidR="00E7495D" w:rsidRPr="00ED5612" w:rsidTr="00C03B8E">
        <w:trPr>
          <w:trHeight w:val="285"/>
        </w:trPr>
        <w:tc>
          <w:tcPr>
            <w:tcW w:w="520" w:type="dxa"/>
            <w:noWrap/>
            <w:hideMark/>
          </w:tcPr>
          <w:p w:rsidR="00E7495D" w:rsidRPr="00ED5612" w:rsidRDefault="00E7495D" w:rsidP="00C03B8E">
            <w:pPr>
              <w:jc w:val="both"/>
              <w:rPr>
                <w:sz w:val="24"/>
                <w:szCs w:val="24"/>
              </w:rPr>
            </w:pPr>
            <w:r w:rsidRPr="00ED5612">
              <w:rPr>
                <w:sz w:val="24"/>
                <w:szCs w:val="24"/>
              </w:rPr>
              <w:t>29.</w:t>
            </w:r>
          </w:p>
        </w:tc>
        <w:tc>
          <w:tcPr>
            <w:tcW w:w="5853" w:type="dxa"/>
            <w:hideMark/>
          </w:tcPr>
          <w:p w:rsidR="00E7495D" w:rsidRPr="00ED5612" w:rsidRDefault="00E7495D" w:rsidP="00097EA4">
            <w:pPr>
              <w:rPr>
                <w:sz w:val="24"/>
                <w:szCs w:val="24"/>
              </w:rPr>
            </w:pPr>
            <w:r w:rsidRPr="00ED5612">
              <w:rPr>
                <w:sz w:val="24"/>
                <w:szCs w:val="24"/>
              </w:rPr>
              <w:t xml:space="preserve">Saulės gimnazijos pastato rekonstrukcija </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9,6</w:t>
            </w:r>
          </w:p>
        </w:tc>
        <w:tc>
          <w:tcPr>
            <w:tcW w:w="1050" w:type="dxa"/>
            <w:noWrap/>
            <w:hideMark/>
          </w:tcPr>
          <w:p w:rsidR="00E7495D" w:rsidRPr="00ED5612" w:rsidRDefault="00E7495D" w:rsidP="006C6227">
            <w:pPr>
              <w:jc w:val="center"/>
              <w:rPr>
                <w:sz w:val="24"/>
                <w:szCs w:val="24"/>
              </w:rPr>
            </w:pPr>
            <w:r w:rsidRPr="00ED5612">
              <w:rPr>
                <w:sz w:val="24"/>
                <w:szCs w:val="24"/>
              </w:rPr>
              <w:t>9,6</w:t>
            </w:r>
          </w:p>
        </w:tc>
      </w:tr>
      <w:tr w:rsidR="00E7495D" w:rsidRPr="00ED5612" w:rsidTr="00C03B8E">
        <w:trPr>
          <w:trHeight w:val="585"/>
        </w:trPr>
        <w:tc>
          <w:tcPr>
            <w:tcW w:w="520" w:type="dxa"/>
            <w:noWrap/>
            <w:hideMark/>
          </w:tcPr>
          <w:p w:rsidR="00E7495D" w:rsidRPr="00ED5612" w:rsidRDefault="00E7495D" w:rsidP="00C03B8E">
            <w:pPr>
              <w:jc w:val="both"/>
              <w:rPr>
                <w:sz w:val="24"/>
                <w:szCs w:val="24"/>
              </w:rPr>
            </w:pPr>
            <w:r w:rsidRPr="00ED5612">
              <w:rPr>
                <w:sz w:val="24"/>
                <w:szCs w:val="24"/>
              </w:rPr>
              <w:t>30.</w:t>
            </w:r>
          </w:p>
        </w:tc>
        <w:tc>
          <w:tcPr>
            <w:tcW w:w="5853" w:type="dxa"/>
            <w:hideMark/>
          </w:tcPr>
          <w:p w:rsidR="00E7495D" w:rsidRPr="00ED5612" w:rsidRDefault="00E7495D" w:rsidP="00187EBF">
            <w:pPr>
              <w:rPr>
                <w:sz w:val="24"/>
                <w:szCs w:val="24"/>
              </w:rPr>
            </w:pPr>
            <w:r w:rsidRPr="00ED5612">
              <w:rPr>
                <w:sz w:val="24"/>
                <w:szCs w:val="24"/>
              </w:rPr>
              <w:t>Teikiamų paslaugų procesų tobulinimas ir aptarnavimo kokybės gerinimas Plungės rajono savivaldybėje</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1,3</w:t>
            </w:r>
          </w:p>
        </w:tc>
        <w:tc>
          <w:tcPr>
            <w:tcW w:w="1050" w:type="dxa"/>
            <w:noWrap/>
            <w:hideMark/>
          </w:tcPr>
          <w:p w:rsidR="00E7495D" w:rsidRPr="00ED5612" w:rsidRDefault="00E7495D" w:rsidP="006C6227">
            <w:pPr>
              <w:jc w:val="center"/>
              <w:rPr>
                <w:sz w:val="24"/>
                <w:szCs w:val="24"/>
              </w:rPr>
            </w:pPr>
            <w:r w:rsidRPr="00ED5612">
              <w:rPr>
                <w:sz w:val="24"/>
                <w:szCs w:val="24"/>
              </w:rPr>
              <w:t>1,2</w:t>
            </w:r>
          </w:p>
        </w:tc>
      </w:tr>
      <w:tr w:rsidR="00E7495D" w:rsidRPr="00ED5612" w:rsidTr="00C03B8E">
        <w:trPr>
          <w:trHeight w:val="630"/>
        </w:trPr>
        <w:tc>
          <w:tcPr>
            <w:tcW w:w="520" w:type="dxa"/>
            <w:noWrap/>
            <w:hideMark/>
          </w:tcPr>
          <w:p w:rsidR="00E7495D" w:rsidRPr="00ED5612" w:rsidRDefault="00E7495D" w:rsidP="00C03B8E">
            <w:pPr>
              <w:jc w:val="both"/>
              <w:rPr>
                <w:sz w:val="24"/>
                <w:szCs w:val="24"/>
              </w:rPr>
            </w:pPr>
            <w:r w:rsidRPr="00ED5612">
              <w:rPr>
                <w:sz w:val="24"/>
                <w:szCs w:val="24"/>
              </w:rPr>
              <w:t>31.</w:t>
            </w:r>
          </w:p>
        </w:tc>
        <w:tc>
          <w:tcPr>
            <w:tcW w:w="5853" w:type="dxa"/>
            <w:hideMark/>
          </w:tcPr>
          <w:p w:rsidR="00E7495D" w:rsidRPr="00EC1E37" w:rsidRDefault="00E7495D" w:rsidP="00187EBF">
            <w:pPr>
              <w:rPr>
                <w:sz w:val="24"/>
                <w:szCs w:val="24"/>
              </w:rPr>
            </w:pPr>
            <w:r w:rsidRPr="00ED5612">
              <w:rPr>
                <w:sz w:val="24"/>
                <w:szCs w:val="24"/>
              </w:rPr>
              <w:t>Plungės r. sav. kultūros centro pastato Plungėje</w:t>
            </w:r>
            <w:r w:rsidR="00EC1E37">
              <w:rPr>
                <w:sz w:val="24"/>
                <w:szCs w:val="24"/>
              </w:rPr>
              <w:t>,</w:t>
            </w:r>
            <w:r w:rsidRPr="00EC1E37">
              <w:rPr>
                <w:sz w:val="24"/>
                <w:szCs w:val="24"/>
              </w:rPr>
              <w:t xml:space="preserve"> Senamiesčio a. 3</w:t>
            </w:r>
            <w:r w:rsidR="00EC1E37">
              <w:rPr>
                <w:sz w:val="24"/>
                <w:szCs w:val="24"/>
              </w:rPr>
              <w:t>,</w:t>
            </w:r>
            <w:r w:rsidRPr="00EC1E37">
              <w:rPr>
                <w:sz w:val="24"/>
                <w:szCs w:val="24"/>
              </w:rPr>
              <w:t xml:space="preserve"> rekonstravimas </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12,3</w:t>
            </w:r>
          </w:p>
        </w:tc>
        <w:tc>
          <w:tcPr>
            <w:tcW w:w="1050" w:type="dxa"/>
            <w:noWrap/>
            <w:hideMark/>
          </w:tcPr>
          <w:p w:rsidR="00E7495D" w:rsidRPr="00ED5612" w:rsidRDefault="00E7495D" w:rsidP="006C6227">
            <w:pPr>
              <w:jc w:val="center"/>
              <w:rPr>
                <w:sz w:val="24"/>
                <w:szCs w:val="24"/>
              </w:rPr>
            </w:pPr>
            <w:r w:rsidRPr="00ED5612">
              <w:rPr>
                <w:sz w:val="24"/>
                <w:szCs w:val="24"/>
              </w:rPr>
              <w:t>12,2</w:t>
            </w:r>
          </w:p>
        </w:tc>
      </w:tr>
      <w:tr w:rsidR="00E7495D" w:rsidRPr="00ED5612" w:rsidTr="00C03B8E">
        <w:trPr>
          <w:trHeight w:val="330"/>
        </w:trPr>
        <w:tc>
          <w:tcPr>
            <w:tcW w:w="520" w:type="dxa"/>
            <w:noWrap/>
            <w:hideMark/>
          </w:tcPr>
          <w:p w:rsidR="00E7495D" w:rsidRPr="00ED5612" w:rsidRDefault="00E7495D" w:rsidP="00C03B8E">
            <w:pPr>
              <w:jc w:val="both"/>
              <w:rPr>
                <w:sz w:val="24"/>
                <w:szCs w:val="24"/>
              </w:rPr>
            </w:pPr>
            <w:r w:rsidRPr="00ED5612">
              <w:rPr>
                <w:sz w:val="24"/>
                <w:szCs w:val="24"/>
              </w:rPr>
              <w:t>32.</w:t>
            </w:r>
          </w:p>
        </w:tc>
        <w:tc>
          <w:tcPr>
            <w:tcW w:w="5853" w:type="dxa"/>
            <w:hideMark/>
          </w:tcPr>
          <w:p w:rsidR="00E7495D" w:rsidRPr="00ED5612" w:rsidRDefault="00E7495D" w:rsidP="00187EBF">
            <w:pPr>
              <w:rPr>
                <w:sz w:val="24"/>
                <w:szCs w:val="24"/>
              </w:rPr>
            </w:pPr>
            <w:r w:rsidRPr="00ED5612">
              <w:rPr>
                <w:sz w:val="24"/>
                <w:szCs w:val="24"/>
              </w:rPr>
              <w:t>Senamiesčio mokyklos kapitalinis remontas</w:t>
            </w:r>
          </w:p>
        </w:tc>
        <w:tc>
          <w:tcPr>
            <w:tcW w:w="950" w:type="dxa"/>
            <w:noWrap/>
            <w:hideMark/>
          </w:tcPr>
          <w:p w:rsidR="00E7495D" w:rsidRPr="00ED5612" w:rsidRDefault="00E7495D" w:rsidP="006C6227">
            <w:pPr>
              <w:jc w:val="center"/>
              <w:rPr>
                <w:sz w:val="24"/>
                <w:szCs w:val="24"/>
              </w:rPr>
            </w:pPr>
            <w:r w:rsidRPr="00ED5612">
              <w:rPr>
                <w:sz w:val="24"/>
                <w:szCs w:val="24"/>
              </w:rPr>
              <w:t>0,0</w:t>
            </w:r>
          </w:p>
        </w:tc>
        <w:tc>
          <w:tcPr>
            <w:tcW w:w="994" w:type="dxa"/>
            <w:noWrap/>
            <w:hideMark/>
          </w:tcPr>
          <w:p w:rsidR="00E7495D" w:rsidRPr="00ED5612" w:rsidRDefault="00E7495D" w:rsidP="006C6227">
            <w:pPr>
              <w:jc w:val="center"/>
              <w:rPr>
                <w:sz w:val="24"/>
                <w:szCs w:val="24"/>
              </w:rPr>
            </w:pPr>
            <w:r w:rsidRPr="00ED5612">
              <w:rPr>
                <w:sz w:val="24"/>
                <w:szCs w:val="24"/>
              </w:rPr>
              <w:t>25,0</w:t>
            </w:r>
          </w:p>
        </w:tc>
        <w:tc>
          <w:tcPr>
            <w:tcW w:w="1050" w:type="dxa"/>
            <w:noWrap/>
            <w:hideMark/>
          </w:tcPr>
          <w:p w:rsidR="00E7495D" w:rsidRPr="00ED5612" w:rsidRDefault="00E7495D" w:rsidP="006C6227">
            <w:pPr>
              <w:jc w:val="center"/>
              <w:rPr>
                <w:sz w:val="24"/>
                <w:szCs w:val="24"/>
              </w:rPr>
            </w:pPr>
            <w:r w:rsidRPr="00ED5612">
              <w:rPr>
                <w:sz w:val="24"/>
                <w:szCs w:val="24"/>
              </w:rPr>
              <w:t>25,0</w:t>
            </w:r>
          </w:p>
        </w:tc>
      </w:tr>
      <w:tr w:rsidR="00E7495D" w:rsidRPr="00ED5612" w:rsidTr="00C03B8E">
        <w:trPr>
          <w:trHeight w:val="315"/>
        </w:trPr>
        <w:tc>
          <w:tcPr>
            <w:tcW w:w="6373" w:type="dxa"/>
            <w:gridSpan w:val="2"/>
            <w:noWrap/>
            <w:hideMark/>
          </w:tcPr>
          <w:p w:rsidR="00E7495D" w:rsidRPr="00ED5612" w:rsidRDefault="00E7495D" w:rsidP="00C03B8E">
            <w:pPr>
              <w:jc w:val="both"/>
              <w:rPr>
                <w:b/>
                <w:bCs/>
                <w:sz w:val="24"/>
                <w:szCs w:val="24"/>
              </w:rPr>
            </w:pPr>
            <w:r w:rsidRPr="00ED5612">
              <w:rPr>
                <w:b/>
                <w:bCs/>
                <w:sz w:val="24"/>
                <w:szCs w:val="24"/>
              </w:rPr>
              <w:t>Iš viso:</w:t>
            </w:r>
          </w:p>
        </w:tc>
        <w:tc>
          <w:tcPr>
            <w:tcW w:w="950" w:type="dxa"/>
            <w:noWrap/>
            <w:hideMark/>
          </w:tcPr>
          <w:p w:rsidR="00E7495D" w:rsidRPr="00ED5612" w:rsidRDefault="00E7495D" w:rsidP="006C6227">
            <w:pPr>
              <w:jc w:val="center"/>
              <w:rPr>
                <w:b/>
                <w:bCs/>
                <w:sz w:val="24"/>
                <w:szCs w:val="24"/>
              </w:rPr>
            </w:pPr>
            <w:r w:rsidRPr="00ED5612">
              <w:rPr>
                <w:b/>
                <w:bCs/>
                <w:sz w:val="24"/>
                <w:szCs w:val="24"/>
              </w:rPr>
              <w:t>780,0</w:t>
            </w:r>
          </w:p>
        </w:tc>
        <w:tc>
          <w:tcPr>
            <w:tcW w:w="994" w:type="dxa"/>
            <w:noWrap/>
            <w:hideMark/>
          </w:tcPr>
          <w:p w:rsidR="00E7495D" w:rsidRPr="00ED5612" w:rsidRDefault="00E7495D" w:rsidP="006C6227">
            <w:pPr>
              <w:jc w:val="center"/>
              <w:rPr>
                <w:b/>
                <w:bCs/>
                <w:sz w:val="24"/>
                <w:szCs w:val="24"/>
              </w:rPr>
            </w:pPr>
            <w:r w:rsidRPr="00ED5612">
              <w:rPr>
                <w:b/>
                <w:bCs/>
                <w:sz w:val="24"/>
                <w:szCs w:val="24"/>
              </w:rPr>
              <w:t>651,8</w:t>
            </w:r>
          </w:p>
        </w:tc>
        <w:tc>
          <w:tcPr>
            <w:tcW w:w="1050" w:type="dxa"/>
            <w:noWrap/>
            <w:hideMark/>
          </w:tcPr>
          <w:p w:rsidR="00E7495D" w:rsidRPr="00ED5612" w:rsidRDefault="00E7495D" w:rsidP="006C6227">
            <w:pPr>
              <w:jc w:val="center"/>
              <w:rPr>
                <w:b/>
                <w:bCs/>
                <w:sz w:val="24"/>
                <w:szCs w:val="24"/>
              </w:rPr>
            </w:pPr>
            <w:r w:rsidRPr="00ED5612">
              <w:rPr>
                <w:b/>
                <w:bCs/>
                <w:sz w:val="24"/>
                <w:szCs w:val="24"/>
              </w:rPr>
              <w:t>562,3</w:t>
            </w:r>
          </w:p>
        </w:tc>
      </w:tr>
    </w:tbl>
    <w:p w:rsidR="001F0C24" w:rsidRPr="00ED5612" w:rsidRDefault="001F0C24" w:rsidP="00ED5612">
      <w:pPr>
        <w:jc w:val="both"/>
        <w:rPr>
          <w:sz w:val="24"/>
          <w:szCs w:val="24"/>
        </w:rPr>
      </w:pPr>
    </w:p>
    <w:p w:rsidR="007B0A61" w:rsidRPr="00ED5612" w:rsidRDefault="007E0060" w:rsidP="006667CE">
      <w:pPr>
        <w:ind w:firstLine="720"/>
        <w:jc w:val="both"/>
        <w:rPr>
          <w:sz w:val="24"/>
          <w:szCs w:val="24"/>
        </w:rPr>
      </w:pPr>
      <w:r w:rsidRPr="00ED5612">
        <w:rPr>
          <w:sz w:val="24"/>
          <w:szCs w:val="24"/>
        </w:rPr>
        <w:t>Savivaldybės biudžeto 2015 – 2018</w:t>
      </w:r>
      <w:r w:rsidR="00B816FE" w:rsidRPr="00ED5612">
        <w:rPr>
          <w:sz w:val="24"/>
          <w:szCs w:val="24"/>
        </w:rPr>
        <w:t xml:space="preserve"> metų asignavimai (mln. </w:t>
      </w:r>
      <w:r w:rsidR="00164FEA" w:rsidRPr="00ED5612">
        <w:rPr>
          <w:sz w:val="24"/>
          <w:szCs w:val="24"/>
        </w:rPr>
        <w:t>eu</w:t>
      </w:r>
      <w:r w:rsidR="00DA7213" w:rsidRPr="00ED5612">
        <w:rPr>
          <w:sz w:val="24"/>
          <w:szCs w:val="24"/>
        </w:rPr>
        <w:t>rų</w:t>
      </w:r>
      <w:r w:rsidR="00EE1B6B" w:rsidRPr="00ED5612">
        <w:rPr>
          <w:sz w:val="24"/>
          <w:szCs w:val="24"/>
        </w:rPr>
        <w:t>), analizuojant plano įvykdymą pagal ekonominį paskirstymą,</w:t>
      </w:r>
      <w:r w:rsidR="00BD4AD2" w:rsidRPr="00ED5612">
        <w:rPr>
          <w:sz w:val="24"/>
          <w:szCs w:val="24"/>
        </w:rPr>
        <w:t xml:space="preserve"> </w:t>
      </w:r>
      <w:r w:rsidR="00EE1B6B" w:rsidRPr="00ED5612">
        <w:rPr>
          <w:sz w:val="24"/>
          <w:szCs w:val="24"/>
        </w:rPr>
        <w:t>pavaizduoti</w:t>
      </w:r>
      <w:r w:rsidR="00BD4AD2" w:rsidRPr="00ED5612">
        <w:rPr>
          <w:sz w:val="24"/>
          <w:szCs w:val="24"/>
        </w:rPr>
        <w:t xml:space="preserve"> </w:t>
      </w:r>
      <w:r w:rsidR="00EE1B6B" w:rsidRPr="00ED5612">
        <w:rPr>
          <w:sz w:val="24"/>
          <w:szCs w:val="24"/>
        </w:rPr>
        <w:t xml:space="preserve">5 paveiksle.  </w:t>
      </w:r>
    </w:p>
    <w:p w:rsidR="00284DAD" w:rsidRPr="00ED5612" w:rsidRDefault="00284DAD" w:rsidP="00EE1B6B">
      <w:pPr>
        <w:ind w:firstLine="720"/>
        <w:jc w:val="both"/>
        <w:rPr>
          <w:sz w:val="24"/>
          <w:szCs w:val="24"/>
        </w:rPr>
      </w:pPr>
    </w:p>
    <w:p w:rsidR="00EE1B6B" w:rsidRPr="00ED5612" w:rsidRDefault="007E0060" w:rsidP="007B0A61">
      <w:pPr>
        <w:jc w:val="both"/>
        <w:rPr>
          <w:sz w:val="24"/>
          <w:szCs w:val="24"/>
        </w:rPr>
      </w:pPr>
      <w:r w:rsidRPr="009F7D43">
        <w:rPr>
          <w:noProof/>
          <w:lang w:eastAsia="lt-LT"/>
        </w:rPr>
        <w:drawing>
          <wp:inline distT="0" distB="0" distL="0" distR="0" wp14:anchorId="1BB8B105" wp14:editId="176BD979">
            <wp:extent cx="6012815" cy="3268699"/>
            <wp:effectExtent l="0" t="0" r="26035" b="2730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5A3B" w:rsidRPr="009F7D43" w:rsidRDefault="00D45A3B" w:rsidP="00EE1B6B">
      <w:pPr>
        <w:ind w:firstLine="720"/>
        <w:jc w:val="both"/>
        <w:rPr>
          <w:sz w:val="24"/>
          <w:szCs w:val="24"/>
        </w:rPr>
      </w:pPr>
    </w:p>
    <w:p w:rsidR="00EE1B6B" w:rsidRPr="002C7740" w:rsidRDefault="007E0060" w:rsidP="006667CE">
      <w:pPr>
        <w:ind w:firstLine="720"/>
        <w:jc w:val="center"/>
        <w:rPr>
          <w:b/>
          <w:sz w:val="24"/>
          <w:szCs w:val="24"/>
        </w:rPr>
      </w:pPr>
      <w:r w:rsidRPr="002C7740">
        <w:rPr>
          <w:b/>
          <w:sz w:val="24"/>
          <w:szCs w:val="24"/>
        </w:rPr>
        <w:t>5 pav. 2015</w:t>
      </w:r>
      <w:r w:rsidR="00B0603F" w:rsidRPr="002C7740">
        <w:rPr>
          <w:b/>
          <w:sz w:val="24"/>
          <w:szCs w:val="24"/>
        </w:rPr>
        <w:t xml:space="preserve"> – 201</w:t>
      </w:r>
      <w:r w:rsidRPr="002C7740">
        <w:rPr>
          <w:b/>
          <w:sz w:val="24"/>
          <w:szCs w:val="24"/>
        </w:rPr>
        <w:t>8</w:t>
      </w:r>
      <w:r w:rsidR="00EE1B6B" w:rsidRPr="002C7740">
        <w:rPr>
          <w:b/>
          <w:sz w:val="24"/>
          <w:szCs w:val="24"/>
        </w:rPr>
        <w:t xml:space="preserve"> m</w:t>
      </w:r>
      <w:r w:rsidR="00B816FE" w:rsidRPr="002C7740">
        <w:rPr>
          <w:b/>
          <w:sz w:val="24"/>
          <w:szCs w:val="24"/>
        </w:rPr>
        <w:t xml:space="preserve">etų </w:t>
      </w:r>
      <w:r w:rsidR="00EE1B6B" w:rsidRPr="002C7740">
        <w:rPr>
          <w:b/>
          <w:sz w:val="24"/>
          <w:szCs w:val="24"/>
        </w:rPr>
        <w:t xml:space="preserve"> asignavimai (mln</w:t>
      </w:r>
      <w:r w:rsidR="00B816FE" w:rsidRPr="002C7740">
        <w:rPr>
          <w:b/>
          <w:sz w:val="24"/>
          <w:szCs w:val="24"/>
        </w:rPr>
        <w:t>. eurų</w:t>
      </w:r>
      <w:r w:rsidR="00EE1B6B" w:rsidRPr="002C7740">
        <w:rPr>
          <w:b/>
          <w:sz w:val="24"/>
          <w:szCs w:val="24"/>
        </w:rPr>
        <w:t>) pagal ekonominį paskirstymą</w:t>
      </w:r>
    </w:p>
    <w:p w:rsidR="00EE1B6B" w:rsidRPr="00ED5612" w:rsidRDefault="00EE1B6B" w:rsidP="006667CE">
      <w:pPr>
        <w:ind w:firstLine="720"/>
        <w:jc w:val="center"/>
        <w:rPr>
          <w:sz w:val="24"/>
          <w:szCs w:val="24"/>
        </w:rPr>
      </w:pPr>
    </w:p>
    <w:p w:rsidR="009942C1" w:rsidRPr="00ED5612" w:rsidRDefault="00B816FE" w:rsidP="007E50C3">
      <w:pPr>
        <w:ind w:firstLine="720"/>
        <w:jc w:val="both"/>
        <w:rPr>
          <w:sz w:val="24"/>
          <w:szCs w:val="24"/>
        </w:rPr>
      </w:pPr>
      <w:r w:rsidRPr="00ED5612">
        <w:rPr>
          <w:sz w:val="24"/>
          <w:szCs w:val="24"/>
        </w:rPr>
        <w:lastRenderedPageBreak/>
        <w:t>2016 metais</w:t>
      </w:r>
      <w:r w:rsidR="004C2F97" w:rsidRPr="00ED5612">
        <w:rPr>
          <w:sz w:val="24"/>
          <w:szCs w:val="24"/>
        </w:rPr>
        <w:t xml:space="preserve"> lėšos darbo užmokesčiui didėjo 0,7 mln. </w:t>
      </w:r>
      <w:r w:rsidR="00EB0527" w:rsidRPr="00ED5612">
        <w:rPr>
          <w:sz w:val="24"/>
          <w:szCs w:val="24"/>
        </w:rPr>
        <w:t>e</w:t>
      </w:r>
      <w:r w:rsidR="004C2F97" w:rsidRPr="00ED5612">
        <w:rPr>
          <w:sz w:val="24"/>
          <w:szCs w:val="24"/>
        </w:rPr>
        <w:t xml:space="preserve">urų, </w:t>
      </w:r>
      <w:r w:rsidR="00EB0527" w:rsidRPr="00ED5612">
        <w:rPr>
          <w:sz w:val="24"/>
          <w:szCs w:val="24"/>
        </w:rPr>
        <w:t>pa</w:t>
      </w:r>
      <w:r w:rsidR="004C2F97" w:rsidRPr="00ED5612">
        <w:rPr>
          <w:sz w:val="24"/>
          <w:szCs w:val="24"/>
        </w:rPr>
        <w:t>lygint</w:t>
      </w:r>
      <w:r w:rsidR="00EB0527" w:rsidRPr="00ED5612">
        <w:rPr>
          <w:sz w:val="24"/>
          <w:szCs w:val="24"/>
        </w:rPr>
        <w:t>i</w:t>
      </w:r>
      <w:r w:rsidR="004C2F97" w:rsidRPr="00ED5612">
        <w:rPr>
          <w:sz w:val="24"/>
          <w:szCs w:val="24"/>
        </w:rPr>
        <w:t xml:space="preserve"> su 2015 metais, nes </w:t>
      </w:r>
      <w:r w:rsidR="00D91308" w:rsidRPr="00ED5612">
        <w:rPr>
          <w:sz w:val="24"/>
          <w:szCs w:val="24"/>
        </w:rPr>
        <w:t xml:space="preserve">2 kartus buvo didinama minimali mėnesinė alga (iki 350 ir 380 eurų), </w:t>
      </w:r>
      <w:r w:rsidR="00A52C01" w:rsidRPr="00ED5612">
        <w:rPr>
          <w:sz w:val="24"/>
          <w:szCs w:val="24"/>
        </w:rPr>
        <w:t xml:space="preserve">didėjo kai kurių socialinių darbuotojų darbo užmokestis, </w:t>
      </w:r>
      <w:r w:rsidR="00D91308" w:rsidRPr="00ED5612">
        <w:rPr>
          <w:sz w:val="24"/>
          <w:szCs w:val="24"/>
        </w:rPr>
        <w:t>buvo</w:t>
      </w:r>
      <w:r w:rsidR="00A52C01" w:rsidRPr="00ED5612">
        <w:rPr>
          <w:sz w:val="24"/>
          <w:szCs w:val="24"/>
        </w:rPr>
        <w:t xml:space="preserve"> g</w:t>
      </w:r>
      <w:r w:rsidR="00D91308" w:rsidRPr="00ED5612">
        <w:rPr>
          <w:sz w:val="24"/>
          <w:szCs w:val="24"/>
        </w:rPr>
        <w:t>autos dotacijos kultūros ir meno darbuotojų darbo užmokesčiui didinti,</w:t>
      </w:r>
      <w:r w:rsidR="00A52C01" w:rsidRPr="00ED5612">
        <w:rPr>
          <w:sz w:val="24"/>
          <w:szCs w:val="24"/>
        </w:rPr>
        <w:t xml:space="preserve"> </w:t>
      </w:r>
      <w:r w:rsidR="00EB0527" w:rsidRPr="00ED5612">
        <w:rPr>
          <w:sz w:val="24"/>
          <w:szCs w:val="24"/>
        </w:rPr>
        <w:t xml:space="preserve">valstybės tarnautojams </w:t>
      </w:r>
      <w:r w:rsidR="00A52C01" w:rsidRPr="00ED5612">
        <w:rPr>
          <w:sz w:val="24"/>
          <w:szCs w:val="24"/>
        </w:rPr>
        <w:t>buvo grąžintas visas dėl ekonomikos krizės  neproporcingai sumažintas darb</w:t>
      </w:r>
      <w:r w:rsidR="004C2F97" w:rsidRPr="00ED5612">
        <w:rPr>
          <w:sz w:val="24"/>
          <w:szCs w:val="24"/>
        </w:rPr>
        <w:t>o užmokestis</w:t>
      </w:r>
      <w:r w:rsidR="00A52C01" w:rsidRPr="00ED5612">
        <w:rPr>
          <w:sz w:val="24"/>
          <w:szCs w:val="24"/>
        </w:rPr>
        <w:t>.</w:t>
      </w:r>
      <w:r w:rsidR="009942C1" w:rsidRPr="00ED5612">
        <w:rPr>
          <w:sz w:val="24"/>
          <w:szCs w:val="24"/>
        </w:rPr>
        <w:t xml:space="preserve"> </w:t>
      </w:r>
    </w:p>
    <w:p w:rsidR="009942C1" w:rsidRPr="00390304" w:rsidRDefault="009942C1" w:rsidP="007E50C3">
      <w:pPr>
        <w:ind w:firstLine="720"/>
        <w:jc w:val="both"/>
        <w:rPr>
          <w:sz w:val="24"/>
          <w:szCs w:val="24"/>
        </w:rPr>
      </w:pPr>
      <w:r w:rsidRPr="00ED5612">
        <w:rPr>
          <w:sz w:val="24"/>
          <w:szCs w:val="24"/>
        </w:rPr>
        <w:t>2017 metais darbo užmokestis Savivaldybės biudžetinėse įstaigose didėjo 0,6 mln. eurų, palyginti su 2016 metais. Darbo užmokestis didėjo, nes padidinti kultūros darbuotojų atlyginimai, padidinta minimali mėnesinė alga, didėjo pedagogų darbo užmokestis, buvo didinamas darbo užmokestis tiek valstybės tarnautojams, tiek biudžetinių įstaigų darbuotojams, dirbantiems pagal darbo sutartis. Naujasis Darbo kodeksas nu</w:t>
      </w:r>
      <w:r w:rsidR="00EC1E37">
        <w:rPr>
          <w:sz w:val="24"/>
          <w:szCs w:val="24"/>
        </w:rPr>
        <w:t>st</w:t>
      </w:r>
      <w:r w:rsidRPr="00EC1E37">
        <w:rPr>
          <w:sz w:val="24"/>
          <w:szCs w:val="24"/>
        </w:rPr>
        <w:t xml:space="preserve">atė, kad </w:t>
      </w:r>
      <w:r w:rsidR="005F06FC" w:rsidRPr="00EC1E37">
        <w:rPr>
          <w:sz w:val="24"/>
          <w:szCs w:val="24"/>
        </w:rPr>
        <w:t>minimali mėnesinė alga</w:t>
      </w:r>
      <w:r w:rsidRPr="00390304">
        <w:rPr>
          <w:sz w:val="24"/>
          <w:szCs w:val="24"/>
        </w:rPr>
        <w:t xml:space="preserve"> gali būti mokama tik už nekvalifikuotą darbą, todėl reikėjo peržiūrėti darbuotojų, kurie gavo minimalų darbo užmokestį, koeficientus.</w:t>
      </w:r>
    </w:p>
    <w:p w:rsidR="002079DD" w:rsidRPr="00ED5612" w:rsidRDefault="009942C1" w:rsidP="007E50C3">
      <w:pPr>
        <w:ind w:firstLine="720"/>
        <w:jc w:val="both"/>
        <w:rPr>
          <w:sz w:val="24"/>
          <w:szCs w:val="24"/>
        </w:rPr>
      </w:pPr>
      <w:r w:rsidRPr="00ED5612">
        <w:rPr>
          <w:sz w:val="24"/>
          <w:szCs w:val="24"/>
        </w:rPr>
        <w:t>2018 metais darbo užmokestis didėjo 0,8 mln. eurų, palyginti su 2017 metais, nes buvo iki 400 eurų padidinta minimali mėnesinė alga</w:t>
      </w:r>
      <w:r w:rsidR="00EC1E37">
        <w:rPr>
          <w:sz w:val="24"/>
          <w:szCs w:val="24"/>
        </w:rPr>
        <w:t>;</w:t>
      </w:r>
      <w:r w:rsidRPr="00EC1E37">
        <w:rPr>
          <w:sz w:val="24"/>
          <w:szCs w:val="24"/>
        </w:rPr>
        <w:t xml:space="preserve"> </w:t>
      </w:r>
      <w:r w:rsidR="00A43BC2" w:rsidRPr="00EC1E37">
        <w:rPr>
          <w:sz w:val="24"/>
          <w:szCs w:val="24"/>
        </w:rPr>
        <w:t xml:space="preserve">2018 m. sausio 1 d. </w:t>
      </w:r>
      <w:r w:rsidRPr="00EC1E37">
        <w:rPr>
          <w:sz w:val="24"/>
          <w:szCs w:val="24"/>
        </w:rPr>
        <w:t>pareiginės algos (atlyginimo) bazinis dydis didėjo nuo 130,5 iki 132,5 eurų</w:t>
      </w:r>
      <w:r w:rsidR="00EC1E37">
        <w:rPr>
          <w:sz w:val="24"/>
          <w:szCs w:val="24"/>
        </w:rPr>
        <w:t>;</w:t>
      </w:r>
      <w:r w:rsidRPr="00EC1E37">
        <w:rPr>
          <w:sz w:val="24"/>
          <w:szCs w:val="24"/>
        </w:rPr>
        <w:t xml:space="preserve"> didėjo pedagogų darbo užmokestis</w:t>
      </w:r>
      <w:r w:rsidR="00EC1E37">
        <w:rPr>
          <w:sz w:val="24"/>
          <w:szCs w:val="24"/>
        </w:rPr>
        <w:t>;</w:t>
      </w:r>
      <w:r w:rsidRPr="00EC1E37">
        <w:rPr>
          <w:sz w:val="24"/>
          <w:szCs w:val="24"/>
        </w:rPr>
        <w:t xml:space="preserve"> buvo didinamas darbo užmokestis tiek valstybės tarnautojams, tiek biudžetinių įstaigų darbuotojams, dirbantiems pagal darbo sutartis. Buvo įsteigtos darželio grupės su naujais etat</w:t>
      </w:r>
      <w:r w:rsidRPr="00ED5612">
        <w:rPr>
          <w:sz w:val="24"/>
          <w:szCs w:val="24"/>
        </w:rPr>
        <w:t xml:space="preserve">ais </w:t>
      </w:r>
      <w:proofErr w:type="spellStart"/>
      <w:r w:rsidRPr="00ED5612">
        <w:rPr>
          <w:sz w:val="24"/>
          <w:szCs w:val="24"/>
        </w:rPr>
        <w:t>Šateikių</w:t>
      </w:r>
      <w:proofErr w:type="spellEnd"/>
      <w:r w:rsidRPr="00ED5612">
        <w:rPr>
          <w:sz w:val="24"/>
          <w:szCs w:val="24"/>
        </w:rPr>
        <w:t xml:space="preserve"> pagrindinėje mokykloje, </w:t>
      </w:r>
      <w:proofErr w:type="spellStart"/>
      <w:r w:rsidRPr="00ED5612">
        <w:rPr>
          <w:sz w:val="24"/>
          <w:szCs w:val="24"/>
        </w:rPr>
        <w:t>Žlibinų</w:t>
      </w:r>
      <w:proofErr w:type="spellEnd"/>
      <w:r w:rsidRPr="00ED5612">
        <w:rPr>
          <w:sz w:val="24"/>
          <w:szCs w:val="24"/>
        </w:rPr>
        <w:t xml:space="preserve"> kultūros centre.</w:t>
      </w:r>
      <w:r w:rsidR="00C60E04" w:rsidRPr="00ED5612">
        <w:rPr>
          <w:sz w:val="24"/>
          <w:szCs w:val="24"/>
        </w:rPr>
        <w:t xml:space="preserve"> </w:t>
      </w:r>
    </w:p>
    <w:p w:rsidR="0044613A" w:rsidRPr="00ED5612" w:rsidRDefault="007D47B4" w:rsidP="007E50C3">
      <w:pPr>
        <w:ind w:firstLine="720"/>
        <w:jc w:val="both"/>
        <w:rPr>
          <w:sz w:val="24"/>
          <w:szCs w:val="24"/>
        </w:rPr>
      </w:pPr>
      <w:r w:rsidRPr="00ED5612">
        <w:rPr>
          <w:sz w:val="24"/>
          <w:szCs w:val="24"/>
        </w:rPr>
        <w:t>3</w:t>
      </w:r>
      <w:r w:rsidR="0044613A" w:rsidRPr="00ED5612">
        <w:rPr>
          <w:sz w:val="24"/>
          <w:szCs w:val="24"/>
        </w:rPr>
        <w:t xml:space="preserve"> lentelėje parodyta, kaip keitėsi minimali mėnesinė alga</w:t>
      </w:r>
      <w:r w:rsidR="005F0E75" w:rsidRPr="00ED5612">
        <w:rPr>
          <w:sz w:val="24"/>
          <w:szCs w:val="24"/>
        </w:rPr>
        <w:t xml:space="preserve"> 2015</w:t>
      </w:r>
      <w:r w:rsidR="0044613A" w:rsidRPr="00ED5612">
        <w:rPr>
          <w:sz w:val="24"/>
          <w:szCs w:val="24"/>
        </w:rPr>
        <w:t xml:space="preserve"> – 2018 metais.</w:t>
      </w:r>
    </w:p>
    <w:p w:rsidR="002C0D14" w:rsidRPr="00ED5612" w:rsidRDefault="002C0D14" w:rsidP="00343009">
      <w:pPr>
        <w:ind w:firstLine="720"/>
        <w:jc w:val="both"/>
        <w:rPr>
          <w:sz w:val="24"/>
          <w:szCs w:val="24"/>
        </w:rPr>
      </w:pPr>
      <w:r w:rsidRPr="00ED5612">
        <w:rPr>
          <w:sz w:val="24"/>
          <w:szCs w:val="24"/>
        </w:rPr>
        <w:t xml:space="preserve">                                                                        </w:t>
      </w:r>
    </w:p>
    <w:p w:rsidR="0044613A" w:rsidRPr="00ED5612" w:rsidRDefault="007D47B4" w:rsidP="00097EA4">
      <w:pPr>
        <w:ind w:firstLine="720"/>
        <w:jc w:val="center"/>
        <w:rPr>
          <w:b/>
          <w:sz w:val="24"/>
          <w:szCs w:val="24"/>
        </w:rPr>
      </w:pPr>
      <w:r w:rsidRPr="00ED5612">
        <w:rPr>
          <w:b/>
          <w:sz w:val="24"/>
          <w:szCs w:val="24"/>
        </w:rPr>
        <w:t>3</w:t>
      </w:r>
      <w:r w:rsidR="0044613A" w:rsidRPr="00ED5612">
        <w:rPr>
          <w:b/>
          <w:sz w:val="24"/>
          <w:szCs w:val="24"/>
        </w:rPr>
        <w:t xml:space="preserve"> lentelė</w:t>
      </w:r>
      <w:r w:rsidRPr="00ED5612">
        <w:rPr>
          <w:b/>
          <w:sz w:val="24"/>
          <w:szCs w:val="24"/>
        </w:rPr>
        <w:t xml:space="preserve"> </w:t>
      </w:r>
      <w:r w:rsidR="0044613A" w:rsidRPr="00ED5612">
        <w:rPr>
          <w:b/>
          <w:sz w:val="24"/>
          <w:szCs w:val="24"/>
        </w:rPr>
        <w:t>Minimalios mėnesinės algos pokyčiai 2015 – 2018 metais</w:t>
      </w:r>
    </w:p>
    <w:p w:rsidR="007D47B4" w:rsidRPr="00ED5612" w:rsidRDefault="007D47B4" w:rsidP="007D47B4">
      <w:pPr>
        <w:ind w:firstLine="720"/>
        <w:rPr>
          <w:sz w:val="24"/>
          <w:szCs w:val="24"/>
        </w:rPr>
      </w:pPr>
    </w:p>
    <w:tbl>
      <w:tblPr>
        <w:tblStyle w:val="Lentelstinklelis"/>
        <w:tblW w:w="0" w:type="auto"/>
        <w:tblInd w:w="1929" w:type="dxa"/>
        <w:tblLook w:val="04A0" w:firstRow="1" w:lastRow="0" w:firstColumn="1" w:lastColumn="0" w:noHBand="0" w:noVBand="1"/>
      </w:tblPr>
      <w:tblGrid>
        <w:gridCol w:w="2977"/>
        <w:gridCol w:w="3544"/>
      </w:tblGrid>
      <w:tr w:rsidR="0044613A" w:rsidRPr="00ED5612" w:rsidTr="00097EA4">
        <w:tc>
          <w:tcPr>
            <w:tcW w:w="2977" w:type="dxa"/>
          </w:tcPr>
          <w:p w:rsidR="0044613A" w:rsidRPr="00ED5612" w:rsidRDefault="0044613A" w:rsidP="002C0D14">
            <w:pPr>
              <w:jc w:val="center"/>
              <w:rPr>
                <w:sz w:val="24"/>
                <w:szCs w:val="24"/>
              </w:rPr>
            </w:pPr>
            <w:r w:rsidRPr="00ED5612">
              <w:rPr>
                <w:sz w:val="24"/>
                <w:szCs w:val="24"/>
              </w:rPr>
              <w:t>Data, nuo kada keitėsi</w:t>
            </w:r>
          </w:p>
        </w:tc>
        <w:tc>
          <w:tcPr>
            <w:tcW w:w="3544" w:type="dxa"/>
          </w:tcPr>
          <w:p w:rsidR="0044613A" w:rsidRPr="00ED5612" w:rsidRDefault="0044613A" w:rsidP="002C0D14">
            <w:pPr>
              <w:jc w:val="center"/>
              <w:rPr>
                <w:sz w:val="24"/>
                <w:szCs w:val="24"/>
              </w:rPr>
            </w:pPr>
            <w:r w:rsidRPr="00ED5612">
              <w:rPr>
                <w:sz w:val="24"/>
                <w:szCs w:val="24"/>
              </w:rPr>
              <w:t>MMA dydis</w:t>
            </w:r>
            <w:r w:rsidR="002C0D14" w:rsidRPr="00ED5612">
              <w:rPr>
                <w:sz w:val="24"/>
                <w:szCs w:val="24"/>
              </w:rPr>
              <w:t>, eurais</w:t>
            </w:r>
          </w:p>
        </w:tc>
      </w:tr>
      <w:tr w:rsidR="0044613A" w:rsidRPr="00ED5612" w:rsidTr="00097EA4">
        <w:tc>
          <w:tcPr>
            <w:tcW w:w="2977" w:type="dxa"/>
          </w:tcPr>
          <w:p w:rsidR="0044613A" w:rsidRPr="00ED5612" w:rsidRDefault="0044613A" w:rsidP="002C0D14">
            <w:pPr>
              <w:jc w:val="center"/>
              <w:rPr>
                <w:sz w:val="24"/>
                <w:szCs w:val="24"/>
              </w:rPr>
            </w:pPr>
            <w:r w:rsidRPr="00ED5612">
              <w:rPr>
                <w:sz w:val="24"/>
                <w:szCs w:val="24"/>
              </w:rPr>
              <w:t>2015-07-01</w:t>
            </w:r>
          </w:p>
        </w:tc>
        <w:tc>
          <w:tcPr>
            <w:tcW w:w="3544" w:type="dxa"/>
          </w:tcPr>
          <w:p w:rsidR="0044613A" w:rsidRPr="00ED5612" w:rsidRDefault="002C0D14" w:rsidP="002C0D14">
            <w:pPr>
              <w:jc w:val="center"/>
              <w:rPr>
                <w:sz w:val="24"/>
                <w:szCs w:val="24"/>
              </w:rPr>
            </w:pPr>
            <w:r w:rsidRPr="00ED5612">
              <w:rPr>
                <w:sz w:val="24"/>
                <w:szCs w:val="24"/>
              </w:rPr>
              <w:t>325</w:t>
            </w:r>
          </w:p>
        </w:tc>
      </w:tr>
      <w:tr w:rsidR="0044613A" w:rsidRPr="00ED5612" w:rsidTr="00097EA4">
        <w:tc>
          <w:tcPr>
            <w:tcW w:w="2977" w:type="dxa"/>
          </w:tcPr>
          <w:p w:rsidR="0044613A" w:rsidRPr="00ED5612" w:rsidRDefault="002C0D14" w:rsidP="002C0D14">
            <w:pPr>
              <w:jc w:val="center"/>
              <w:rPr>
                <w:sz w:val="24"/>
                <w:szCs w:val="24"/>
              </w:rPr>
            </w:pPr>
            <w:r w:rsidRPr="00ED5612">
              <w:rPr>
                <w:sz w:val="24"/>
                <w:szCs w:val="24"/>
              </w:rPr>
              <w:t>2016-01-01</w:t>
            </w:r>
          </w:p>
        </w:tc>
        <w:tc>
          <w:tcPr>
            <w:tcW w:w="3544" w:type="dxa"/>
          </w:tcPr>
          <w:p w:rsidR="0044613A" w:rsidRPr="00ED5612" w:rsidRDefault="002C0D14" w:rsidP="002C0D14">
            <w:pPr>
              <w:jc w:val="center"/>
              <w:rPr>
                <w:sz w:val="24"/>
                <w:szCs w:val="24"/>
              </w:rPr>
            </w:pPr>
            <w:r w:rsidRPr="00ED5612">
              <w:rPr>
                <w:sz w:val="24"/>
                <w:szCs w:val="24"/>
              </w:rPr>
              <w:t>350</w:t>
            </w:r>
          </w:p>
        </w:tc>
      </w:tr>
      <w:tr w:rsidR="0044613A" w:rsidRPr="00ED5612" w:rsidTr="00097EA4">
        <w:tc>
          <w:tcPr>
            <w:tcW w:w="2977" w:type="dxa"/>
          </w:tcPr>
          <w:p w:rsidR="0044613A" w:rsidRPr="00ED5612" w:rsidRDefault="002C0D14" w:rsidP="002C0D14">
            <w:pPr>
              <w:jc w:val="center"/>
              <w:rPr>
                <w:sz w:val="24"/>
                <w:szCs w:val="24"/>
              </w:rPr>
            </w:pPr>
            <w:r w:rsidRPr="00ED5612">
              <w:rPr>
                <w:sz w:val="24"/>
                <w:szCs w:val="24"/>
              </w:rPr>
              <w:t>2016-07-01</w:t>
            </w:r>
          </w:p>
        </w:tc>
        <w:tc>
          <w:tcPr>
            <w:tcW w:w="3544" w:type="dxa"/>
          </w:tcPr>
          <w:p w:rsidR="0044613A" w:rsidRPr="00ED5612" w:rsidRDefault="002C0D14" w:rsidP="002C0D14">
            <w:pPr>
              <w:jc w:val="center"/>
              <w:rPr>
                <w:sz w:val="24"/>
                <w:szCs w:val="24"/>
              </w:rPr>
            </w:pPr>
            <w:r w:rsidRPr="00ED5612">
              <w:rPr>
                <w:sz w:val="24"/>
                <w:szCs w:val="24"/>
              </w:rPr>
              <w:t>380</w:t>
            </w:r>
          </w:p>
        </w:tc>
      </w:tr>
      <w:tr w:rsidR="0044613A" w:rsidRPr="00ED5612" w:rsidTr="00097EA4">
        <w:tc>
          <w:tcPr>
            <w:tcW w:w="2977" w:type="dxa"/>
          </w:tcPr>
          <w:p w:rsidR="0044613A" w:rsidRPr="00ED5612" w:rsidRDefault="002C0D14" w:rsidP="002C0D14">
            <w:pPr>
              <w:jc w:val="center"/>
              <w:rPr>
                <w:sz w:val="24"/>
                <w:szCs w:val="24"/>
              </w:rPr>
            </w:pPr>
            <w:r w:rsidRPr="00ED5612">
              <w:rPr>
                <w:sz w:val="24"/>
                <w:szCs w:val="24"/>
              </w:rPr>
              <w:t>2018-01-01</w:t>
            </w:r>
          </w:p>
        </w:tc>
        <w:tc>
          <w:tcPr>
            <w:tcW w:w="3544" w:type="dxa"/>
          </w:tcPr>
          <w:p w:rsidR="0044613A" w:rsidRPr="00ED5612" w:rsidRDefault="002C0D14" w:rsidP="002C0D14">
            <w:pPr>
              <w:jc w:val="center"/>
              <w:rPr>
                <w:sz w:val="24"/>
                <w:szCs w:val="24"/>
              </w:rPr>
            </w:pPr>
            <w:r w:rsidRPr="00ED5612">
              <w:rPr>
                <w:sz w:val="24"/>
                <w:szCs w:val="24"/>
              </w:rPr>
              <w:t>400</w:t>
            </w:r>
          </w:p>
        </w:tc>
      </w:tr>
    </w:tbl>
    <w:p w:rsidR="0044613A" w:rsidRDefault="0044613A" w:rsidP="00343009">
      <w:pPr>
        <w:ind w:firstLine="720"/>
        <w:jc w:val="both"/>
        <w:rPr>
          <w:sz w:val="24"/>
          <w:szCs w:val="24"/>
        </w:rPr>
      </w:pPr>
    </w:p>
    <w:p w:rsidR="007E0060" w:rsidRPr="00ED5612" w:rsidRDefault="00EE1B6B" w:rsidP="007E50C3">
      <w:pPr>
        <w:ind w:firstLine="720"/>
        <w:jc w:val="both"/>
        <w:rPr>
          <w:sz w:val="24"/>
          <w:szCs w:val="24"/>
        </w:rPr>
      </w:pPr>
      <w:r w:rsidRPr="00ED5612">
        <w:rPr>
          <w:sz w:val="24"/>
          <w:szCs w:val="24"/>
        </w:rPr>
        <w:t xml:space="preserve">Išlaidų turtui įsigyti </w:t>
      </w:r>
      <w:r w:rsidR="00CF1C85" w:rsidRPr="00ED5612">
        <w:rPr>
          <w:sz w:val="24"/>
          <w:szCs w:val="24"/>
        </w:rPr>
        <w:t>didelę</w:t>
      </w:r>
      <w:r w:rsidRPr="00ED5612">
        <w:rPr>
          <w:sz w:val="24"/>
          <w:szCs w:val="24"/>
        </w:rPr>
        <w:t xml:space="preserve"> dalį sudaro skolintos lėšos ir paskolų atidavimas</w:t>
      </w:r>
      <w:r w:rsidR="00630845" w:rsidRPr="00ED5612">
        <w:rPr>
          <w:sz w:val="24"/>
          <w:szCs w:val="24"/>
        </w:rPr>
        <w:t xml:space="preserve">, </w:t>
      </w:r>
      <w:r w:rsidRPr="00ED5612">
        <w:rPr>
          <w:sz w:val="24"/>
          <w:szCs w:val="24"/>
        </w:rPr>
        <w:t xml:space="preserve">lėšos  </w:t>
      </w:r>
      <w:r w:rsidR="00C942B3" w:rsidRPr="00ED5612">
        <w:rPr>
          <w:sz w:val="24"/>
          <w:szCs w:val="24"/>
        </w:rPr>
        <w:t>Valstybės investicijų programoje</w:t>
      </w:r>
      <w:r w:rsidRPr="00ED5612">
        <w:rPr>
          <w:sz w:val="24"/>
          <w:szCs w:val="24"/>
        </w:rPr>
        <w:t xml:space="preserve"> numatytoms kapitalo investicijoms finansuoti</w:t>
      </w:r>
      <w:r w:rsidR="00630845" w:rsidRPr="00ED5612">
        <w:rPr>
          <w:sz w:val="24"/>
          <w:szCs w:val="24"/>
        </w:rPr>
        <w:t>, 2018 metais -Europos Sąjungos ir kitos tarptautinės finansinės paramos ir bendrojo finansavimo lėšos</w:t>
      </w:r>
      <w:r w:rsidR="00EC1E37">
        <w:rPr>
          <w:sz w:val="24"/>
          <w:szCs w:val="24"/>
        </w:rPr>
        <w:t>.</w:t>
      </w:r>
      <w:r w:rsidR="00630845" w:rsidRPr="00EC1E37">
        <w:rPr>
          <w:sz w:val="24"/>
          <w:szCs w:val="24"/>
        </w:rPr>
        <w:t xml:space="preserve"> 2017 – 2018 metais </w:t>
      </w:r>
      <w:r w:rsidR="00925540" w:rsidRPr="00ED5612">
        <w:rPr>
          <w:sz w:val="24"/>
          <w:szCs w:val="24"/>
        </w:rPr>
        <w:t>buvo vykdoma daug įvai</w:t>
      </w:r>
      <w:r w:rsidR="00630845" w:rsidRPr="00ED5612">
        <w:rPr>
          <w:sz w:val="24"/>
          <w:szCs w:val="24"/>
        </w:rPr>
        <w:t>rų projektų.</w:t>
      </w:r>
      <w:r w:rsidR="007902AB" w:rsidRPr="00ED5612">
        <w:rPr>
          <w:sz w:val="24"/>
          <w:szCs w:val="24"/>
        </w:rPr>
        <w:t xml:space="preserve"> </w:t>
      </w:r>
    </w:p>
    <w:p w:rsidR="007E0060" w:rsidRPr="00EC1E37" w:rsidRDefault="00630845" w:rsidP="007E50C3">
      <w:pPr>
        <w:ind w:firstLine="720"/>
        <w:jc w:val="both"/>
        <w:rPr>
          <w:sz w:val="24"/>
          <w:szCs w:val="24"/>
        </w:rPr>
      </w:pPr>
      <w:r w:rsidRPr="00ED5612">
        <w:rPr>
          <w:sz w:val="24"/>
          <w:szCs w:val="24"/>
        </w:rPr>
        <w:t xml:space="preserve">Kitos išlaidos dėl </w:t>
      </w:r>
      <w:r w:rsidR="002C0D14" w:rsidRPr="00ED5612">
        <w:rPr>
          <w:sz w:val="24"/>
          <w:szCs w:val="24"/>
        </w:rPr>
        <w:t xml:space="preserve">didėjusio biudžeto, </w:t>
      </w:r>
      <w:r w:rsidRPr="00ED5612">
        <w:rPr>
          <w:sz w:val="24"/>
          <w:szCs w:val="24"/>
        </w:rPr>
        <w:t>padidėjusių kainų</w:t>
      </w:r>
      <w:r w:rsidR="0044613A" w:rsidRPr="00ED5612">
        <w:rPr>
          <w:sz w:val="24"/>
          <w:szCs w:val="24"/>
        </w:rPr>
        <w:t>, soc. draudimo mokesčių nuo padidėjusio darbo užmokesčio</w:t>
      </w:r>
      <w:r w:rsidRPr="00ED5612">
        <w:rPr>
          <w:sz w:val="24"/>
          <w:szCs w:val="24"/>
        </w:rPr>
        <w:t xml:space="preserve"> 2018 metais taip pat didėjo.</w:t>
      </w:r>
      <w:r w:rsidR="004346F7" w:rsidRPr="00ED5612">
        <w:rPr>
          <w:sz w:val="24"/>
          <w:szCs w:val="24"/>
        </w:rPr>
        <w:t xml:space="preserve"> Nemaža dalis </w:t>
      </w:r>
      <w:r w:rsidR="00191A44" w:rsidRPr="00ED5612">
        <w:rPr>
          <w:sz w:val="24"/>
          <w:szCs w:val="24"/>
        </w:rPr>
        <w:t>(</w:t>
      </w:r>
      <w:r w:rsidR="00661064" w:rsidRPr="00ED5612">
        <w:rPr>
          <w:sz w:val="24"/>
          <w:szCs w:val="24"/>
        </w:rPr>
        <w:t xml:space="preserve">apie </w:t>
      </w:r>
      <w:r w:rsidR="005F06FC" w:rsidRPr="00ED5612">
        <w:rPr>
          <w:sz w:val="24"/>
          <w:szCs w:val="24"/>
        </w:rPr>
        <w:t>500,0</w:t>
      </w:r>
      <w:r w:rsidR="00191A44" w:rsidRPr="00ED5612">
        <w:rPr>
          <w:sz w:val="24"/>
          <w:szCs w:val="24"/>
        </w:rPr>
        <w:t xml:space="preserve"> tūkst. eurų) iš asignavimų </w:t>
      </w:r>
      <w:proofErr w:type="spellStart"/>
      <w:r w:rsidR="00191A44" w:rsidRPr="00ED5612">
        <w:rPr>
          <w:sz w:val="24"/>
          <w:szCs w:val="24"/>
        </w:rPr>
        <w:t>savarankiškosioms</w:t>
      </w:r>
      <w:proofErr w:type="spellEnd"/>
      <w:r w:rsidR="00191A44" w:rsidRPr="00ED5612">
        <w:rPr>
          <w:sz w:val="24"/>
          <w:szCs w:val="24"/>
        </w:rPr>
        <w:t xml:space="preserve"> funkcijoms vykdyti </w:t>
      </w:r>
      <w:r w:rsidR="004346F7" w:rsidRPr="00ED5612">
        <w:rPr>
          <w:sz w:val="24"/>
          <w:szCs w:val="24"/>
        </w:rPr>
        <w:t>kitų išlaidų buvo naudojama</w:t>
      </w:r>
      <w:r w:rsidR="00191A44" w:rsidRPr="00ED5612">
        <w:rPr>
          <w:sz w:val="24"/>
          <w:szCs w:val="24"/>
        </w:rPr>
        <w:t xml:space="preserve"> </w:t>
      </w:r>
      <w:r w:rsidR="00661064" w:rsidRPr="00ED5612">
        <w:rPr>
          <w:sz w:val="24"/>
          <w:szCs w:val="24"/>
        </w:rPr>
        <w:t>įvairiems projektams finansuoti, vietinės reikšmės keliams (gatvėms) tiesti</w:t>
      </w:r>
      <w:r w:rsidR="00B86348" w:rsidRPr="00ED5612">
        <w:rPr>
          <w:sz w:val="24"/>
          <w:szCs w:val="24"/>
        </w:rPr>
        <w:t>, taisyti, prižiūrėti, infrastruktūros objekt</w:t>
      </w:r>
      <w:r w:rsidR="00EC1E37">
        <w:rPr>
          <w:sz w:val="24"/>
          <w:szCs w:val="24"/>
        </w:rPr>
        <w:t>ams</w:t>
      </w:r>
      <w:r w:rsidR="00B86348" w:rsidRPr="00EC1E37">
        <w:rPr>
          <w:sz w:val="24"/>
          <w:szCs w:val="24"/>
        </w:rPr>
        <w:t xml:space="preserve"> plan</w:t>
      </w:r>
      <w:r w:rsidR="00EC1E37">
        <w:rPr>
          <w:sz w:val="24"/>
          <w:szCs w:val="24"/>
        </w:rPr>
        <w:t>uoti</w:t>
      </w:r>
      <w:r w:rsidR="00B86348" w:rsidRPr="00EC1E37">
        <w:rPr>
          <w:sz w:val="24"/>
          <w:szCs w:val="24"/>
        </w:rPr>
        <w:t>, pr</w:t>
      </w:r>
      <w:r w:rsidR="005845A1">
        <w:rPr>
          <w:sz w:val="24"/>
          <w:szCs w:val="24"/>
        </w:rPr>
        <w:t>i</w:t>
      </w:r>
      <w:r w:rsidR="00EC1E37">
        <w:rPr>
          <w:sz w:val="24"/>
          <w:szCs w:val="24"/>
        </w:rPr>
        <w:t>žiūrėti</w:t>
      </w:r>
      <w:r w:rsidR="00B86348" w:rsidRPr="00EC1E37">
        <w:rPr>
          <w:sz w:val="24"/>
          <w:szCs w:val="24"/>
        </w:rPr>
        <w:t xml:space="preserve"> ir staty</w:t>
      </w:r>
      <w:r w:rsidR="00EC1E37">
        <w:rPr>
          <w:sz w:val="24"/>
          <w:szCs w:val="24"/>
        </w:rPr>
        <w:t>ti</w:t>
      </w:r>
      <w:r w:rsidR="00B86348" w:rsidRPr="00EC1E37">
        <w:rPr>
          <w:sz w:val="24"/>
          <w:szCs w:val="24"/>
        </w:rPr>
        <w:t xml:space="preserve">. </w:t>
      </w:r>
    </w:p>
    <w:p w:rsidR="0094694F" w:rsidRPr="00ED5612" w:rsidRDefault="0094694F" w:rsidP="007E50C3">
      <w:pPr>
        <w:ind w:firstLine="720"/>
        <w:jc w:val="both"/>
        <w:rPr>
          <w:sz w:val="24"/>
          <w:szCs w:val="24"/>
        </w:rPr>
      </w:pPr>
      <w:r w:rsidRPr="00EC1E37">
        <w:rPr>
          <w:sz w:val="24"/>
          <w:szCs w:val="24"/>
        </w:rPr>
        <w:t xml:space="preserve">2018 m. </w:t>
      </w:r>
      <w:r w:rsidR="00EC1E37">
        <w:rPr>
          <w:sz w:val="24"/>
          <w:szCs w:val="24"/>
        </w:rPr>
        <w:t>S</w:t>
      </w:r>
      <w:r w:rsidRPr="00EC1E37">
        <w:rPr>
          <w:sz w:val="24"/>
          <w:szCs w:val="24"/>
        </w:rPr>
        <w:t>aviva</w:t>
      </w:r>
      <w:r w:rsidR="00D92718" w:rsidRPr="00EC1E37">
        <w:rPr>
          <w:sz w:val="24"/>
          <w:szCs w:val="24"/>
        </w:rPr>
        <w:t>ldybės taryba priėmė sprendimus</w:t>
      </w:r>
      <w:r w:rsidRPr="00EC1E37">
        <w:rPr>
          <w:sz w:val="24"/>
          <w:szCs w:val="24"/>
        </w:rPr>
        <w:t xml:space="preserve"> dėl biudžetinių įstaigų centralizuoto buhalterinės apskaitos tvarkymo</w:t>
      </w:r>
      <w:r w:rsidR="00D92718" w:rsidRPr="00ED5612">
        <w:rPr>
          <w:sz w:val="24"/>
          <w:szCs w:val="24"/>
        </w:rPr>
        <w:t xml:space="preserve">, </w:t>
      </w:r>
      <w:r w:rsidR="00ED21D7" w:rsidRPr="00ED5612">
        <w:rPr>
          <w:sz w:val="24"/>
          <w:szCs w:val="24"/>
        </w:rPr>
        <w:t>dėl Plungės rajono pedagoginės psichologinės tarnybos reorganizavimo</w:t>
      </w:r>
      <w:r w:rsidR="00D92718" w:rsidRPr="00ED5612">
        <w:rPr>
          <w:sz w:val="24"/>
          <w:szCs w:val="24"/>
        </w:rPr>
        <w:t xml:space="preserve">, </w:t>
      </w:r>
      <w:r w:rsidR="00F6246A" w:rsidRPr="00ED5612">
        <w:rPr>
          <w:sz w:val="24"/>
          <w:szCs w:val="24"/>
        </w:rPr>
        <w:t>dėl Plungės Senamiesčio mokyklos</w:t>
      </w:r>
      <w:r w:rsidR="00D92718" w:rsidRPr="00ED5612">
        <w:rPr>
          <w:sz w:val="24"/>
          <w:szCs w:val="24"/>
        </w:rPr>
        <w:t xml:space="preserve"> Kantaučių skyriaus likvidavimo, </w:t>
      </w:r>
      <w:r w:rsidRPr="00ED5612">
        <w:rPr>
          <w:sz w:val="24"/>
          <w:szCs w:val="24"/>
        </w:rPr>
        <w:t>dėl  ikimokykliniam ir priešmokykli</w:t>
      </w:r>
      <w:r w:rsidR="00ED21D7" w:rsidRPr="00ED5612">
        <w:rPr>
          <w:sz w:val="24"/>
          <w:szCs w:val="24"/>
        </w:rPr>
        <w:t>niam ugdymui pritaikytų patalpų</w:t>
      </w:r>
      <w:r w:rsidRPr="00ED5612">
        <w:rPr>
          <w:sz w:val="24"/>
          <w:szCs w:val="24"/>
        </w:rPr>
        <w:t xml:space="preserve"> įrengimo Plungės r. Žemaičių Kalvarijos Motiejaus Valančiaus gimnazijoje, naikinant Žemaičių Kalvarijos</w:t>
      </w:r>
      <w:r w:rsidR="00ED21D7" w:rsidRPr="00ED5612">
        <w:rPr>
          <w:sz w:val="24"/>
          <w:szCs w:val="24"/>
        </w:rPr>
        <w:t xml:space="preserve"> lopšelį</w:t>
      </w:r>
      <w:r w:rsidR="00EC1E37">
        <w:rPr>
          <w:sz w:val="24"/>
          <w:szCs w:val="24"/>
        </w:rPr>
        <w:t xml:space="preserve"> -</w:t>
      </w:r>
      <w:r w:rsidR="00ED21D7" w:rsidRPr="00EC1E37">
        <w:rPr>
          <w:sz w:val="24"/>
          <w:szCs w:val="24"/>
        </w:rPr>
        <w:t xml:space="preserve"> darželį</w:t>
      </w:r>
      <w:r w:rsidR="00D92718" w:rsidRPr="00EC1E37">
        <w:rPr>
          <w:sz w:val="24"/>
          <w:szCs w:val="24"/>
        </w:rPr>
        <w:t xml:space="preserve">, </w:t>
      </w:r>
      <w:r w:rsidR="00ED21D7" w:rsidRPr="00EC1E37">
        <w:rPr>
          <w:sz w:val="24"/>
          <w:szCs w:val="24"/>
        </w:rPr>
        <w:t>dėl Plungės vaikų globos namų</w:t>
      </w:r>
      <w:r w:rsidRPr="00ED5612">
        <w:rPr>
          <w:sz w:val="24"/>
          <w:szCs w:val="24"/>
        </w:rPr>
        <w:t xml:space="preserve"> </w:t>
      </w:r>
      <w:r w:rsidR="00ED21D7" w:rsidRPr="00ED5612">
        <w:rPr>
          <w:sz w:val="24"/>
          <w:szCs w:val="24"/>
        </w:rPr>
        <w:t>reorganizavimo, prijungiant</w:t>
      </w:r>
      <w:r w:rsidRPr="00ED5612">
        <w:rPr>
          <w:sz w:val="24"/>
          <w:szCs w:val="24"/>
        </w:rPr>
        <w:t xml:space="preserve"> prie Plungės</w:t>
      </w:r>
      <w:r w:rsidR="00ED21D7" w:rsidRPr="00ED5612">
        <w:rPr>
          <w:sz w:val="24"/>
          <w:szCs w:val="24"/>
        </w:rPr>
        <w:t xml:space="preserve"> socialinių paslaugų centro.</w:t>
      </w:r>
      <w:r w:rsidR="00D92718" w:rsidRPr="00ED5612">
        <w:rPr>
          <w:sz w:val="24"/>
          <w:szCs w:val="24"/>
        </w:rPr>
        <w:t xml:space="preserve"> Šie pasikeitimai biudžetinėse įstaigose turės įtakos  vėlesnių metų biudžetų mažėjimui, pagerins darbą bei sąlygas Žemaičių Kalvarijos  lopšelyje </w:t>
      </w:r>
      <w:r w:rsidR="00EC1E37">
        <w:rPr>
          <w:sz w:val="24"/>
          <w:szCs w:val="24"/>
        </w:rPr>
        <w:t xml:space="preserve">- </w:t>
      </w:r>
      <w:r w:rsidR="00D92718" w:rsidRPr="00EC1E37">
        <w:rPr>
          <w:sz w:val="24"/>
          <w:szCs w:val="24"/>
        </w:rPr>
        <w:t>darželyje, kuris įsikūrė Žemaičių Kalvarijos Motiejaus V</w:t>
      </w:r>
      <w:r w:rsidR="00E33FB6" w:rsidRPr="00ED5612">
        <w:rPr>
          <w:sz w:val="24"/>
          <w:szCs w:val="24"/>
        </w:rPr>
        <w:t>alančiaus gimnazijos patalpose.</w:t>
      </w:r>
    </w:p>
    <w:p w:rsidR="00D45A3B" w:rsidRPr="00ED5612" w:rsidRDefault="00D45A3B" w:rsidP="007E50C3">
      <w:pPr>
        <w:ind w:firstLine="720"/>
        <w:jc w:val="both"/>
        <w:rPr>
          <w:sz w:val="24"/>
          <w:szCs w:val="24"/>
        </w:rPr>
      </w:pPr>
      <w:r w:rsidRPr="00ED5612">
        <w:rPr>
          <w:sz w:val="24"/>
          <w:szCs w:val="24"/>
        </w:rPr>
        <w:t xml:space="preserve">Nuo 2018 m. rugsėjo 1 d. Savivaldybės tarybos įsteigtų 38 biudžetinių įstaigų buhalterinė apskaita tvarkoma centralizuotai.  </w:t>
      </w:r>
    </w:p>
    <w:p w:rsidR="00295FE2" w:rsidRDefault="00295FE2" w:rsidP="00D92718">
      <w:pPr>
        <w:ind w:firstLine="720"/>
        <w:jc w:val="both"/>
        <w:rPr>
          <w:sz w:val="24"/>
          <w:szCs w:val="24"/>
        </w:rPr>
      </w:pPr>
    </w:p>
    <w:p w:rsidR="00295FE2" w:rsidRDefault="00295FE2" w:rsidP="00D92718">
      <w:pPr>
        <w:ind w:firstLine="720"/>
        <w:jc w:val="both"/>
        <w:rPr>
          <w:sz w:val="24"/>
          <w:szCs w:val="24"/>
        </w:rPr>
      </w:pPr>
    </w:p>
    <w:p w:rsidR="00D92718" w:rsidRPr="00ED5612" w:rsidRDefault="007E50C3" w:rsidP="00D92718">
      <w:pPr>
        <w:ind w:firstLine="720"/>
        <w:jc w:val="both"/>
        <w:rPr>
          <w:sz w:val="24"/>
          <w:szCs w:val="24"/>
        </w:rPr>
      </w:pPr>
      <w:r>
        <w:rPr>
          <w:sz w:val="24"/>
          <w:szCs w:val="24"/>
        </w:rPr>
        <w:lastRenderedPageBreak/>
        <w:t xml:space="preserve">Centralizuotai tvarkyti </w:t>
      </w:r>
      <w:r w:rsidR="00D45A3B" w:rsidRPr="00ED5612">
        <w:rPr>
          <w:sz w:val="24"/>
          <w:szCs w:val="24"/>
        </w:rPr>
        <w:t>biudžetinių įstaigų apskaitą pavesta Plungės pasla</w:t>
      </w:r>
      <w:r w:rsidR="007D47B4" w:rsidRPr="00ED5612">
        <w:rPr>
          <w:sz w:val="24"/>
          <w:szCs w:val="24"/>
        </w:rPr>
        <w:t xml:space="preserve">ugų ir švietimo pagalbos centro </w:t>
      </w:r>
      <w:r w:rsidR="00D45A3B" w:rsidRPr="00ED5612">
        <w:rPr>
          <w:sz w:val="24"/>
          <w:szCs w:val="24"/>
        </w:rPr>
        <w:t>Biudžetinių įstaigų centralizuoto</w:t>
      </w:r>
      <w:r w:rsidR="007D47B4" w:rsidRPr="00ED5612">
        <w:rPr>
          <w:sz w:val="24"/>
          <w:szCs w:val="24"/>
        </w:rPr>
        <w:t>s buhalterinės apskaitos skyriui</w:t>
      </w:r>
      <w:r w:rsidR="00D45A3B" w:rsidRPr="00ED5612">
        <w:rPr>
          <w:sz w:val="24"/>
          <w:szCs w:val="24"/>
        </w:rPr>
        <w:t xml:space="preserve">. Informacija apie etatų skaičiaus ir skiriamų lėšų pasikeitimą pateikta </w:t>
      </w:r>
      <w:r w:rsidR="007D47B4" w:rsidRPr="00ED5612">
        <w:rPr>
          <w:sz w:val="24"/>
          <w:szCs w:val="24"/>
        </w:rPr>
        <w:t xml:space="preserve">4 </w:t>
      </w:r>
      <w:r w:rsidR="00D45A3B" w:rsidRPr="00ED5612">
        <w:rPr>
          <w:sz w:val="24"/>
          <w:szCs w:val="24"/>
        </w:rPr>
        <w:t>lentelėje:</w:t>
      </w:r>
    </w:p>
    <w:p w:rsidR="00BE5FC0" w:rsidRPr="00ED5612" w:rsidRDefault="00BE5FC0" w:rsidP="00D92718">
      <w:pPr>
        <w:ind w:firstLine="720"/>
        <w:jc w:val="both"/>
        <w:rPr>
          <w:sz w:val="24"/>
          <w:szCs w:val="24"/>
        </w:rPr>
      </w:pPr>
    </w:p>
    <w:p w:rsidR="00D45A3B" w:rsidRPr="00ED5612" w:rsidRDefault="00D92718" w:rsidP="00D92718">
      <w:pPr>
        <w:ind w:firstLine="720"/>
        <w:jc w:val="center"/>
        <w:rPr>
          <w:b/>
          <w:sz w:val="24"/>
          <w:szCs w:val="24"/>
        </w:rPr>
      </w:pPr>
      <w:r w:rsidRPr="00ED5612">
        <w:rPr>
          <w:b/>
          <w:sz w:val="24"/>
          <w:szCs w:val="24"/>
        </w:rPr>
        <w:t>4</w:t>
      </w:r>
      <w:r w:rsidR="007D47B4" w:rsidRPr="00ED5612">
        <w:rPr>
          <w:b/>
          <w:sz w:val="24"/>
          <w:szCs w:val="24"/>
        </w:rPr>
        <w:t xml:space="preserve"> lentelė</w:t>
      </w:r>
      <w:r w:rsidRPr="00ED5612">
        <w:rPr>
          <w:b/>
          <w:sz w:val="24"/>
          <w:szCs w:val="24"/>
        </w:rPr>
        <w:t>.</w:t>
      </w:r>
      <w:r w:rsidR="007D47B4" w:rsidRPr="00ED5612">
        <w:rPr>
          <w:b/>
          <w:sz w:val="24"/>
          <w:szCs w:val="24"/>
        </w:rPr>
        <w:t xml:space="preserve"> Etatų skaičius ir lėšos, skiriamos Biudžetinių įstaigų centralizuotos buhalterinės apskaitos skyriui</w:t>
      </w:r>
    </w:p>
    <w:p w:rsidR="00D45A3B" w:rsidRPr="00ED5612" w:rsidRDefault="007D47B4" w:rsidP="007D47B4">
      <w:pPr>
        <w:ind w:firstLine="720"/>
        <w:jc w:val="center"/>
        <w:rPr>
          <w:sz w:val="24"/>
          <w:szCs w:val="24"/>
        </w:rPr>
      </w:pPr>
      <w:r w:rsidRPr="00ED5612">
        <w:rPr>
          <w:sz w:val="24"/>
          <w:szCs w:val="24"/>
        </w:rPr>
        <w:t xml:space="preserve">                                                               </w:t>
      </w:r>
      <w:r w:rsidR="00FD2700" w:rsidRPr="00ED5612">
        <w:rPr>
          <w:sz w:val="24"/>
          <w:szCs w:val="24"/>
        </w:rPr>
        <w:t xml:space="preserve">                           </w:t>
      </w:r>
      <w:r w:rsidRPr="00ED5612">
        <w:rPr>
          <w:sz w:val="24"/>
          <w:szCs w:val="24"/>
        </w:rPr>
        <w:t xml:space="preserve">    tūkst. eurų</w:t>
      </w:r>
    </w:p>
    <w:p w:rsidR="00D45A3B" w:rsidRPr="009F7D43" w:rsidRDefault="00D45A3B" w:rsidP="00D45A3B">
      <w:pPr>
        <w:ind w:firstLine="720"/>
        <w:jc w:val="both"/>
        <w:rPr>
          <w:sz w:val="24"/>
          <w:szCs w:val="24"/>
        </w:rPr>
      </w:pPr>
      <w:r w:rsidRPr="007E50C3">
        <w:rPr>
          <w:rFonts w:eastAsia="TimesNewRomanPS-BoldMT"/>
          <w:noProof/>
          <w:lang w:eastAsia="lt-LT"/>
        </w:rPr>
        <w:drawing>
          <wp:inline distT="0" distB="0" distL="0" distR="0" wp14:anchorId="09CA8357" wp14:editId="391D5BF3">
            <wp:extent cx="5042535" cy="1931035"/>
            <wp:effectExtent l="0" t="0" r="571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2535" cy="1931035"/>
                    </a:xfrm>
                    <a:prstGeom prst="rect">
                      <a:avLst/>
                    </a:prstGeom>
                    <a:noFill/>
                    <a:ln>
                      <a:noFill/>
                    </a:ln>
                  </pic:spPr>
                </pic:pic>
              </a:graphicData>
            </a:graphic>
          </wp:inline>
        </w:drawing>
      </w:r>
    </w:p>
    <w:p w:rsidR="00FD2700" w:rsidRPr="00ED5612" w:rsidRDefault="00D45A3B" w:rsidP="00D45A3B">
      <w:pPr>
        <w:ind w:firstLine="720"/>
        <w:jc w:val="both"/>
        <w:rPr>
          <w:sz w:val="24"/>
          <w:szCs w:val="24"/>
        </w:rPr>
      </w:pPr>
      <w:r w:rsidRPr="00ED5612">
        <w:rPr>
          <w:sz w:val="24"/>
          <w:szCs w:val="24"/>
        </w:rPr>
        <w:t xml:space="preserve"> </w:t>
      </w:r>
      <w:r w:rsidR="00FD2700" w:rsidRPr="00ED5612">
        <w:rPr>
          <w:sz w:val="24"/>
          <w:szCs w:val="24"/>
        </w:rPr>
        <w:t xml:space="preserve">  </w:t>
      </w:r>
    </w:p>
    <w:p w:rsidR="00D45A3B" w:rsidRPr="00ED5612" w:rsidRDefault="00D45A3B" w:rsidP="007E50C3">
      <w:pPr>
        <w:ind w:firstLine="720"/>
        <w:jc w:val="both"/>
        <w:rPr>
          <w:sz w:val="24"/>
          <w:szCs w:val="24"/>
        </w:rPr>
      </w:pPr>
      <w:r w:rsidRPr="00ED5612">
        <w:rPr>
          <w:sz w:val="24"/>
          <w:szCs w:val="24"/>
        </w:rPr>
        <w:t>Perėjus prie centralizuotos buhalterinės apskaitos tvarkymo, iš įstaigų buvo atleista 13 darbuotojų (11,4 et</w:t>
      </w:r>
      <w:r w:rsidR="00E7495D" w:rsidRPr="00ED5612">
        <w:rPr>
          <w:sz w:val="24"/>
          <w:szCs w:val="24"/>
        </w:rPr>
        <w:t>ato)</w:t>
      </w:r>
      <w:r w:rsidRPr="00ED5612">
        <w:rPr>
          <w:sz w:val="24"/>
          <w:szCs w:val="24"/>
        </w:rPr>
        <w:t>.  Išeitinėms kompensacijoms ir ilgalaikio darbo išmokoms išmokėta  27,9 tūkst. eurų, iš jų 2019 m. – 2,2 tūkst. eurų.</w:t>
      </w:r>
    </w:p>
    <w:p w:rsidR="00D45A3B" w:rsidRPr="00390304" w:rsidRDefault="00D45A3B" w:rsidP="007E50C3">
      <w:pPr>
        <w:tabs>
          <w:tab w:val="left" w:pos="709"/>
          <w:tab w:val="left" w:pos="1276"/>
          <w:tab w:val="left" w:pos="1418"/>
        </w:tabs>
        <w:ind w:firstLine="720"/>
        <w:jc w:val="both"/>
        <w:rPr>
          <w:sz w:val="24"/>
          <w:szCs w:val="24"/>
        </w:rPr>
      </w:pPr>
      <w:r w:rsidRPr="00ED5612">
        <w:rPr>
          <w:sz w:val="24"/>
          <w:szCs w:val="24"/>
        </w:rPr>
        <w:t xml:space="preserve"> 2018 m. buvo atliktas Plungės paslaugų ir švietimo pagalbos centro  vieno korpuso remontas. Po remonto pirmame aukšte įsikūrė  Pedagoginė psichologinė tarnyba (ankščiau buvo Plungės miesto seniūnijos patalpose), o antrame aukšte įsikūrė  Biudžetinių įstaigų centralizuotos buhalterinės apskaitos skyrius. Viso korpuso remonto darbų kaina</w:t>
      </w:r>
      <w:r w:rsidR="00390304">
        <w:rPr>
          <w:sz w:val="24"/>
          <w:szCs w:val="24"/>
        </w:rPr>
        <w:t xml:space="preserve"> -</w:t>
      </w:r>
      <w:r w:rsidRPr="00390304">
        <w:rPr>
          <w:sz w:val="24"/>
          <w:szCs w:val="24"/>
        </w:rPr>
        <w:t xml:space="preserve"> 83,6 tūkst. eurų. </w:t>
      </w:r>
    </w:p>
    <w:p w:rsidR="00630845" w:rsidRPr="00ED5612" w:rsidRDefault="00D45A3B" w:rsidP="007E50C3">
      <w:pPr>
        <w:ind w:firstLine="720"/>
        <w:jc w:val="both"/>
        <w:rPr>
          <w:sz w:val="24"/>
          <w:szCs w:val="24"/>
        </w:rPr>
      </w:pPr>
      <w:r w:rsidRPr="00390304">
        <w:rPr>
          <w:sz w:val="24"/>
          <w:szCs w:val="24"/>
        </w:rPr>
        <w:t>Išlaidos, susiju</w:t>
      </w:r>
      <w:r w:rsidR="00D92718" w:rsidRPr="00390304">
        <w:rPr>
          <w:sz w:val="24"/>
          <w:szCs w:val="24"/>
        </w:rPr>
        <w:t>sios su 30 darbo vietų įrengimu</w:t>
      </w:r>
      <w:r w:rsidR="00390304">
        <w:rPr>
          <w:sz w:val="24"/>
          <w:szCs w:val="24"/>
        </w:rPr>
        <w:t>,</w:t>
      </w:r>
      <w:r w:rsidR="00D92718" w:rsidRPr="00390304">
        <w:rPr>
          <w:sz w:val="24"/>
          <w:szCs w:val="24"/>
        </w:rPr>
        <w:t xml:space="preserve"> sudarė </w:t>
      </w:r>
      <w:r w:rsidRPr="00390304">
        <w:rPr>
          <w:sz w:val="24"/>
          <w:szCs w:val="24"/>
        </w:rPr>
        <w:t>26,3 tūkst. eurų.</w:t>
      </w:r>
    </w:p>
    <w:p w:rsidR="00FD2700" w:rsidRPr="00ED5612" w:rsidRDefault="00D92718" w:rsidP="007E50C3">
      <w:pPr>
        <w:ind w:firstLine="720"/>
        <w:jc w:val="both"/>
        <w:rPr>
          <w:sz w:val="24"/>
          <w:szCs w:val="24"/>
        </w:rPr>
      </w:pPr>
      <w:r w:rsidRPr="00ED5612">
        <w:rPr>
          <w:sz w:val="24"/>
          <w:szCs w:val="24"/>
        </w:rPr>
        <w:t>Kaip keitėsi asignavimai kitose reorganizuotose biudžetinėse įstaigose, parodyta 5 lentelėje.</w:t>
      </w:r>
      <w:r w:rsidR="00FD2700" w:rsidRPr="00ED5612">
        <w:rPr>
          <w:sz w:val="24"/>
          <w:szCs w:val="24"/>
        </w:rPr>
        <w:t xml:space="preserve"> </w:t>
      </w:r>
    </w:p>
    <w:p w:rsidR="00FD2700" w:rsidRPr="00ED5612" w:rsidRDefault="00FD2700" w:rsidP="007E50C3">
      <w:pPr>
        <w:ind w:firstLine="720"/>
        <w:jc w:val="both"/>
        <w:rPr>
          <w:sz w:val="24"/>
          <w:szCs w:val="24"/>
        </w:rPr>
      </w:pPr>
      <w:r w:rsidRPr="00ED5612">
        <w:rPr>
          <w:sz w:val="24"/>
          <w:szCs w:val="24"/>
        </w:rPr>
        <w:t xml:space="preserve">2018 metais visose </w:t>
      </w:r>
      <w:r w:rsidR="001F0C24" w:rsidRPr="00ED5612">
        <w:rPr>
          <w:sz w:val="24"/>
          <w:szCs w:val="24"/>
        </w:rPr>
        <w:t xml:space="preserve">reorganizuojamose </w:t>
      </w:r>
      <w:r w:rsidRPr="00ED5612">
        <w:rPr>
          <w:sz w:val="24"/>
          <w:szCs w:val="24"/>
        </w:rPr>
        <w:t>įstaigose keitėsi etatų skaičius,</w:t>
      </w:r>
      <w:r w:rsidR="00637426" w:rsidRPr="00ED5612">
        <w:rPr>
          <w:sz w:val="24"/>
          <w:szCs w:val="24"/>
        </w:rPr>
        <w:t xml:space="preserve"> buvo mokamos išeitinės išmokos,</w:t>
      </w:r>
      <w:r w:rsidR="001F0C24" w:rsidRPr="00ED5612">
        <w:rPr>
          <w:sz w:val="24"/>
          <w:szCs w:val="24"/>
        </w:rPr>
        <w:t xml:space="preserve"> </w:t>
      </w:r>
      <w:r w:rsidRPr="00ED5612">
        <w:rPr>
          <w:sz w:val="24"/>
          <w:szCs w:val="24"/>
        </w:rPr>
        <w:t>didėjo darbo užmokestis</w:t>
      </w:r>
      <w:r w:rsidR="00637426" w:rsidRPr="00ED5612">
        <w:rPr>
          <w:sz w:val="24"/>
          <w:szCs w:val="24"/>
        </w:rPr>
        <w:t xml:space="preserve"> biudžetinių įstaigų darbuotojams</w:t>
      </w:r>
      <w:r w:rsidRPr="00ED5612">
        <w:rPr>
          <w:sz w:val="24"/>
          <w:szCs w:val="24"/>
        </w:rPr>
        <w:t>,</w:t>
      </w:r>
      <w:r w:rsidR="00637426" w:rsidRPr="00ED5612">
        <w:rPr>
          <w:sz w:val="24"/>
          <w:szCs w:val="24"/>
        </w:rPr>
        <w:t xml:space="preserve"> ypač pedagogams,</w:t>
      </w:r>
      <w:r w:rsidRPr="00ED5612">
        <w:rPr>
          <w:sz w:val="24"/>
          <w:szCs w:val="24"/>
        </w:rPr>
        <w:t xml:space="preserve"> bet asignavimai </w:t>
      </w:r>
      <w:r w:rsidR="002C12CD" w:rsidRPr="00ED5612">
        <w:rPr>
          <w:sz w:val="24"/>
          <w:szCs w:val="24"/>
        </w:rPr>
        <w:t xml:space="preserve">dėl organizacinių pasikeitimų </w:t>
      </w:r>
      <w:r w:rsidRPr="00ED5612">
        <w:rPr>
          <w:sz w:val="24"/>
          <w:szCs w:val="24"/>
        </w:rPr>
        <w:t>visose įstaigose mažėjo.</w:t>
      </w:r>
    </w:p>
    <w:p w:rsidR="00FD2700" w:rsidRPr="00ED5612" w:rsidRDefault="00FD2700" w:rsidP="00D45A3B">
      <w:pPr>
        <w:ind w:firstLine="720"/>
        <w:jc w:val="both"/>
        <w:rPr>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5845A1" w:rsidRDefault="005845A1" w:rsidP="00FD2700">
      <w:pPr>
        <w:ind w:firstLine="720"/>
        <w:jc w:val="center"/>
        <w:rPr>
          <w:b/>
          <w:sz w:val="24"/>
          <w:szCs w:val="24"/>
        </w:rPr>
      </w:pPr>
    </w:p>
    <w:p w:rsidR="007E50C3" w:rsidRDefault="00FD2700" w:rsidP="00FD2700">
      <w:pPr>
        <w:ind w:firstLine="720"/>
        <w:jc w:val="center"/>
        <w:rPr>
          <w:b/>
          <w:sz w:val="24"/>
          <w:szCs w:val="24"/>
        </w:rPr>
      </w:pPr>
      <w:r w:rsidRPr="00ED5612">
        <w:rPr>
          <w:b/>
          <w:sz w:val="24"/>
          <w:szCs w:val="24"/>
        </w:rPr>
        <w:lastRenderedPageBreak/>
        <w:t>5 lentelė. Asignavimų pasikeitimai reorganizuotose biudžetinėse įstaigose 2017 – 2019 metais</w:t>
      </w:r>
    </w:p>
    <w:p w:rsidR="00063534" w:rsidRDefault="00063534" w:rsidP="00FD2700">
      <w:pPr>
        <w:ind w:firstLine="720"/>
        <w:jc w:val="center"/>
        <w:rPr>
          <w:b/>
          <w:sz w:val="24"/>
          <w:szCs w:val="24"/>
        </w:rPr>
      </w:pPr>
    </w:p>
    <w:p w:rsidR="007E50C3" w:rsidRDefault="007E50C3" w:rsidP="007E50C3">
      <w:r w:rsidRPr="009F7D43">
        <w:rPr>
          <w:noProof/>
          <w:lang w:eastAsia="lt-LT"/>
        </w:rPr>
        <w:drawing>
          <wp:inline distT="0" distB="0" distL="0" distR="0" wp14:anchorId="3EA2BDA0" wp14:editId="04518044">
            <wp:extent cx="5981340" cy="8029467"/>
            <wp:effectExtent l="0" t="0" r="63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340" cy="8029467"/>
                    </a:xfrm>
                    <a:prstGeom prst="rect">
                      <a:avLst/>
                    </a:prstGeom>
                    <a:noFill/>
                    <a:ln>
                      <a:noFill/>
                    </a:ln>
                  </pic:spPr>
                </pic:pic>
              </a:graphicData>
            </a:graphic>
          </wp:inline>
        </w:drawing>
      </w:r>
    </w:p>
    <w:p w:rsidR="007E50C3" w:rsidRDefault="007E50C3" w:rsidP="00FD2700">
      <w:pPr>
        <w:ind w:firstLine="720"/>
        <w:jc w:val="center"/>
        <w:rPr>
          <w:b/>
          <w:sz w:val="24"/>
          <w:szCs w:val="24"/>
        </w:rPr>
      </w:pPr>
    </w:p>
    <w:p w:rsidR="007E50C3" w:rsidRDefault="007E50C3">
      <w:pPr>
        <w:rPr>
          <w:b/>
          <w:sz w:val="24"/>
          <w:szCs w:val="24"/>
        </w:rPr>
      </w:pPr>
      <w:r>
        <w:rPr>
          <w:b/>
          <w:sz w:val="24"/>
          <w:szCs w:val="24"/>
        </w:rPr>
        <w:br w:type="page"/>
      </w:r>
    </w:p>
    <w:p w:rsidR="0081123C" w:rsidRPr="00ED5612" w:rsidRDefault="0081123C" w:rsidP="0081123C">
      <w:pPr>
        <w:ind w:firstLine="720"/>
        <w:jc w:val="center"/>
        <w:rPr>
          <w:b/>
          <w:sz w:val="28"/>
          <w:szCs w:val="28"/>
        </w:rPr>
      </w:pPr>
      <w:r w:rsidRPr="00ED5612">
        <w:rPr>
          <w:b/>
          <w:sz w:val="28"/>
          <w:szCs w:val="28"/>
        </w:rPr>
        <w:lastRenderedPageBreak/>
        <w:t>3. Išlaidos pagal funkcinę klasifikaciją</w:t>
      </w:r>
    </w:p>
    <w:p w:rsidR="00B41869" w:rsidRPr="00ED5612" w:rsidRDefault="00B41869" w:rsidP="0081123C">
      <w:pPr>
        <w:ind w:firstLine="720"/>
        <w:jc w:val="both"/>
        <w:rPr>
          <w:sz w:val="24"/>
          <w:szCs w:val="24"/>
        </w:rPr>
      </w:pPr>
    </w:p>
    <w:p w:rsidR="0081123C" w:rsidRPr="00ED5612" w:rsidRDefault="009942C1" w:rsidP="00063534">
      <w:pPr>
        <w:ind w:firstLine="720"/>
        <w:jc w:val="both"/>
        <w:rPr>
          <w:sz w:val="24"/>
          <w:szCs w:val="24"/>
        </w:rPr>
      </w:pPr>
      <w:r w:rsidRPr="00ED5612">
        <w:rPr>
          <w:sz w:val="24"/>
          <w:szCs w:val="24"/>
        </w:rPr>
        <w:t>2018</w:t>
      </w:r>
      <w:r w:rsidR="0081123C" w:rsidRPr="00ED5612">
        <w:rPr>
          <w:sz w:val="24"/>
          <w:szCs w:val="24"/>
        </w:rPr>
        <w:t xml:space="preserve"> metais, kaip ir ankstesniais metais, didžiausia dalis patvirtinto biudžeto asignavimų teko švietimui – </w:t>
      </w:r>
      <w:r w:rsidR="00E33FB6" w:rsidRPr="00ED5612">
        <w:rPr>
          <w:sz w:val="24"/>
          <w:szCs w:val="24"/>
        </w:rPr>
        <w:t>45,7</w:t>
      </w:r>
      <w:r w:rsidR="0081123C" w:rsidRPr="00ED5612">
        <w:rPr>
          <w:sz w:val="24"/>
          <w:szCs w:val="24"/>
        </w:rPr>
        <w:t xml:space="preserve"> proc. visų biudžeto lėšų (</w:t>
      </w:r>
      <w:r w:rsidR="00A133B8" w:rsidRPr="00ED5612">
        <w:rPr>
          <w:sz w:val="24"/>
          <w:szCs w:val="24"/>
        </w:rPr>
        <w:t>17 658,9</w:t>
      </w:r>
      <w:r w:rsidR="0081123C" w:rsidRPr="00ED5612">
        <w:rPr>
          <w:sz w:val="24"/>
          <w:szCs w:val="24"/>
        </w:rPr>
        <w:t xml:space="preserve"> tūkst. eurų). Išlaidų dalis, skirta socialinei apsaugai – </w:t>
      </w:r>
      <w:r w:rsidR="007D243A" w:rsidRPr="00ED5612">
        <w:rPr>
          <w:sz w:val="24"/>
          <w:szCs w:val="24"/>
        </w:rPr>
        <w:t>9,3</w:t>
      </w:r>
      <w:r w:rsidR="00D96D1C" w:rsidRPr="00ED5612">
        <w:rPr>
          <w:sz w:val="24"/>
          <w:szCs w:val="24"/>
        </w:rPr>
        <w:t xml:space="preserve"> </w:t>
      </w:r>
      <w:r w:rsidR="0081123C" w:rsidRPr="00ED5612">
        <w:rPr>
          <w:sz w:val="24"/>
          <w:szCs w:val="24"/>
        </w:rPr>
        <w:t>proc. visų biudžeto lėšų (</w:t>
      </w:r>
      <w:r w:rsidR="00A133B8" w:rsidRPr="00ED5612">
        <w:rPr>
          <w:sz w:val="24"/>
          <w:szCs w:val="24"/>
        </w:rPr>
        <w:t>3 606,9</w:t>
      </w:r>
      <w:r w:rsidR="0081123C" w:rsidRPr="00ED5612">
        <w:rPr>
          <w:sz w:val="24"/>
          <w:szCs w:val="24"/>
        </w:rPr>
        <w:t xml:space="preserve"> tūkst. eurų)</w:t>
      </w:r>
      <w:r w:rsidR="0097670F" w:rsidRPr="00ED5612">
        <w:rPr>
          <w:sz w:val="24"/>
          <w:szCs w:val="24"/>
        </w:rPr>
        <w:t>.</w:t>
      </w:r>
    </w:p>
    <w:p w:rsidR="0081123C" w:rsidRPr="00ED5612" w:rsidRDefault="002A1BA9" w:rsidP="00063534">
      <w:pPr>
        <w:ind w:firstLine="720"/>
        <w:jc w:val="both"/>
        <w:rPr>
          <w:sz w:val="24"/>
          <w:szCs w:val="24"/>
        </w:rPr>
      </w:pPr>
      <w:r w:rsidRPr="00ED5612">
        <w:rPr>
          <w:sz w:val="24"/>
          <w:szCs w:val="24"/>
        </w:rPr>
        <w:t>Palyginkime</w:t>
      </w:r>
      <w:r w:rsidR="00DC1894" w:rsidRPr="00ED5612">
        <w:rPr>
          <w:sz w:val="24"/>
          <w:szCs w:val="24"/>
        </w:rPr>
        <w:t xml:space="preserve"> kai kurias 2015</w:t>
      </w:r>
      <w:r w:rsidR="0081123C" w:rsidRPr="00ED5612">
        <w:rPr>
          <w:sz w:val="24"/>
          <w:szCs w:val="24"/>
        </w:rPr>
        <w:t>-201</w:t>
      </w:r>
      <w:r w:rsidR="00DC1894" w:rsidRPr="00ED5612">
        <w:rPr>
          <w:sz w:val="24"/>
          <w:szCs w:val="24"/>
        </w:rPr>
        <w:t>8</w:t>
      </w:r>
      <w:r w:rsidR="0081123C" w:rsidRPr="00ED5612">
        <w:rPr>
          <w:sz w:val="24"/>
          <w:szCs w:val="24"/>
        </w:rPr>
        <w:t xml:space="preserve"> metų  išlaidas pagal funkcinę klasifikaciją.</w:t>
      </w:r>
    </w:p>
    <w:p w:rsidR="00DA7C5A" w:rsidRPr="00ED5612" w:rsidRDefault="00DC1894" w:rsidP="00063534">
      <w:pPr>
        <w:ind w:firstLine="720"/>
        <w:jc w:val="both"/>
        <w:rPr>
          <w:sz w:val="24"/>
          <w:szCs w:val="24"/>
        </w:rPr>
      </w:pPr>
      <w:r w:rsidRPr="00ED5612">
        <w:rPr>
          <w:sz w:val="24"/>
          <w:szCs w:val="24"/>
        </w:rPr>
        <w:t>Išlaidos, 2015</w:t>
      </w:r>
      <w:r w:rsidR="0081123C" w:rsidRPr="00ED5612">
        <w:rPr>
          <w:sz w:val="24"/>
          <w:szCs w:val="24"/>
        </w:rPr>
        <w:t xml:space="preserve"> - 201</w:t>
      </w:r>
      <w:r w:rsidRPr="00ED5612">
        <w:rPr>
          <w:sz w:val="24"/>
          <w:szCs w:val="24"/>
        </w:rPr>
        <w:t>8</w:t>
      </w:r>
      <w:r w:rsidR="0081123C" w:rsidRPr="00ED5612">
        <w:rPr>
          <w:sz w:val="24"/>
          <w:szCs w:val="24"/>
        </w:rPr>
        <w:t xml:space="preserve"> metais skirtos švietimui ir socialinei apsaugai,  grafiškai parodytos 6 paveiksle</w:t>
      </w:r>
      <w:r w:rsidR="00EB1006" w:rsidRPr="00ED5612">
        <w:rPr>
          <w:sz w:val="24"/>
          <w:szCs w:val="24"/>
        </w:rPr>
        <w:t>:</w:t>
      </w:r>
    </w:p>
    <w:p w:rsidR="00335558" w:rsidRPr="009F7D43" w:rsidRDefault="003A46AC" w:rsidP="0081123C">
      <w:pPr>
        <w:ind w:firstLine="720"/>
        <w:jc w:val="both"/>
        <w:rPr>
          <w:sz w:val="24"/>
          <w:szCs w:val="24"/>
        </w:rPr>
      </w:pPr>
      <w:r w:rsidRPr="009F7D43">
        <w:rPr>
          <w:noProof/>
          <w:sz w:val="24"/>
          <w:szCs w:val="24"/>
          <w:lang w:eastAsia="lt-LT"/>
        </w:rPr>
        <w:drawing>
          <wp:anchor distT="0" distB="0" distL="114300" distR="114300" simplePos="0" relativeHeight="251657728" behindDoc="0" locked="0" layoutInCell="1" allowOverlap="1" wp14:anchorId="6C4D7CF9" wp14:editId="73C05E15">
            <wp:simplePos x="0" y="0"/>
            <wp:positionH relativeFrom="column">
              <wp:posOffset>-47625</wp:posOffset>
            </wp:positionH>
            <wp:positionV relativeFrom="paragraph">
              <wp:posOffset>194945</wp:posOffset>
            </wp:positionV>
            <wp:extent cx="6381750" cy="3470275"/>
            <wp:effectExtent l="0" t="0" r="0" b="0"/>
            <wp:wrapSquare wrapText="right"/>
            <wp:docPr id="1"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063534" w:rsidRDefault="00063534" w:rsidP="00063534">
      <w:pPr>
        <w:ind w:firstLine="720"/>
        <w:jc w:val="center"/>
        <w:rPr>
          <w:sz w:val="24"/>
          <w:szCs w:val="24"/>
        </w:rPr>
      </w:pPr>
    </w:p>
    <w:p w:rsidR="00335558" w:rsidRPr="002C7740" w:rsidRDefault="004346F7" w:rsidP="00063534">
      <w:pPr>
        <w:ind w:firstLine="720"/>
        <w:jc w:val="center"/>
        <w:rPr>
          <w:b/>
          <w:sz w:val="24"/>
          <w:szCs w:val="24"/>
        </w:rPr>
      </w:pPr>
      <w:r w:rsidRPr="002C7740">
        <w:rPr>
          <w:b/>
          <w:sz w:val="24"/>
          <w:szCs w:val="24"/>
        </w:rPr>
        <w:t>6 pav. Išlaidos, 2015 – 2018</w:t>
      </w:r>
      <w:r w:rsidR="00335558" w:rsidRPr="002C7740">
        <w:rPr>
          <w:b/>
          <w:sz w:val="24"/>
          <w:szCs w:val="24"/>
        </w:rPr>
        <w:t xml:space="preserve"> metais skirtos švietimui ir socialinei apsaugai</w:t>
      </w:r>
    </w:p>
    <w:p w:rsidR="00A43BC2" w:rsidRDefault="00A43BC2" w:rsidP="00A43BC2">
      <w:pPr>
        <w:ind w:firstLine="720"/>
        <w:jc w:val="center"/>
        <w:rPr>
          <w:b/>
          <w:sz w:val="24"/>
          <w:szCs w:val="24"/>
        </w:rPr>
      </w:pPr>
    </w:p>
    <w:p w:rsidR="0047321A" w:rsidRDefault="0047321A" w:rsidP="00A43BC2">
      <w:pPr>
        <w:ind w:firstLine="720"/>
        <w:jc w:val="center"/>
        <w:rPr>
          <w:b/>
          <w:sz w:val="24"/>
          <w:szCs w:val="24"/>
        </w:rPr>
      </w:pPr>
    </w:p>
    <w:p w:rsidR="00D53575" w:rsidRDefault="00D53575" w:rsidP="00D53575">
      <w:pPr>
        <w:numPr>
          <w:ilvl w:val="0"/>
          <w:numId w:val="14"/>
        </w:numPr>
        <w:jc w:val="center"/>
        <w:rPr>
          <w:b/>
          <w:sz w:val="28"/>
          <w:szCs w:val="28"/>
        </w:rPr>
      </w:pPr>
      <w:r>
        <w:rPr>
          <w:b/>
          <w:sz w:val="28"/>
          <w:szCs w:val="28"/>
        </w:rPr>
        <w:t>Išlaidos švietimui</w:t>
      </w:r>
    </w:p>
    <w:p w:rsidR="00D53575" w:rsidRDefault="00D53575" w:rsidP="00D53575">
      <w:pPr>
        <w:ind w:left="720"/>
        <w:rPr>
          <w:b/>
          <w:sz w:val="28"/>
          <w:szCs w:val="28"/>
        </w:rPr>
      </w:pPr>
    </w:p>
    <w:p w:rsidR="00D53575" w:rsidRDefault="00D53575" w:rsidP="00D53575">
      <w:pPr>
        <w:jc w:val="both"/>
        <w:rPr>
          <w:sz w:val="24"/>
          <w:szCs w:val="24"/>
        </w:rPr>
      </w:pPr>
      <w:r>
        <w:rPr>
          <w:sz w:val="24"/>
          <w:szCs w:val="24"/>
        </w:rPr>
        <w:t xml:space="preserve">            2018 m., kaip ir ankstesniais metais,  </w:t>
      </w:r>
      <w:r w:rsidRPr="006E1930">
        <w:rPr>
          <w:sz w:val="24"/>
          <w:szCs w:val="24"/>
        </w:rPr>
        <w:t xml:space="preserve">švietimui buvo skirta </w:t>
      </w:r>
      <w:r>
        <w:rPr>
          <w:sz w:val="24"/>
          <w:szCs w:val="24"/>
        </w:rPr>
        <w:t>daugiausiai lėšų – 4</w:t>
      </w:r>
      <w:r w:rsidR="00454D46">
        <w:rPr>
          <w:sz w:val="24"/>
          <w:szCs w:val="24"/>
        </w:rPr>
        <w:t>5,7  proc. visų biudžeto lėšų. 6</w:t>
      </w:r>
      <w:r>
        <w:rPr>
          <w:sz w:val="24"/>
          <w:szCs w:val="24"/>
        </w:rPr>
        <w:t xml:space="preserve"> lentelėje pateikiame apskaičiavimus, kiek kurioje švietimo įstaigoje Savivaldybei </w:t>
      </w:r>
      <w:r w:rsidRPr="00724656">
        <w:rPr>
          <w:sz w:val="24"/>
          <w:szCs w:val="24"/>
        </w:rPr>
        <w:t>201</w:t>
      </w:r>
      <w:r>
        <w:rPr>
          <w:sz w:val="24"/>
          <w:szCs w:val="24"/>
        </w:rPr>
        <w:t>8 metais kainavo vieno vaiko, mokinio  išlaikymas, lavinimas.</w:t>
      </w:r>
    </w:p>
    <w:p w:rsidR="0047321A" w:rsidRPr="0047321A" w:rsidRDefault="0047321A" w:rsidP="0047321A">
      <w:pPr>
        <w:jc w:val="both"/>
        <w:rPr>
          <w:sz w:val="24"/>
          <w:szCs w:val="24"/>
        </w:rPr>
      </w:pPr>
      <w:r>
        <w:rPr>
          <w:sz w:val="24"/>
          <w:szCs w:val="24"/>
        </w:rPr>
        <w:t xml:space="preserve">            </w:t>
      </w:r>
      <w:r w:rsidRPr="0047321A">
        <w:rPr>
          <w:sz w:val="24"/>
          <w:szCs w:val="24"/>
        </w:rPr>
        <w:t xml:space="preserve">Skaičiuojant, kiek Savivaldybei iš biudžeto kainuoja išlaikyti vieną vaiką, mokinį, įvertinta, kiek buvo švietimo įstaigai skirta asignavimų </w:t>
      </w:r>
      <w:proofErr w:type="spellStart"/>
      <w:r w:rsidRPr="0047321A">
        <w:rPr>
          <w:sz w:val="24"/>
          <w:szCs w:val="24"/>
        </w:rPr>
        <w:t>savarankiškosioms</w:t>
      </w:r>
      <w:proofErr w:type="spellEnd"/>
      <w:r w:rsidRPr="0047321A">
        <w:rPr>
          <w:sz w:val="24"/>
          <w:szCs w:val="24"/>
        </w:rPr>
        <w:t xml:space="preserve"> savivaldybės funkcijoms ir dotacijų - mokinio krepšeliui, valstybės priskirtoms funkcijoms bei kitoms dotacijoms tais metais. </w:t>
      </w:r>
    </w:p>
    <w:p w:rsidR="0047321A" w:rsidRPr="0047321A" w:rsidRDefault="0047321A" w:rsidP="0047321A">
      <w:pPr>
        <w:jc w:val="both"/>
        <w:rPr>
          <w:sz w:val="24"/>
          <w:szCs w:val="24"/>
        </w:rPr>
      </w:pPr>
      <w:r w:rsidRPr="0047321A">
        <w:rPr>
          <w:sz w:val="24"/>
          <w:szCs w:val="24"/>
        </w:rPr>
        <w:t xml:space="preserve">             Skaičiuojant lėšas vienam vaikui, mokiniui, yra kai kurių neatitikimų. Atkreiptinas dėmesys į Platelių meno mokyklą, Platelių gimnaziją, Platelių universalų </w:t>
      </w:r>
      <w:proofErr w:type="spellStart"/>
      <w:r w:rsidRPr="0047321A">
        <w:rPr>
          <w:sz w:val="24"/>
          <w:szCs w:val="24"/>
        </w:rPr>
        <w:t>daugiafunkcį</w:t>
      </w:r>
      <w:proofErr w:type="spellEnd"/>
      <w:r w:rsidRPr="0047321A">
        <w:rPr>
          <w:sz w:val="24"/>
          <w:szCs w:val="24"/>
        </w:rPr>
        <w:t xml:space="preserve"> centrą.</w:t>
      </w:r>
    </w:p>
    <w:p w:rsidR="0047321A" w:rsidRPr="0047321A" w:rsidRDefault="0047321A" w:rsidP="0047321A">
      <w:pPr>
        <w:jc w:val="both"/>
        <w:rPr>
          <w:sz w:val="24"/>
          <w:szCs w:val="24"/>
        </w:rPr>
      </w:pPr>
      <w:r w:rsidRPr="0047321A">
        <w:rPr>
          <w:sz w:val="24"/>
          <w:szCs w:val="24"/>
        </w:rPr>
        <w:t xml:space="preserve">             Platelių meno mokykloje vienam mokiniui skiriama mažiau biudžeto lėšų, negu M. Oginskio meno mokykloje, nes už Platelių meno mokyklos komunalines paslaugas moka Platelių gimnazija.</w:t>
      </w:r>
    </w:p>
    <w:p w:rsidR="0047321A" w:rsidRDefault="0047321A" w:rsidP="0047321A">
      <w:pPr>
        <w:jc w:val="both"/>
        <w:rPr>
          <w:sz w:val="24"/>
          <w:szCs w:val="24"/>
        </w:rPr>
      </w:pPr>
      <w:r w:rsidRPr="0047321A">
        <w:rPr>
          <w:sz w:val="24"/>
          <w:szCs w:val="24"/>
        </w:rPr>
        <w:t xml:space="preserve">             Platelių universaliame </w:t>
      </w:r>
      <w:proofErr w:type="spellStart"/>
      <w:r w:rsidRPr="0047321A">
        <w:rPr>
          <w:sz w:val="24"/>
          <w:szCs w:val="24"/>
        </w:rPr>
        <w:t>daugiafunkciame</w:t>
      </w:r>
      <w:proofErr w:type="spellEnd"/>
      <w:r w:rsidRPr="0047321A">
        <w:rPr>
          <w:sz w:val="24"/>
          <w:szCs w:val="24"/>
        </w:rPr>
        <w:t xml:space="preserve"> centre vieno vaiko išlaikymas skaičiuotas, pridedant visas išlaidas, kurios patiriamos vykdant  daugiau veiklų: lankosi lankytojai - suaugusieji ir mokyklinio amžiaus vaikai, Platelių UDC patalpomis naudojasi Platelių meno mokyklos dailės specialybės moksleiviai.</w:t>
      </w:r>
    </w:p>
    <w:p w:rsidR="00454D46" w:rsidRDefault="00454D46" w:rsidP="00454D46">
      <w:pPr>
        <w:jc w:val="center"/>
        <w:rPr>
          <w:b/>
          <w:sz w:val="24"/>
          <w:szCs w:val="24"/>
        </w:rPr>
      </w:pPr>
    </w:p>
    <w:p w:rsidR="00454D46" w:rsidRDefault="00454D46" w:rsidP="00454D46">
      <w:pPr>
        <w:jc w:val="center"/>
        <w:rPr>
          <w:b/>
          <w:sz w:val="24"/>
          <w:szCs w:val="24"/>
        </w:rPr>
      </w:pPr>
    </w:p>
    <w:p w:rsidR="00A06D04" w:rsidRPr="00454D46" w:rsidRDefault="00454D46" w:rsidP="00454D46">
      <w:pPr>
        <w:jc w:val="center"/>
        <w:rPr>
          <w:b/>
          <w:sz w:val="24"/>
          <w:szCs w:val="24"/>
        </w:rPr>
      </w:pPr>
      <w:r w:rsidRPr="00454D46">
        <w:rPr>
          <w:b/>
          <w:sz w:val="24"/>
          <w:szCs w:val="24"/>
        </w:rPr>
        <w:lastRenderedPageBreak/>
        <w:t>6 lentelė. Lėšų, skirtų 2018 metais švietimo įstaigoms, analizė, tūkst. eurų</w:t>
      </w:r>
    </w:p>
    <w:tbl>
      <w:tblPr>
        <w:tblW w:w="9938" w:type="dxa"/>
        <w:tblInd w:w="93" w:type="dxa"/>
        <w:tblLayout w:type="fixed"/>
        <w:tblLook w:val="04A0" w:firstRow="1" w:lastRow="0" w:firstColumn="1" w:lastColumn="0" w:noHBand="0" w:noVBand="1"/>
      </w:tblPr>
      <w:tblGrid>
        <w:gridCol w:w="9938"/>
      </w:tblGrid>
      <w:tr w:rsidR="002F7193" w:rsidRPr="00332228" w:rsidTr="0047321A">
        <w:trPr>
          <w:trHeight w:val="315"/>
        </w:trPr>
        <w:tc>
          <w:tcPr>
            <w:tcW w:w="9938" w:type="dxa"/>
            <w:shd w:val="clear" w:color="auto" w:fill="auto"/>
            <w:noWrap/>
          </w:tcPr>
          <w:p w:rsidR="00A06D04" w:rsidRDefault="00A06D04" w:rsidP="00D26FB5">
            <w:pPr>
              <w:jc w:val="center"/>
              <w:rPr>
                <w:b/>
                <w:bCs/>
                <w:sz w:val="24"/>
                <w:szCs w:val="24"/>
                <w:lang w:eastAsia="lt-LT"/>
              </w:rPr>
            </w:pPr>
          </w:p>
          <w:tbl>
            <w:tblPr>
              <w:tblW w:w="9825" w:type="dxa"/>
              <w:tblLayout w:type="fixed"/>
              <w:tblLook w:val="04A0" w:firstRow="1" w:lastRow="0" w:firstColumn="1" w:lastColumn="0" w:noHBand="0" w:noVBand="1"/>
            </w:tblPr>
            <w:tblGrid>
              <w:gridCol w:w="469"/>
              <w:gridCol w:w="2511"/>
              <w:gridCol w:w="891"/>
              <w:gridCol w:w="709"/>
              <w:gridCol w:w="851"/>
              <w:gridCol w:w="850"/>
              <w:gridCol w:w="709"/>
              <w:gridCol w:w="850"/>
              <w:gridCol w:w="1134"/>
              <w:gridCol w:w="851"/>
            </w:tblGrid>
            <w:tr w:rsidR="00454D46" w:rsidRPr="00454D46" w:rsidTr="00454D46">
              <w:trPr>
                <w:trHeight w:val="7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Eil. Nr.</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Švietimo įstaiga</w:t>
                  </w:r>
                </w:p>
              </w:tc>
              <w:tc>
                <w:tcPr>
                  <w:tcW w:w="2451" w:type="dxa"/>
                  <w:gridSpan w:val="3"/>
                  <w:tcBorders>
                    <w:top w:val="single" w:sz="4" w:space="0" w:color="auto"/>
                    <w:left w:val="nil"/>
                    <w:bottom w:val="single" w:sz="4" w:space="0" w:color="auto"/>
                    <w:right w:val="single" w:sz="4" w:space="0" w:color="000000"/>
                  </w:tcBorders>
                  <w:shd w:val="clear" w:color="auto" w:fill="auto"/>
                  <w:vAlign w:val="bottom"/>
                  <w:hideMark/>
                </w:tcPr>
                <w:p w:rsidR="00454D46" w:rsidRPr="00454D46" w:rsidRDefault="00454D46" w:rsidP="00454D46">
                  <w:pPr>
                    <w:jc w:val="center"/>
                    <w:rPr>
                      <w:sz w:val="22"/>
                      <w:szCs w:val="22"/>
                      <w:lang w:eastAsia="lt-LT"/>
                    </w:rPr>
                  </w:pPr>
                  <w:proofErr w:type="spellStart"/>
                  <w:r w:rsidRPr="00454D46">
                    <w:rPr>
                      <w:sz w:val="22"/>
                      <w:szCs w:val="22"/>
                      <w:lang w:eastAsia="lt-LT"/>
                    </w:rPr>
                    <w:t>Savarankiškosios</w:t>
                  </w:r>
                  <w:proofErr w:type="spellEnd"/>
                  <w:r w:rsidRPr="00454D46">
                    <w:rPr>
                      <w:sz w:val="22"/>
                      <w:szCs w:val="22"/>
                      <w:lang w:eastAsia="lt-LT"/>
                    </w:rPr>
                    <w:t xml:space="preserve"> ir valstybės deleguotos savivaldybių  funkcijos, kitos dotacijos</w:t>
                  </w:r>
                </w:p>
              </w:tc>
              <w:tc>
                <w:tcPr>
                  <w:tcW w:w="2409" w:type="dxa"/>
                  <w:gridSpan w:val="3"/>
                  <w:tcBorders>
                    <w:top w:val="single" w:sz="4" w:space="0" w:color="auto"/>
                    <w:left w:val="nil"/>
                    <w:bottom w:val="single" w:sz="4" w:space="0" w:color="auto"/>
                    <w:right w:val="single" w:sz="4" w:space="0" w:color="000000"/>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 xml:space="preserve">Mokinio krepšelis </w:t>
                  </w:r>
                </w:p>
              </w:tc>
              <w:tc>
                <w:tcPr>
                  <w:tcW w:w="1985" w:type="dxa"/>
                  <w:gridSpan w:val="2"/>
                  <w:tcBorders>
                    <w:top w:val="single" w:sz="4" w:space="0" w:color="auto"/>
                    <w:left w:val="nil"/>
                    <w:bottom w:val="single" w:sz="4" w:space="0" w:color="auto"/>
                    <w:right w:val="single" w:sz="4" w:space="0" w:color="000000"/>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IŠ VISO</w:t>
                  </w:r>
                </w:p>
              </w:tc>
            </w:tr>
            <w:tr w:rsidR="00454D46" w:rsidRPr="00454D46" w:rsidTr="00454D46">
              <w:trPr>
                <w:trHeight w:val="133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54D46" w:rsidRPr="00454D46" w:rsidRDefault="00454D46" w:rsidP="00454D46">
                  <w:pPr>
                    <w:rPr>
                      <w:sz w:val="22"/>
                      <w:szCs w:val="22"/>
                      <w:lang w:eastAsia="lt-LT"/>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rsidR="00454D46" w:rsidRPr="00454D46" w:rsidRDefault="00454D46" w:rsidP="00454D46">
                  <w:pPr>
                    <w:rPr>
                      <w:sz w:val="22"/>
                      <w:szCs w:val="22"/>
                      <w:lang w:eastAsia="lt-LT"/>
                    </w:rPr>
                  </w:pPr>
                </w:p>
              </w:tc>
              <w:tc>
                <w:tcPr>
                  <w:tcW w:w="89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Viso išlaidų 2018 m.</w:t>
                  </w:r>
                </w:p>
              </w:tc>
              <w:tc>
                <w:tcPr>
                  <w:tcW w:w="709" w:type="dxa"/>
                  <w:tcBorders>
                    <w:top w:val="nil"/>
                    <w:left w:val="nil"/>
                    <w:bottom w:val="single" w:sz="4" w:space="0" w:color="auto"/>
                    <w:right w:val="single" w:sz="4" w:space="0" w:color="auto"/>
                  </w:tcBorders>
                  <w:shd w:val="clear" w:color="auto" w:fill="auto"/>
                  <w:vAlign w:val="center"/>
                  <w:hideMark/>
                </w:tcPr>
                <w:p w:rsidR="00454D46" w:rsidRPr="00454D46" w:rsidRDefault="00454D46" w:rsidP="00454D46">
                  <w:pPr>
                    <w:jc w:val="center"/>
                    <w:rPr>
                      <w:sz w:val="22"/>
                      <w:szCs w:val="22"/>
                      <w:lang w:eastAsia="lt-LT"/>
                    </w:rPr>
                  </w:pPr>
                  <w:r w:rsidRPr="00454D46">
                    <w:rPr>
                      <w:sz w:val="22"/>
                      <w:szCs w:val="22"/>
                      <w:lang w:eastAsia="lt-LT"/>
                    </w:rPr>
                    <w:t>Mokinių sk. 2017-09-01</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Tenka biudžeto lėšų 1 mok.</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Viso išlaidų 2018 m.</w:t>
                  </w:r>
                </w:p>
              </w:tc>
              <w:tc>
                <w:tcPr>
                  <w:tcW w:w="709" w:type="dxa"/>
                  <w:tcBorders>
                    <w:top w:val="nil"/>
                    <w:left w:val="nil"/>
                    <w:bottom w:val="single" w:sz="4" w:space="0" w:color="auto"/>
                    <w:right w:val="single" w:sz="4" w:space="0" w:color="auto"/>
                  </w:tcBorders>
                  <w:shd w:val="clear" w:color="auto" w:fill="auto"/>
                  <w:vAlign w:val="center"/>
                  <w:hideMark/>
                </w:tcPr>
                <w:p w:rsidR="00454D46" w:rsidRPr="00454D46" w:rsidRDefault="00454D46" w:rsidP="00454D46">
                  <w:pPr>
                    <w:jc w:val="center"/>
                    <w:rPr>
                      <w:sz w:val="22"/>
                      <w:szCs w:val="22"/>
                      <w:lang w:eastAsia="lt-LT"/>
                    </w:rPr>
                  </w:pPr>
                  <w:r w:rsidRPr="00454D46">
                    <w:rPr>
                      <w:sz w:val="22"/>
                      <w:szCs w:val="22"/>
                      <w:lang w:eastAsia="lt-LT"/>
                    </w:rPr>
                    <w:t>Mokinių sk. 2017-09-01</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 xml:space="preserve">Tenka mok. krepšelio lėšų 1 mok. </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VISO IŠLAIDŲ</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Tenka visų išlaidų 1 mok.</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"Saulės" gimnazija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213,2</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529</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0,40</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808,4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529</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1,53</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1021,6</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1,9</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Platelių gimnazija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128,8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156</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0,83</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321,8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156</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2,06</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450,6</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2,9</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Senamiesčio mokykla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212,1</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885</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0,24</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1081,4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885</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1,22</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1293,5</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Alsėdžių S.Narutavičiaus g.</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146,4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272</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0,54</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469,4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272</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1,73</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615,8</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2,3</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Kulių gimnazija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166,1</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221</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0,75</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399,4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221</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1,81</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565,5</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6</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Ž.Kalvarijos M.Valančiaus g.</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157,4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205</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0,77</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378,6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205</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1,85</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536,0</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7</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 xml:space="preserve">Suaugusiųjų </w:t>
                  </w:r>
                  <w:proofErr w:type="spellStart"/>
                  <w:r w:rsidRPr="00454D46">
                    <w:rPr>
                      <w:sz w:val="22"/>
                      <w:szCs w:val="22"/>
                      <w:lang w:eastAsia="lt-LT"/>
                    </w:rPr>
                    <w:t>šviet</w:t>
                  </w:r>
                  <w:proofErr w:type="spellEnd"/>
                  <w:r w:rsidRPr="00454D46">
                    <w:rPr>
                      <w:sz w:val="22"/>
                      <w:szCs w:val="22"/>
                      <w:lang w:eastAsia="lt-LT"/>
                    </w:rPr>
                    <w:t>. centras</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113,9</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83</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1,37</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62,0</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83</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0,75</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175,9</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w:t>
                  </w:r>
                  <w:proofErr w:type="spellStart"/>
                  <w:r w:rsidRPr="00454D46">
                    <w:rPr>
                      <w:sz w:val="22"/>
                      <w:szCs w:val="22"/>
                      <w:lang w:eastAsia="lt-LT"/>
                    </w:rPr>
                    <w:t>Ryto"pagrindinė</w:t>
                  </w:r>
                  <w:proofErr w:type="spellEnd"/>
                  <w:r w:rsidRPr="00454D46">
                    <w:rPr>
                      <w:sz w:val="22"/>
                      <w:szCs w:val="22"/>
                      <w:lang w:eastAsia="lt-LT"/>
                    </w:rPr>
                    <w:t xml:space="preserve"> mokykla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218,2</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978</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0,22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1211,5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978</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1,24</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1429,7</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9</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Akademiko A.Jucio progimnazija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136,2</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166</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0,82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280,4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166</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1,69</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416,6</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2,5</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10</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"Babrungo" progimnazija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125,6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215</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0,58</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352,3</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215</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1,64</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477,9</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11</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Šateikių</w:t>
                  </w:r>
                  <w:proofErr w:type="spellEnd"/>
                  <w:r w:rsidRPr="00454D46">
                    <w:rPr>
                      <w:sz w:val="22"/>
                      <w:szCs w:val="22"/>
                      <w:lang w:eastAsia="lt-LT"/>
                    </w:rPr>
                    <w:t xml:space="preserve"> pagrindinė mokykla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131,5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133</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0,99</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283,5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133</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2,13</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415,0</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3,1</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Vysk. M.Valančiaus pradinė m.</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70,6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218</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0,32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276,5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218</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1,27</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347,1</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Prūsalių</w:t>
                  </w:r>
                  <w:proofErr w:type="spellEnd"/>
                  <w:r w:rsidRPr="00454D46">
                    <w:rPr>
                      <w:sz w:val="22"/>
                      <w:szCs w:val="22"/>
                      <w:lang w:eastAsia="lt-LT"/>
                    </w:rPr>
                    <w:t xml:space="preserve"> mokykla-darželis</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89,0</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49</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1,82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82,3</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49</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1,68</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171,3</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3,5</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14</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Didvyčių</w:t>
                  </w:r>
                  <w:proofErr w:type="spellEnd"/>
                  <w:r w:rsidRPr="00454D46">
                    <w:rPr>
                      <w:sz w:val="22"/>
                      <w:szCs w:val="22"/>
                      <w:lang w:eastAsia="lt-LT"/>
                    </w:rPr>
                    <w:t xml:space="preserve"> </w:t>
                  </w:r>
                  <w:proofErr w:type="spellStart"/>
                  <w:r w:rsidRPr="00454D46">
                    <w:rPr>
                      <w:sz w:val="22"/>
                      <w:szCs w:val="22"/>
                      <w:lang w:eastAsia="lt-LT"/>
                    </w:rPr>
                    <w:t>daugiafunkcis</w:t>
                  </w:r>
                  <w:proofErr w:type="spellEnd"/>
                  <w:r w:rsidRPr="00454D46">
                    <w:rPr>
                      <w:sz w:val="22"/>
                      <w:szCs w:val="22"/>
                      <w:lang w:eastAsia="lt-LT"/>
                    </w:rPr>
                    <w:t xml:space="preserve"> c.</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72,7</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4,54</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25,5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1,59</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98,2</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6,1</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Lopšel.darž</w:t>
                  </w:r>
                  <w:proofErr w:type="spellEnd"/>
                  <w:r w:rsidRPr="00454D46">
                    <w:rPr>
                      <w:sz w:val="22"/>
                      <w:szCs w:val="22"/>
                      <w:lang w:eastAsia="lt-LT"/>
                    </w:rPr>
                    <w:t>. "Pasaka"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402,8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214</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1,88</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235,2</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214</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1,10</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638,0</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3,0</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Lopšel.darž</w:t>
                  </w:r>
                  <w:proofErr w:type="spellEnd"/>
                  <w:r w:rsidRPr="00454D46">
                    <w:rPr>
                      <w:sz w:val="22"/>
                      <w:szCs w:val="22"/>
                      <w:lang w:eastAsia="lt-LT"/>
                    </w:rPr>
                    <w:t>. "Vyturėlis"</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352,8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203</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1,74</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184,8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203</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0,91</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537,6</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17</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Lopšel.darž."Rūtelė</w:t>
                  </w:r>
                  <w:proofErr w:type="spellEnd"/>
                  <w:r w:rsidRPr="00454D46">
                    <w:rPr>
                      <w:sz w:val="22"/>
                      <w:szCs w:val="22"/>
                      <w:lang w:eastAsia="lt-LT"/>
                    </w:rPr>
                    <w:t>"</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359,0</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222</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1,62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209,8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222</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0,95</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568,8</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18</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Lopšel.darž</w:t>
                  </w:r>
                  <w:proofErr w:type="spellEnd"/>
                  <w:r w:rsidRPr="00454D46">
                    <w:rPr>
                      <w:sz w:val="22"/>
                      <w:szCs w:val="22"/>
                      <w:lang w:eastAsia="lt-LT"/>
                    </w:rPr>
                    <w:t>. "Saulutė"</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316,5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205</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1,54</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196,8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205</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0,96</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513,3</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2,5</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19</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Lopš.d</w:t>
                  </w:r>
                  <w:proofErr w:type="spellEnd"/>
                  <w:r w:rsidRPr="00454D46">
                    <w:rPr>
                      <w:sz w:val="22"/>
                      <w:szCs w:val="22"/>
                      <w:lang w:eastAsia="lt-LT"/>
                    </w:rPr>
                    <w:t>. "Raudonkepuraitė"</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309,0</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188</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1,64</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174,5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188</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0,93</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483,5</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20</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Lopšel.darž</w:t>
                  </w:r>
                  <w:proofErr w:type="spellEnd"/>
                  <w:r w:rsidRPr="00454D46">
                    <w:rPr>
                      <w:sz w:val="22"/>
                      <w:szCs w:val="22"/>
                      <w:lang w:eastAsia="lt-LT"/>
                    </w:rPr>
                    <w:t>. "Nykštukas"</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231,1</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136</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1,70</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129,8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136</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0,95</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360,9</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2,7</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21</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 xml:space="preserve">Platelių </w:t>
                  </w:r>
                  <w:proofErr w:type="spellStart"/>
                  <w:r w:rsidRPr="00454D46">
                    <w:rPr>
                      <w:sz w:val="22"/>
                      <w:szCs w:val="22"/>
                      <w:lang w:eastAsia="lt-LT"/>
                    </w:rPr>
                    <w:t>univ</w:t>
                  </w:r>
                  <w:proofErr w:type="spellEnd"/>
                  <w:r w:rsidRPr="00454D46">
                    <w:rPr>
                      <w:sz w:val="22"/>
                      <w:szCs w:val="22"/>
                      <w:lang w:eastAsia="lt-LT"/>
                    </w:rPr>
                    <w:t xml:space="preserve">. </w:t>
                  </w:r>
                  <w:proofErr w:type="spellStart"/>
                  <w:r w:rsidRPr="00454D46">
                    <w:rPr>
                      <w:sz w:val="22"/>
                      <w:szCs w:val="22"/>
                      <w:lang w:eastAsia="lt-LT"/>
                    </w:rPr>
                    <w:t>daugiafunkcis</w:t>
                  </w:r>
                  <w:proofErr w:type="spellEnd"/>
                  <w:r w:rsidRPr="00454D46">
                    <w:rPr>
                      <w:sz w:val="22"/>
                      <w:szCs w:val="22"/>
                      <w:lang w:eastAsia="lt-LT"/>
                    </w:rPr>
                    <w:t xml:space="preserve"> c.</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128,8</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40</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3,22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41,6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40</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1,04</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170,4</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4,3</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 xml:space="preserve">Alsėdžių </w:t>
                  </w:r>
                  <w:proofErr w:type="spellStart"/>
                  <w:r w:rsidRPr="00454D46">
                    <w:rPr>
                      <w:sz w:val="22"/>
                      <w:szCs w:val="22"/>
                      <w:lang w:eastAsia="lt-LT"/>
                    </w:rPr>
                    <w:t>lopšel.darželis</w:t>
                  </w:r>
                  <w:proofErr w:type="spellEnd"/>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103,5</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44</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2,35</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47,3</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44</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1,08</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150,8</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3,4</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23</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proofErr w:type="spellStart"/>
                  <w:r w:rsidRPr="00454D46">
                    <w:rPr>
                      <w:sz w:val="22"/>
                      <w:szCs w:val="22"/>
                      <w:lang w:eastAsia="lt-LT"/>
                    </w:rPr>
                    <w:t>Žem</w:t>
                  </w:r>
                  <w:proofErr w:type="spellEnd"/>
                  <w:r w:rsidRPr="00454D46">
                    <w:rPr>
                      <w:sz w:val="22"/>
                      <w:szCs w:val="22"/>
                      <w:lang w:eastAsia="lt-LT"/>
                    </w:rPr>
                    <w:t xml:space="preserve">. Kalvarijos </w:t>
                  </w:r>
                  <w:proofErr w:type="spellStart"/>
                  <w:r w:rsidRPr="00454D46">
                    <w:rPr>
                      <w:sz w:val="22"/>
                      <w:szCs w:val="22"/>
                      <w:lang w:eastAsia="lt-LT"/>
                    </w:rPr>
                    <w:t>lopšel.darž</w:t>
                  </w:r>
                  <w:proofErr w:type="spellEnd"/>
                  <w:r w:rsidRPr="00454D46">
                    <w:rPr>
                      <w:sz w:val="22"/>
                      <w:szCs w:val="22"/>
                      <w:lang w:eastAsia="lt-LT"/>
                    </w:rPr>
                    <w:t>.</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86,4</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38</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2,27</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26,3</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38</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0,69</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112,7</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3,0</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24</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 xml:space="preserve">Sporto ir </w:t>
                  </w:r>
                  <w:proofErr w:type="spellStart"/>
                  <w:r w:rsidRPr="00454D46">
                    <w:rPr>
                      <w:sz w:val="22"/>
                      <w:szCs w:val="22"/>
                      <w:lang w:eastAsia="lt-LT"/>
                    </w:rPr>
                    <w:t>rekreac</w:t>
                  </w:r>
                  <w:proofErr w:type="spellEnd"/>
                  <w:r w:rsidRPr="00454D46">
                    <w:rPr>
                      <w:sz w:val="22"/>
                      <w:szCs w:val="22"/>
                      <w:lang w:eastAsia="lt-LT"/>
                    </w:rPr>
                    <w:t>. centras</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417,3</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471</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0,89</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12,6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471</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0,03</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429,9</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0,9</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25</w:t>
                  </w:r>
                </w:p>
              </w:tc>
              <w:tc>
                <w:tcPr>
                  <w:tcW w:w="2511" w:type="dxa"/>
                  <w:tcBorders>
                    <w:top w:val="nil"/>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M.Oginskio meno mok.</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868,6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542</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1,60</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22,1</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542</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0,04</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890,7</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1,6</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26</w:t>
                  </w:r>
                </w:p>
              </w:tc>
              <w:tc>
                <w:tcPr>
                  <w:tcW w:w="2511" w:type="dxa"/>
                  <w:tcBorders>
                    <w:top w:val="nil"/>
                    <w:left w:val="nil"/>
                    <w:bottom w:val="nil"/>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Platelių meno mokykla</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237,6</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227</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1,05</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7,7</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227</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0,03</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245,3</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1,1</w:t>
                  </w:r>
                </w:p>
              </w:tc>
            </w:tr>
            <w:tr w:rsidR="00454D46" w:rsidRPr="00454D46" w:rsidTr="00454D46">
              <w:trPr>
                <w:trHeight w:val="300"/>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27</w:t>
                  </w:r>
                </w:p>
              </w:tc>
              <w:tc>
                <w:tcPr>
                  <w:tcW w:w="2511" w:type="dxa"/>
                  <w:tcBorders>
                    <w:top w:val="single" w:sz="4" w:space="0" w:color="auto"/>
                    <w:left w:val="nil"/>
                    <w:bottom w:val="single" w:sz="4" w:space="0" w:color="auto"/>
                    <w:right w:val="nil"/>
                  </w:tcBorders>
                  <w:shd w:val="clear" w:color="auto" w:fill="auto"/>
                  <w:vAlign w:val="bottom"/>
                  <w:hideMark/>
                </w:tcPr>
                <w:p w:rsidR="00454D46" w:rsidRPr="00454D46" w:rsidRDefault="00454D46" w:rsidP="00454D46">
                  <w:pPr>
                    <w:rPr>
                      <w:sz w:val="22"/>
                      <w:szCs w:val="22"/>
                      <w:lang w:eastAsia="lt-LT"/>
                    </w:rPr>
                  </w:pPr>
                  <w:r w:rsidRPr="00454D46">
                    <w:rPr>
                      <w:sz w:val="22"/>
                      <w:szCs w:val="22"/>
                      <w:lang w:eastAsia="lt-LT"/>
                    </w:rPr>
                    <w:t>Specialiojo ugdymo centras</w:t>
                  </w:r>
                </w:p>
              </w:tc>
              <w:tc>
                <w:tcPr>
                  <w:tcW w:w="891" w:type="dxa"/>
                  <w:tcBorders>
                    <w:top w:val="nil"/>
                    <w:left w:val="single" w:sz="4" w:space="0" w:color="auto"/>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477,0</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82</w:t>
                  </w:r>
                </w:p>
              </w:tc>
              <w:tc>
                <w:tcPr>
                  <w:tcW w:w="851"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5,82</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331,7</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82</w:t>
                  </w:r>
                </w:p>
              </w:tc>
              <w:tc>
                <w:tcPr>
                  <w:tcW w:w="850" w:type="dxa"/>
                  <w:tcBorders>
                    <w:top w:val="nil"/>
                    <w:left w:val="nil"/>
                    <w:bottom w:val="single" w:sz="4" w:space="0" w:color="auto"/>
                    <w:right w:val="single" w:sz="4" w:space="0" w:color="auto"/>
                  </w:tcBorders>
                  <w:shd w:val="clear" w:color="000000" w:fill="CCFFCC"/>
                  <w:vAlign w:val="bottom"/>
                  <w:hideMark/>
                </w:tcPr>
                <w:p w:rsidR="00454D46" w:rsidRPr="00454D46" w:rsidRDefault="00454D46" w:rsidP="00454D46">
                  <w:pPr>
                    <w:jc w:val="center"/>
                    <w:rPr>
                      <w:b/>
                      <w:bCs/>
                      <w:sz w:val="22"/>
                      <w:szCs w:val="22"/>
                      <w:lang w:eastAsia="lt-LT"/>
                    </w:rPr>
                  </w:pPr>
                  <w:r w:rsidRPr="00454D46">
                    <w:rPr>
                      <w:b/>
                      <w:bCs/>
                      <w:sz w:val="22"/>
                      <w:szCs w:val="22"/>
                      <w:lang w:eastAsia="lt-LT"/>
                    </w:rPr>
                    <w:t>4,05</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808,7</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sz w:val="22"/>
                      <w:szCs w:val="22"/>
                      <w:lang w:eastAsia="lt-LT"/>
                    </w:rPr>
                  </w:pPr>
                  <w:r w:rsidRPr="00454D46">
                    <w:rPr>
                      <w:sz w:val="22"/>
                      <w:szCs w:val="22"/>
                      <w:lang w:eastAsia="lt-LT"/>
                    </w:rPr>
                    <w:t>9,9</w:t>
                  </w:r>
                </w:p>
              </w:tc>
            </w:tr>
            <w:tr w:rsidR="00454D46" w:rsidRPr="00454D46" w:rsidTr="00454D46">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D46" w:rsidRPr="00454D46" w:rsidRDefault="00454D46" w:rsidP="00454D46">
                  <w:pPr>
                    <w:jc w:val="center"/>
                    <w:rPr>
                      <w:b/>
                      <w:bCs/>
                      <w:sz w:val="22"/>
                      <w:szCs w:val="22"/>
                      <w:lang w:eastAsia="lt-LT"/>
                    </w:rPr>
                  </w:pPr>
                  <w:r w:rsidRPr="00454D46">
                    <w:rPr>
                      <w:b/>
                      <w:bCs/>
                      <w:sz w:val="22"/>
                      <w:szCs w:val="22"/>
                      <w:lang w:eastAsia="lt-LT"/>
                    </w:rPr>
                    <w:t>iš viso</w:t>
                  </w:r>
                </w:p>
              </w:tc>
              <w:tc>
                <w:tcPr>
                  <w:tcW w:w="89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6272,1</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6738</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0,93</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7653,2</w:t>
                  </w:r>
                </w:p>
              </w:tc>
              <w:tc>
                <w:tcPr>
                  <w:tcW w:w="709"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6738</w:t>
                  </w:r>
                </w:p>
              </w:tc>
              <w:tc>
                <w:tcPr>
                  <w:tcW w:w="850"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1,14</w:t>
                  </w:r>
                </w:p>
              </w:tc>
              <w:tc>
                <w:tcPr>
                  <w:tcW w:w="1134"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13925,3</w:t>
                  </w:r>
                </w:p>
              </w:tc>
              <w:tc>
                <w:tcPr>
                  <w:tcW w:w="851" w:type="dxa"/>
                  <w:tcBorders>
                    <w:top w:val="nil"/>
                    <w:left w:val="nil"/>
                    <w:bottom w:val="single" w:sz="4" w:space="0" w:color="auto"/>
                    <w:right w:val="single" w:sz="4" w:space="0" w:color="auto"/>
                  </w:tcBorders>
                  <w:shd w:val="clear" w:color="auto" w:fill="auto"/>
                  <w:vAlign w:val="bottom"/>
                  <w:hideMark/>
                </w:tcPr>
                <w:p w:rsidR="00454D46" w:rsidRPr="00454D46" w:rsidRDefault="00454D46" w:rsidP="00454D46">
                  <w:pPr>
                    <w:jc w:val="center"/>
                    <w:rPr>
                      <w:b/>
                      <w:bCs/>
                      <w:sz w:val="22"/>
                      <w:szCs w:val="22"/>
                      <w:lang w:eastAsia="lt-LT"/>
                    </w:rPr>
                  </w:pPr>
                  <w:r w:rsidRPr="00454D46">
                    <w:rPr>
                      <w:b/>
                      <w:bCs/>
                      <w:sz w:val="22"/>
                      <w:szCs w:val="22"/>
                      <w:lang w:eastAsia="lt-LT"/>
                    </w:rPr>
                    <w:t>2,07</w:t>
                  </w:r>
                </w:p>
              </w:tc>
            </w:tr>
          </w:tbl>
          <w:p w:rsidR="0047321A" w:rsidRPr="00454D46" w:rsidRDefault="0047321A" w:rsidP="00D26FB5">
            <w:pPr>
              <w:jc w:val="center"/>
              <w:rPr>
                <w:b/>
                <w:bCs/>
                <w:lang w:eastAsia="lt-LT"/>
              </w:rPr>
            </w:pPr>
          </w:p>
          <w:p w:rsidR="0047321A" w:rsidRPr="00332228" w:rsidRDefault="0047321A" w:rsidP="00D26FB5">
            <w:pPr>
              <w:jc w:val="center"/>
              <w:rPr>
                <w:b/>
                <w:bCs/>
                <w:sz w:val="24"/>
                <w:szCs w:val="24"/>
                <w:lang w:eastAsia="lt-LT"/>
              </w:rPr>
            </w:pPr>
          </w:p>
        </w:tc>
      </w:tr>
    </w:tbl>
    <w:p w:rsidR="00D26FB5" w:rsidRDefault="00ED712B" w:rsidP="002F7193">
      <w:pPr>
        <w:jc w:val="both"/>
        <w:rPr>
          <w:sz w:val="24"/>
          <w:szCs w:val="24"/>
        </w:rPr>
      </w:pPr>
      <w:r>
        <w:rPr>
          <w:sz w:val="24"/>
          <w:szCs w:val="24"/>
        </w:rPr>
        <w:lastRenderedPageBreak/>
        <w:t xml:space="preserve">          7</w:t>
      </w:r>
      <w:r w:rsidR="002F7193">
        <w:rPr>
          <w:sz w:val="24"/>
          <w:szCs w:val="24"/>
        </w:rPr>
        <w:t xml:space="preserve"> paveiksle grafiškai</w:t>
      </w:r>
      <w:r w:rsidR="002F7193" w:rsidRPr="001252CD">
        <w:rPr>
          <w:sz w:val="24"/>
          <w:szCs w:val="24"/>
        </w:rPr>
        <w:t xml:space="preserve"> </w:t>
      </w:r>
      <w:r w:rsidR="00D26FB5">
        <w:rPr>
          <w:sz w:val="24"/>
          <w:szCs w:val="24"/>
        </w:rPr>
        <w:t>pavaizduota, kaip 2018</w:t>
      </w:r>
      <w:r w:rsidR="002F7193">
        <w:rPr>
          <w:sz w:val="24"/>
          <w:szCs w:val="24"/>
        </w:rPr>
        <w:t xml:space="preserve"> metais švietimo įstaigoms  iš visų finansavimo šaltinių buvo paskirstytas finansavimas, skiriamas vienam mokiniui, vaikui išlaikyti, ugdyti. </w:t>
      </w:r>
    </w:p>
    <w:p w:rsidR="002F7193" w:rsidRDefault="002F7193" w:rsidP="002F7193">
      <w:pPr>
        <w:jc w:val="both"/>
        <w:rPr>
          <w:sz w:val="24"/>
          <w:szCs w:val="24"/>
        </w:rPr>
      </w:pPr>
      <w:r>
        <w:rPr>
          <w:sz w:val="24"/>
          <w:szCs w:val="24"/>
        </w:rPr>
        <w:t xml:space="preserve"> </w:t>
      </w:r>
    </w:p>
    <w:p w:rsidR="002F7193" w:rsidRDefault="0047321A" w:rsidP="002F7193">
      <w:pPr>
        <w:jc w:val="both"/>
        <w:rPr>
          <w:sz w:val="24"/>
          <w:szCs w:val="24"/>
        </w:rPr>
      </w:pPr>
      <w:r>
        <w:rPr>
          <w:noProof/>
          <w:lang w:eastAsia="lt-LT"/>
        </w:rPr>
        <w:drawing>
          <wp:inline distT="0" distB="0" distL="0" distR="0" wp14:anchorId="6579C467" wp14:editId="0B707EAF">
            <wp:extent cx="6120765" cy="7681702"/>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7193" w:rsidRDefault="00ED712B" w:rsidP="002F7193">
      <w:pPr>
        <w:jc w:val="center"/>
        <w:rPr>
          <w:sz w:val="24"/>
          <w:szCs w:val="24"/>
        </w:rPr>
      </w:pPr>
      <w:r>
        <w:rPr>
          <w:sz w:val="24"/>
          <w:szCs w:val="24"/>
        </w:rPr>
        <w:t>7</w:t>
      </w:r>
      <w:r w:rsidR="002F7193">
        <w:rPr>
          <w:sz w:val="24"/>
          <w:szCs w:val="24"/>
        </w:rPr>
        <w:t xml:space="preserve">  pav</w:t>
      </w:r>
      <w:r w:rsidR="002F7193" w:rsidRPr="00CE38FB">
        <w:rPr>
          <w:sz w:val="24"/>
          <w:szCs w:val="24"/>
        </w:rPr>
        <w:t>. Lėšos</w:t>
      </w:r>
      <w:r w:rsidR="002F7193">
        <w:rPr>
          <w:sz w:val="24"/>
          <w:szCs w:val="24"/>
        </w:rPr>
        <w:t>, skirtos vienam mokiniui,</w:t>
      </w:r>
      <w:r w:rsidR="00D26FB5">
        <w:rPr>
          <w:sz w:val="24"/>
          <w:szCs w:val="24"/>
        </w:rPr>
        <w:t xml:space="preserve"> vaikui švietimo įstaigose  2018</w:t>
      </w:r>
      <w:r w:rsidR="002F7193">
        <w:rPr>
          <w:sz w:val="24"/>
          <w:szCs w:val="24"/>
        </w:rPr>
        <w:t xml:space="preserve"> metais, tūkst. eurų</w:t>
      </w:r>
    </w:p>
    <w:p w:rsidR="002F7193" w:rsidRDefault="002F7193" w:rsidP="002F7193">
      <w:pPr>
        <w:ind w:firstLine="720"/>
        <w:jc w:val="both"/>
        <w:rPr>
          <w:sz w:val="24"/>
          <w:szCs w:val="24"/>
        </w:rPr>
      </w:pPr>
    </w:p>
    <w:p w:rsidR="002F7193" w:rsidRDefault="002F7193" w:rsidP="002F7193">
      <w:pPr>
        <w:ind w:firstLine="720"/>
        <w:jc w:val="both"/>
        <w:rPr>
          <w:sz w:val="24"/>
          <w:szCs w:val="24"/>
        </w:rPr>
      </w:pPr>
    </w:p>
    <w:p w:rsidR="002F7193" w:rsidRDefault="00ED712B" w:rsidP="002F7193">
      <w:pPr>
        <w:ind w:firstLine="720"/>
        <w:jc w:val="both"/>
        <w:rPr>
          <w:sz w:val="24"/>
          <w:szCs w:val="24"/>
        </w:rPr>
      </w:pPr>
      <w:r>
        <w:rPr>
          <w:sz w:val="24"/>
          <w:szCs w:val="24"/>
        </w:rPr>
        <w:lastRenderedPageBreak/>
        <w:t>8</w:t>
      </w:r>
      <w:r w:rsidR="002F7193">
        <w:rPr>
          <w:sz w:val="24"/>
          <w:szCs w:val="24"/>
        </w:rPr>
        <w:t xml:space="preserve"> paveiksl</w:t>
      </w:r>
      <w:r w:rsidR="00D26FB5">
        <w:rPr>
          <w:sz w:val="24"/>
          <w:szCs w:val="24"/>
        </w:rPr>
        <w:t>e parodyta, kiek asignavimų 2018</w:t>
      </w:r>
      <w:r w:rsidR="002F7193">
        <w:rPr>
          <w:sz w:val="24"/>
          <w:szCs w:val="24"/>
        </w:rPr>
        <w:t xml:space="preserve"> metais buvo skirta vienam mokiniui iš </w:t>
      </w:r>
      <w:proofErr w:type="spellStart"/>
      <w:r w:rsidR="002F7193">
        <w:rPr>
          <w:sz w:val="24"/>
          <w:szCs w:val="24"/>
        </w:rPr>
        <w:t>savarankiškųjų</w:t>
      </w:r>
      <w:proofErr w:type="spellEnd"/>
      <w:r w:rsidR="002F7193">
        <w:rPr>
          <w:sz w:val="24"/>
          <w:szCs w:val="24"/>
        </w:rPr>
        <w:t>, valstybės priskirtų savivaldybei funkcijų bei kitų  dotacijų, be mokinio krepšelio lėšų.</w:t>
      </w:r>
    </w:p>
    <w:p w:rsidR="002F7193" w:rsidRDefault="004E5350" w:rsidP="002F7193">
      <w:pPr>
        <w:jc w:val="both"/>
        <w:rPr>
          <w:noProof/>
          <w:lang w:eastAsia="lt-LT"/>
        </w:rPr>
      </w:pPr>
      <w:r>
        <w:rPr>
          <w:noProof/>
          <w:lang w:eastAsia="lt-LT"/>
        </w:rPr>
        <w:drawing>
          <wp:inline distT="0" distB="0" distL="0" distR="0" wp14:anchorId="520DC3BB" wp14:editId="1B672CAD">
            <wp:extent cx="6043930" cy="8258175"/>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7193" w:rsidRDefault="00ED712B" w:rsidP="002F7193">
      <w:pPr>
        <w:ind w:firstLine="142"/>
        <w:jc w:val="center"/>
        <w:rPr>
          <w:sz w:val="24"/>
          <w:szCs w:val="24"/>
        </w:rPr>
      </w:pPr>
      <w:r>
        <w:rPr>
          <w:sz w:val="24"/>
          <w:szCs w:val="24"/>
        </w:rPr>
        <w:t>8</w:t>
      </w:r>
      <w:r w:rsidR="002F7193">
        <w:rPr>
          <w:sz w:val="24"/>
          <w:szCs w:val="24"/>
        </w:rPr>
        <w:t xml:space="preserve"> pav</w:t>
      </w:r>
      <w:r w:rsidR="002F7193" w:rsidRPr="00CE38FB">
        <w:rPr>
          <w:sz w:val="24"/>
          <w:szCs w:val="24"/>
        </w:rPr>
        <w:t>. Lėšos</w:t>
      </w:r>
      <w:r w:rsidR="002F7193">
        <w:rPr>
          <w:sz w:val="24"/>
          <w:szCs w:val="24"/>
        </w:rPr>
        <w:t>, skirtos vienam mokiniui,</w:t>
      </w:r>
      <w:r w:rsidR="004E5350">
        <w:rPr>
          <w:sz w:val="24"/>
          <w:szCs w:val="24"/>
        </w:rPr>
        <w:t xml:space="preserve"> vaikui švietimo įstaigose  2018</w:t>
      </w:r>
      <w:r w:rsidR="002F7193">
        <w:rPr>
          <w:sz w:val="24"/>
          <w:szCs w:val="24"/>
        </w:rPr>
        <w:t xml:space="preserve"> metais iš </w:t>
      </w:r>
      <w:proofErr w:type="spellStart"/>
      <w:r w:rsidR="002F7193">
        <w:rPr>
          <w:sz w:val="24"/>
          <w:szCs w:val="24"/>
        </w:rPr>
        <w:t>savarankiškųjų</w:t>
      </w:r>
      <w:proofErr w:type="spellEnd"/>
      <w:r w:rsidR="002F7193">
        <w:rPr>
          <w:sz w:val="24"/>
          <w:szCs w:val="24"/>
        </w:rPr>
        <w:t xml:space="preserve"> ir valstybės priskirtų savivaldybei funkcijų bei dotacijų, tūkst. eurų</w:t>
      </w:r>
    </w:p>
    <w:tbl>
      <w:tblPr>
        <w:tblW w:w="10005" w:type="dxa"/>
        <w:tblInd w:w="108" w:type="dxa"/>
        <w:tblLook w:val="0000" w:firstRow="0" w:lastRow="0" w:firstColumn="0" w:lastColumn="0" w:noHBand="0" w:noVBand="0"/>
      </w:tblPr>
      <w:tblGrid>
        <w:gridCol w:w="10005"/>
      </w:tblGrid>
      <w:tr w:rsidR="002F7193" w:rsidRPr="00A73E49" w:rsidTr="00D26FB5">
        <w:trPr>
          <w:trHeight w:val="270"/>
        </w:trPr>
        <w:tc>
          <w:tcPr>
            <w:tcW w:w="10005" w:type="dxa"/>
            <w:tcBorders>
              <w:top w:val="nil"/>
              <w:left w:val="nil"/>
              <w:bottom w:val="nil"/>
              <w:right w:val="nil"/>
            </w:tcBorders>
            <w:shd w:val="clear" w:color="auto" w:fill="auto"/>
            <w:noWrap/>
            <w:vAlign w:val="bottom"/>
          </w:tcPr>
          <w:p w:rsidR="002F7193" w:rsidRDefault="00454D46" w:rsidP="00D26FB5">
            <w:pPr>
              <w:jc w:val="both"/>
              <w:rPr>
                <w:sz w:val="24"/>
                <w:szCs w:val="24"/>
              </w:rPr>
            </w:pPr>
            <w:r>
              <w:rPr>
                <w:sz w:val="24"/>
                <w:szCs w:val="24"/>
              </w:rPr>
              <w:lastRenderedPageBreak/>
              <w:t xml:space="preserve">           7</w:t>
            </w:r>
            <w:r w:rsidR="00ED712B">
              <w:rPr>
                <w:sz w:val="24"/>
                <w:szCs w:val="24"/>
              </w:rPr>
              <w:t xml:space="preserve"> lentelėje ir 9</w:t>
            </w:r>
            <w:r w:rsidR="002F7193">
              <w:rPr>
                <w:sz w:val="24"/>
                <w:szCs w:val="24"/>
              </w:rPr>
              <w:t xml:space="preserve"> paveiksle parodyta, kiek vienam mokiniui, vaikui Plungės rajono savivaldybės švietimo įstaigose  tenka bendro pastatų ploto. Pastebimi labai dideli netolygumai. Skirtumas tarp vienam mokiniui, vaikui tenkančio bendro pastatų ploto siekia net 10 kartų ir daugiau, išskyrus Specialiojo ugdymo centrą, kur vienam mokiniui tenka 97,4 kv. metro pastatų ploto.</w:t>
            </w:r>
          </w:p>
          <w:p w:rsidR="002F7193" w:rsidRDefault="002F7193" w:rsidP="00D26FB5">
            <w:pPr>
              <w:jc w:val="both"/>
              <w:rPr>
                <w:sz w:val="24"/>
                <w:szCs w:val="24"/>
              </w:rPr>
            </w:pPr>
          </w:p>
          <w:p w:rsidR="00E02EDA" w:rsidRDefault="00E02EDA" w:rsidP="00D26FB5">
            <w:pPr>
              <w:jc w:val="both"/>
              <w:rPr>
                <w:sz w:val="24"/>
                <w:szCs w:val="24"/>
              </w:rPr>
            </w:pPr>
          </w:p>
          <w:p w:rsidR="002F7193" w:rsidRDefault="00454D46" w:rsidP="00D26FB5">
            <w:pPr>
              <w:tabs>
                <w:tab w:val="left" w:pos="720"/>
                <w:tab w:val="left" w:pos="900"/>
              </w:tabs>
              <w:jc w:val="center"/>
              <w:rPr>
                <w:b/>
                <w:sz w:val="24"/>
                <w:szCs w:val="24"/>
              </w:rPr>
            </w:pPr>
            <w:r>
              <w:rPr>
                <w:b/>
                <w:sz w:val="24"/>
                <w:szCs w:val="24"/>
              </w:rPr>
              <w:t>7</w:t>
            </w:r>
            <w:r w:rsidR="002F7193" w:rsidRPr="005D4806">
              <w:rPr>
                <w:b/>
                <w:sz w:val="24"/>
                <w:szCs w:val="24"/>
              </w:rPr>
              <w:t xml:space="preserve"> lentelė. Vienam vaikui, mokiniui tenkanti bendrojo pastatų ploto dalis švietimo įstaigose</w:t>
            </w:r>
          </w:p>
          <w:p w:rsidR="00E02EDA" w:rsidRPr="005D4806" w:rsidRDefault="00E02EDA" w:rsidP="00D26FB5">
            <w:pPr>
              <w:tabs>
                <w:tab w:val="left" w:pos="720"/>
                <w:tab w:val="left" w:pos="900"/>
              </w:tabs>
              <w:jc w:val="center"/>
              <w:rPr>
                <w:b/>
                <w:sz w:val="24"/>
                <w:szCs w:val="24"/>
              </w:rPr>
            </w:pPr>
          </w:p>
          <w:tbl>
            <w:tblPr>
              <w:tblW w:w="7980" w:type="dxa"/>
              <w:tblLook w:val="04A0" w:firstRow="1" w:lastRow="0" w:firstColumn="1" w:lastColumn="0" w:noHBand="0" w:noVBand="1"/>
            </w:tblPr>
            <w:tblGrid>
              <w:gridCol w:w="580"/>
              <w:gridCol w:w="3040"/>
              <w:gridCol w:w="1440"/>
              <w:gridCol w:w="1240"/>
              <w:gridCol w:w="1680"/>
            </w:tblGrid>
            <w:tr w:rsidR="00ED712B" w:rsidRPr="00ED712B" w:rsidTr="00ED712B">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Eil. Nr.</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Švietimo įstaiga</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 xml:space="preserve">Įstaigos plotas, </w:t>
                  </w:r>
                  <w:proofErr w:type="spellStart"/>
                  <w:r w:rsidRPr="00ED712B">
                    <w:rPr>
                      <w:sz w:val="22"/>
                      <w:szCs w:val="22"/>
                      <w:lang w:eastAsia="lt-LT"/>
                    </w:rPr>
                    <w:t>kv.m</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Mokinių, vaikų sk. 2017-09-01</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 xml:space="preserve">Tenka ploto vienam vaikui, mokiniui, </w:t>
                  </w:r>
                  <w:proofErr w:type="spellStart"/>
                  <w:r w:rsidRPr="00ED712B">
                    <w:rPr>
                      <w:b/>
                      <w:bCs/>
                      <w:sz w:val="22"/>
                      <w:szCs w:val="22"/>
                      <w:lang w:eastAsia="lt-LT"/>
                    </w:rPr>
                    <w:t>kv.m</w:t>
                  </w:r>
                  <w:proofErr w:type="spellEnd"/>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"Saulės" gimnazija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7300,0</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619</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11,8</w:t>
                  </w:r>
                </w:p>
              </w:tc>
            </w:tr>
            <w:tr w:rsidR="00ED712B" w:rsidRPr="00ED712B" w:rsidTr="00ED712B">
              <w:trPr>
                <w:trHeight w:val="57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Platelių gimnazija su meno mokykla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4433,6</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383</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11,6</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3</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Senamiesčio mokykla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5868,1</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885</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6,6</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4</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Alsėdžių S.Narutavičiaus g.</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4105,4</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308</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13,3</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5</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Kulių gimnazija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3871,0</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221</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17,5</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6</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 xml:space="preserve">Ž.Kalvarijos M.Valančiaus </w:t>
                  </w:r>
                  <w:proofErr w:type="spellStart"/>
                  <w:r w:rsidRPr="00ED712B">
                    <w:rPr>
                      <w:sz w:val="22"/>
                      <w:szCs w:val="22"/>
                      <w:lang w:eastAsia="lt-LT"/>
                    </w:rPr>
                    <w:t>gimn</w:t>
                  </w:r>
                  <w:proofErr w:type="spellEnd"/>
                  <w:r w:rsidRPr="00ED712B">
                    <w:rPr>
                      <w:sz w:val="22"/>
                      <w:szCs w:val="22"/>
                      <w:lang w:eastAsia="lt-LT"/>
                    </w:rPr>
                    <w:t>.</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2872,9</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205</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14,0</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7</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w:t>
                  </w:r>
                  <w:proofErr w:type="spellStart"/>
                  <w:r w:rsidRPr="00ED712B">
                    <w:rPr>
                      <w:sz w:val="22"/>
                      <w:szCs w:val="22"/>
                      <w:lang w:eastAsia="lt-LT"/>
                    </w:rPr>
                    <w:t>Ryto"pagrindinė</w:t>
                  </w:r>
                  <w:proofErr w:type="spellEnd"/>
                  <w:r w:rsidRPr="00ED712B">
                    <w:rPr>
                      <w:sz w:val="22"/>
                      <w:szCs w:val="22"/>
                      <w:lang w:eastAsia="lt-LT"/>
                    </w:rPr>
                    <w:t xml:space="preserve"> mokykla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8569,6</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978</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8,8</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8</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Akademiko A.Jucio progimnazija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4891,4</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166</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29,5</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9</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"Babrungo" progimnazija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2841,1</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215</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13,2</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10</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Šateikių</w:t>
                  </w:r>
                  <w:proofErr w:type="spellEnd"/>
                  <w:r w:rsidRPr="00ED712B">
                    <w:rPr>
                      <w:sz w:val="22"/>
                      <w:szCs w:val="22"/>
                      <w:lang w:eastAsia="lt-LT"/>
                    </w:rPr>
                    <w:t xml:space="preserve"> pagrindinė mokykla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3728,9</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133</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28,0</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11</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Vysk. M.Valančiaus pradinė m.</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800,0</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137</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5,8</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12</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Prūsalių</w:t>
                  </w:r>
                  <w:proofErr w:type="spellEnd"/>
                  <w:r w:rsidRPr="00ED712B">
                    <w:rPr>
                      <w:sz w:val="22"/>
                      <w:szCs w:val="22"/>
                      <w:lang w:eastAsia="lt-LT"/>
                    </w:rPr>
                    <w:t xml:space="preserve"> mokykla-darželis</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701,6</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49</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14,3</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13</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Didvyčių</w:t>
                  </w:r>
                  <w:proofErr w:type="spellEnd"/>
                  <w:r w:rsidRPr="00ED712B">
                    <w:rPr>
                      <w:sz w:val="22"/>
                      <w:szCs w:val="22"/>
                      <w:lang w:eastAsia="lt-LT"/>
                    </w:rPr>
                    <w:t xml:space="preserve"> </w:t>
                  </w:r>
                  <w:proofErr w:type="spellStart"/>
                  <w:r w:rsidRPr="00ED712B">
                    <w:rPr>
                      <w:sz w:val="22"/>
                      <w:szCs w:val="22"/>
                      <w:lang w:eastAsia="lt-LT"/>
                    </w:rPr>
                    <w:t>daugiafunkcis</w:t>
                  </w:r>
                  <w:proofErr w:type="spellEnd"/>
                  <w:r w:rsidRPr="00ED712B">
                    <w:rPr>
                      <w:sz w:val="22"/>
                      <w:szCs w:val="22"/>
                      <w:lang w:eastAsia="lt-LT"/>
                    </w:rPr>
                    <w:t xml:space="preserve"> centras</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535,1</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16</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33,4</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14</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Lopšel.darž</w:t>
                  </w:r>
                  <w:proofErr w:type="spellEnd"/>
                  <w:r w:rsidRPr="00ED712B">
                    <w:rPr>
                      <w:sz w:val="22"/>
                      <w:szCs w:val="22"/>
                      <w:lang w:eastAsia="lt-LT"/>
                    </w:rPr>
                    <w:t>. "Pasaka"</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2195,3</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214</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10,3</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15</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Lopšel.darž</w:t>
                  </w:r>
                  <w:proofErr w:type="spellEnd"/>
                  <w:r w:rsidRPr="00ED712B">
                    <w:rPr>
                      <w:sz w:val="22"/>
                      <w:szCs w:val="22"/>
                      <w:lang w:eastAsia="lt-LT"/>
                    </w:rPr>
                    <w:t>. "Vyturėlis"</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3329,3</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203</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16,4</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16</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Lopšel.darž."Rūtelė</w:t>
                  </w:r>
                  <w:proofErr w:type="spellEnd"/>
                  <w:r w:rsidRPr="00ED712B">
                    <w:rPr>
                      <w:sz w:val="22"/>
                      <w:szCs w:val="22"/>
                      <w:lang w:eastAsia="lt-LT"/>
                    </w:rPr>
                    <w:t>"</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3266,8</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222</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14,7</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17</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Lopšel.darž</w:t>
                  </w:r>
                  <w:proofErr w:type="spellEnd"/>
                  <w:r w:rsidRPr="00ED712B">
                    <w:rPr>
                      <w:sz w:val="22"/>
                      <w:szCs w:val="22"/>
                      <w:lang w:eastAsia="lt-LT"/>
                    </w:rPr>
                    <w:t>. "Saulutė"</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2505,7</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205</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12,2</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18</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Lopš.d</w:t>
                  </w:r>
                  <w:proofErr w:type="spellEnd"/>
                  <w:r w:rsidRPr="00ED712B">
                    <w:rPr>
                      <w:sz w:val="22"/>
                      <w:szCs w:val="22"/>
                      <w:lang w:eastAsia="lt-LT"/>
                    </w:rPr>
                    <w:t>. "Raudonkepuraitė"</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1780,2</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188</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9,5</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19</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proofErr w:type="spellStart"/>
                  <w:r w:rsidRPr="00ED712B">
                    <w:rPr>
                      <w:sz w:val="22"/>
                      <w:szCs w:val="22"/>
                      <w:lang w:eastAsia="lt-LT"/>
                    </w:rPr>
                    <w:t>Lopšel.darž</w:t>
                  </w:r>
                  <w:proofErr w:type="spellEnd"/>
                  <w:r w:rsidRPr="00ED712B">
                    <w:rPr>
                      <w:sz w:val="22"/>
                      <w:szCs w:val="22"/>
                      <w:lang w:eastAsia="lt-LT"/>
                    </w:rPr>
                    <w:t>. "Nykštukas"</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1481,6</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136</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10,9</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20</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 xml:space="preserve">Platelių </w:t>
                  </w:r>
                  <w:proofErr w:type="spellStart"/>
                  <w:r w:rsidRPr="00ED712B">
                    <w:rPr>
                      <w:sz w:val="22"/>
                      <w:szCs w:val="22"/>
                      <w:lang w:eastAsia="lt-LT"/>
                    </w:rPr>
                    <w:t>univ</w:t>
                  </w:r>
                  <w:proofErr w:type="spellEnd"/>
                  <w:r w:rsidRPr="00ED712B">
                    <w:rPr>
                      <w:sz w:val="22"/>
                      <w:szCs w:val="22"/>
                      <w:lang w:eastAsia="lt-LT"/>
                    </w:rPr>
                    <w:t xml:space="preserve">. </w:t>
                  </w:r>
                  <w:proofErr w:type="spellStart"/>
                  <w:r w:rsidRPr="00ED712B">
                    <w:rPr>
                      <w:sz w:val="22"/>
                      <w:szCs w:val="22"/>
                      <w:lang w:eastAsia="lt-LT"/>
                    </w:rPr>
                    <w:t>daugiafunkcis</w:t>
                  </w:r>
                  <w:proofErr w:type="spellEnd"/>
                  <w:r w:rsidRPr="00ED712B">
                    <w:rPr>
                      <w:sz w:val="22"/>
                      <w:szCs w:val="22"/>
                      <w:lang w:eastAsia="lt-LT"/>
                    </w:rPr>
                    <w:t xml:space="preserve"> c.</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1512,6</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40</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37,8</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21</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 xml:space="preserve">Alsėdžių </w:t>
                  </w:r>
                  <w:proofErr w:type="spellStart"/>
                  <w:r w:rsidRPr="00ED712B">
                    <w:rPr>
                      <w:sz w:val="22"/>
                      <w:szCs w:val="22"/>
                      <w:lang w:eastAsia="lt-LT"/>
                    </w:rPr>
                    <w:t>lopšel.darželis</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723,0</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44</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16,4</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22</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 xml:space="preserve">Sporto ir </w:t>
                  </w:r>
                  <w:proofErr w:type="spellStart"/>
                  <w:r w:rsidRPr="00ED712B">
                    <w:rPr>
                      <w:sz w:val="22"/>
                      <w:szCs w:val="22"/>
                      <w:lang w:eastAsia="lt-LT"/>
                    </w:rPr>
                    <w:t>rekreac</w:t>
                  </w:r>
                  <w:proofErr w:type="spellEnd"/>
                  <w:r w:rsidRPr="00ED712B">
                    <w:rPr>
                      <w:sz w:val="22"/>
                      <w:szCs w:val="22"/>
                      <w:lang w:eastAsia="lt-LT"/>
                    </w:rPr>
                    <w:t>. centras</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1385,8</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471</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2,9</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23</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M.Oginskio meno mok.</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2784,7</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524</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5,3</w:t>
                  </w:r>
                </w:p>
              </w:tc>
            </w:tr>
            <w:tr w:rsidR="00ED712B" w:rsidRPr="00ED712B" w:rsidTr="00ED712B">
              <w:trPr>
                <w:trHeight w:val="28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24</w:t>
                  </w:r>
                </w:p>
              </w:tc>
              <w:tc>
                <w:tcPr>
                  <w:tcW w:w="30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rPr>
                      <w:sz w:val="22"/>
                      <w:szCs w:val="22"/>
                      <w:lang w:eastAsia="lt-LT"/>
                    </w:rPr>
                  </w:pPr>
                  <w:r w:rsidRPr="00ED712B">
                    <w:rPr>
                      <w:sz w:val="22"/>
                      <w:szCs w:val="22"/>
                      <w:lang w:eastAsia="lt-LT"/>
                    </w:rPr>
                    <w:t>Specialiojo ugdymo centras</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sz w:val="22"/>
                      <w:szCs w:val="22"/>
                      <w:lang w:eastAsia="lt-LT"/>
                    </w:rPr>
                  </w:pPr>
                  <w:r w:rsidRPr="00ED712B">
                    <w:rPr>
                      <w:sz w:val="22"/>
                      <w:szCs w:val="22"/>
                      <w:lang w:eastAsia="lt-LT"/>
                    </w:rPr>
                    <w:t>7653,2</w:t>
                  </w:r>
                </w:p>
              </w:tc>
              <w:tc>
                <w:tcPr>
                  <w:tcW w:w="1240" w:type="dxa"/>
                  <w:tcBorders>
                    <w:top w:val="nil"/>
                    <w:left w:val="nil"/>
                    <w:bottom w:val="single" w:sz="4" w:space="0" w:color="auto"/>
                    <w:right w:val="single" w:sz="4" w:space="0" w:color="auto"/>
                  </w:tcBorders>
                  <w:shd w:val="clear" w:color="auto" w:fill="auto"/>
                  <w:vAlign w:val="center"/>
                  <w:hideMark/>
                </w:tcPr>
                <w:p w:rsidR="00ED712B" w:rsidRPr="00ED712B" w:rsidRDefault="00ED712B" w:rsidP="00ED712B">
                  <w:pPr>
                    <w:jc w:val="center"/>
                    <w:rPr>
                      <w:sz w:val="22"/>
                      <w:szCs w:val="22"/>
                      <w:lang w:eastAsia="lt-LT"/>
                    </w:rPr>
                  </w:pPr>
                  <w:r w:rsidRPr="00ED712B">
                    <w:rPr>
                      <w:sz w:val="22"/>
                      <w:szCs w:val="22"/>
                      <w:lang w:eastAsia="lt-LT"/>
                    </w:rPr>
                    <w:t>82</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93,3</w:t>
                  </w:r>
                </w:p>
              </w:tc>
            </w:tr>
            <w:tr w:rsidR="00ED712B" w:rsidRPr="00ED712B" w:rsidTr="00ED712B">
              <w:trPr>
                <w:trHeight w:val="289"/>
              </w:trPr>
              <w:tc>
                <w:tcPr>
                  <w:tcW w:w="3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2B" w:rsidRPr="00ED712B" w:rsidRDefault="00ED712B" w:rsidP="00ED712B">
                  <w:pPr>
                    <w:jc w:val="center"/>
                    <w:rPr>
                      <w:b/>
                      <w:bCs/>
                      <w:sz w:val="22"/>
                      <w:szCs w:val="22"/>
                      <w:lang w:eastAsia="lt-LT"/>
                    </w:rPr>
                  </w:pPr>
                  <w:r w:rsidRPr="00ED712B">
                    <w:rPr>
                      <w:b/>
                      <w:bCs/>
                      <w:sz w:val="22"/>
                      <w:szCs w:val="22"/>
                      <w:lang w:eastAsia="lt-LT"/>
                    </w:rPr>
                    <w:t>Iš viso</w:t>
                  </w:r>
                </w:p>
              </w:tc>
              <w:tc>
                <w:tcPr>
                  <w:tcW w:w="14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79137,0</w:t>
                  </w:r>
                </w:p>
              </w:tc>
              <w:tc>
                <w:tcPr>
                  <w:tcW w:w="124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6644,0</w:t>
                  </w:r>
                </w:p>
              </w:tc>
              <w:tc>
                <w:tcPr>
                  <w:tcW w:w="1680" w:type="dxa"/>
                  <w:tcBorders>
                    <w:top w:val="nil"/>
                    <w:left w:val="nil"/>
                    <w:bottom w:val="single" w:sz="4" w:space="0" w:color="auto"/>
                    <w:right w:val="single" w:sz="4" w:space="0" w:color="auto"/>
                  </w:tcBorders>
                  <w:shd w:val="clear" w:color="auto" w:fill="auto"/>
                  <w:vAlign w:val="bottom"/>
                  <w:hideMark/>
                </w:tcPr>
                <w:p w:rsidR="00ED712B" w:rsidRPr="00ED712B" w:rsidRDefault="00ED712B" w:rsidP="00ED712B">
                  <w:pPr>
                    <w:jc w:val="center"/>
                    <w:rPr>
                      <w:b/>
                      <w:bCs/>
                      <w:sz w:val="22"/>
                      <w:szCs w:val="22"/>
                      <w:lang w:eastAsia="lt-LT"/>
                    </w:rPr>
                  </w:pPr>
                  <w:r w:rsidRPr="00ED712B">
                    <w:rPr>
                      <w:b/>
                      <w:bCs/>
                      <w:sz w:val="22"/>
                      <w:szCs w:val="22"/>
                      <w:lang w:eastAsia="lt-LT"/>
                    </w:rPr>
                    <w:t>11,9</w:t>
                  </w:r>
                </w:p>
              </w:tc>
            </w:tr>
          </w:tbl>
          <w:p w:rsidR="002F7193" w:rsidRDefault="002F7193" w:rsidP="00D26FB5">
            <w:pPr>
              <w:tabs>
                <w:tab w:val="left" w:pos="900"/>
              </w:tabs>
              <w:jc w:val="center"/>
              <w:rPr>
                <w:sz w:val="24"/>
                <w:szCs w:val="24"/>
              </w:rPr>
            </w:pPr>
          </w:p>
          <w:p w:rsidR="00ED712B" w:rsidRPr="00A73E49" w:rsidRDefault="00ED712B" w:rsidP="00D26FB5">
            <w:pPr>
              <w:tabs>
                <w:tab w:val="left" w:pos="720"/>
                <w:tab w:val="left" w:pos="900"/>
              </w:tabs>
              <w:jc w:val="center"/>
              <w:rPr>
                <w:sz w:val="24"/>
                <w:szCs w:val="24"/>
                <w:lang w:eastAsia="lt-LT"/>
              </w:rPr>
            </w:pPr>
            <w:r>
              <w:rPr>
                <w:noProof/>
                <w:sz w:val="24"/>
                <w:szCs w:val="24"/>
                <w:lang w:eastAsia="lt-LT"/>
              </w:rPr>
              <w:lastRenderedPageBreak/>
              <w:drawing>
                <wp:inline distT="0" distB="0" distL="0" distR="0" wp14:anchorId="4FA8BDBF" wp14:editId="1784175E">
                  <wp:extent cx="6162674" cy="874395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3310" cy="8744852"/>
                          </a:xfrm>
                          <a:prstGeom prst="rect">
                            <a:avLst/>
                          </a:prstGeom>
                          <a:noFill/>
                        </pic:spPr>
                      </pic:pic>
                    </a:graphicData>
                  </a:graphic>
                </wp:inline>
              </w:drawing>
            </w:r>
          </w:p>
        </w:tc>
      </w:tr>
    </w:tbl>
    <w:p w:rsidR="002F7193" w:rsidRPr="00925A73" w:rsidRDefault="00ED712B" w:rsidP="002F7193">
      <w:pPr>
        <w:tabs>
          <w:tab w:val="left" w:pos="1418"/>
        </w:tabs>
        <w:jc w:val="center"/>
        <w:rPr>
          <w:sz w:val="24"/>
          <w:szCs w:val="24"/>
        </w:rPr>
      </w:pPr>
      <w:r>
        <w:rPr>
          <w:sz w:val="24"/>
          <w:szCs w:val="24"/>
        </w:rPr>
        <w:lastRenderedPageBreak/>
        <w:t>9</w:t>
      </w:r>
      <w:r w:rsidR="002F7193" w:rsidRPr="00925A73">
        <w:rPr>
          <w:sz w:val="24"/>
          <w:szCs w:val="24"/>
        </w:rPr>
        <w:t xml:space="preserve"> pav. Bendras švietimo įstaigų  pastatų plotas, tenkan</w:t>
      </w:r>
      <w:r w:rsidR="002F7193">
        <w:rPr>
          <w:sz w:val="24"/>
          <w:szCs w:val="24"/>
        </w:rPr>
        <w:t>tis vienam mokiniui, vaikui 2017</w:t>
      </w:r>
      <w:r w:rsidR="002F7193" w:rsidRPr="00925A73">
        <w:rPr>
          <w:sz w:val="24"/>
          <w:szCs w:val="24"/>
        </w:rPr>
        <w:t xml:space="preserve"> metais, kv. metrais</w:t>
      </w:r>
    </w:p>
    <w:p w:rsidR="0081123C" w:rsidRDefault="00454D46" w:rsidP="00A43BC2">
      <w:pPr>
        <w:ind w:firstLine="720"/>
        <w:jc w:val="center"/>
        <w:rPr>
          <w:b/>
          <w:sz w:val="24"/>
          <w:szCs w:val="24"/>
        </w:rPr>
      </w:pPr>
      <w:r>
        <w:rPr>
          <w:b/>
          <w:sz w:val="24"/>
          <w:szCs w:val="24"/>
        </w:rPr>
        <w:lastRenderedPageBreak/>
        <w:t>8</w:t>
      </w:r>
      <w:r w:rsidR="004346F7" w:rsidRPr="00ED5612">
        <w:rPr>
          <w:b/>
          <w:sz w:val="24"/>
          <w:szCs w:val="24"/>
        </w:rPr>
        <w:t xml:space="preserve"> lentelė. 2018</w:t>
      </w:r>
      <w:r w:rsidR="0081123C" w:rsidRPr="00ED5612">
        <w:rPr>
          <w:b/>
          <w:sz w:val="24"/>
          <w:szCs w:val="24"/>
        </w:rPr>
        <w:t xml:space="preserve"> metų biudžeto išlaidos pagal funkcinę klasifikaciją</w:t>
      </w:r>
    </w:p>
    <w:p w:rsidR="0047321A" w:rsidRPr="00ED5612" w:rsidRDefault="0047321A" w:rsidP="00A43BC2">
      <w:pPr>
        <w:ind w:firstLine="720"/>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27"/>
        <w:gridCol w:w="1701"/>
        <w:gridCol w:w="1276"/>
        <w:gridCol w:w="1678"/>
        <w:gridCol w:w="23"/>
      </w:tblGrid>
      <w:tr w:rsidR="00363357" w:rsidRPr="00ED5612" w:rsidTr="00097EA4">
        <w:trPr>
          <w:gridAfter w:val="1"/>
          <w:wAfter w:w="23" w:type="dxa"/>
          <w:trHeight w:val="1003"/>
        </w:trPr>
        <w:tc>
          <w:tcPr>
            <w:tcW w:w="1526" w:type="dxa"/>
            <w:vMerge w:val="restart"/>
            <w:shd w:val="clear" w:color="auto" w:fill="auto"/>
            <w:vAlign w:val="center"/>
          </w:tcPr>
          <w:p w:rsidR="00363357" w:rsidRPr="00ED5612" w:rsidRDefault="00363357" w:rsidP="00097EA4">
            <w:pPr>
              <w:jc w:val="center"/>
              <w:rPr>
                <w:sz w:val="22"/>
                <w:szCs w:val="22"/>
              </w:rPr>
            </w:pPr>
            <w:r w:rsidRPr="00ED5612">
              <w:rPr>
                <w:sz w:val="22"/>
                <w:szCs w:val="22"/>
              </w:rPr>
              <w:t>Funkcinės  klasifikacijos kodas</w:t>
            </w:r>
          </w:p>
        </w:tc>
        <w:tc>
          <w:tcPr>
            <w:tcW w:w="3827" w:type="dxa"/>
            <w:vMerge w:val="restart"/>
            <w:shd w:val="clear" w:color="auto" w:fill="auto"/>
            <w:vAlign w:val="center"/>
          </w:tcPr>
          <w:p w:rsidR="00363357" w:rsidRPr="00ED5612" w:rsidRDefault="00363357" w:rsidP="00097EA4">
            <w:pPr>
              <w:jc w:val="center"/>
              <w:rPr>
                <w:sz w:val="22"/>
                <w:szCs w:val="22"/>
              </w:rPr>
            </w:pPr>
            <w:r w:rsidRPr="00ED5612">
              <w:rPr>
                <w:sz w:val="22"/>
                <w:szCs w:val="22"/>
              </w:rPr>
              <w:t>Išlaidos pagal funkcinę klasifikaciją</w:t>
            </w:r>
          </w:p>
        </w:tc>
        <w:tc>
          <w:tcPr>
            <w:tcW w:w="1701" w:type="dxa"/>
            <w:shd w:val="clear" w:color="auto" w:fill="auto"/>
            <w:vAlign w:val="center"/>
          </w:tcPr>
          <w:p w:rsidR="00363357" w:rsidRPr="00ED5612" w:rsidRDefault="00363357" w:rsidP="00097EA4">
            <w:pPr>
              <w:jc w:val="center"/>
              <w:rPr>
                <w:sz w:val="22"/>
                <w:szCs w:val="22"/>
              </w:rPr>
            </w:pPr>
            <w:r w:rsidRPr="00ED5612">
              <w:rPr>
                <w:sz w:val="22"/>
                <w:szCs w:val="22"/>
              </w:rPr>
              <w:t>Patikslintas ataskaitinio laikotarpio planas</w:t>
            </w:r>
          </w:p>
        </w:tc>
        <w:tc>
          <w:tcPr>
            <w:tcW w:w="1276" w:type="dxa"/>
            <w:shd w:val="clear" w:color="auto" w:fill="auto"/>
            <w:vAlign w:val="center"/>
          </w:tcPr>
          <w:p w:rsidR="00363357" w:rsidRPr="00ED5612" w:rsidRDefault="00363357" w:rsidP="00097EA4">
            <w:pPr>
              <w:jc w:val="center"/>
              <w:rPr>
                <w:sz w:val="22"/>
                <w:szCs w:val="22"/>
              </w:rPr>
            </w:pPr>
            <w:r w:rsidRPr="00ED5612">
              <w:rPr>
                <w:sz w:val="22"/>
                <w:szCs w:val="22"/>
              </w:rPr>
              <w:t>Įvykdyta</w:t>
            </w:r>
          </w:p>
        </w:tc>
        <w:tc>
          <w:tcPr>
            <w:tcW w:w="1678" w:type="dxa"/>
            <w:shd w:val="clear" w:color="auto" w:fill="auto"/>
            <w:vAlign w:val="center"/>
          </w:tcPr>
          <w:p w:rsidR="00363357" w:rsidRPr="00ED5612" w:rsidRDefault="00363357" w:rsidP="00097EA4">
            <w:pPr>
              <w:jc w:val="center"/>
              <w:rPr>
                <w:sz w:val="22"/>
                <w:szCs w:val="22"/>
              </w:rPr>
            </w:pPr>
            <w:r w:rsidRPr="00ED5612">
              <w:rPr>
                <w:sz w:val="22"/>
                <w:szCs w:val="22"/>
              </w:rPr>
              <w:t>Procentinė viso biudžeto dalis</w:t>
            </w:r>
          </w:p>
        </w:tc>
      </w:tr>
      <w:tr w:rsidR="00363357" w:rsidRPr="00ED5612" w:rsidTr="00097EA4">
        <w:trPr>
          <w:gridAfter w:val="1"/>
          <w:wAfter w:w="23" w:type="dxa"/>
          <w:trHeight w:val="194"/>
        </w:trPr>
        <w:tc>
          <w:tcPr>
            <w:tcW w:w="1526" w:type="dxa"/>
            <w:vMerge/>
            <w:shd w:val="clear" w:color="auto" w:fill="auto"/>
            <w:vAlign w:val="center"/>
          </w:tcPr>
          <w:p w:rsidR="00363357" w:rsidRPr="00ED5612" w:rsidRDefault="00363357" w:rsidP="00097EA4">
            <w:pPr>
              <w:jc w:val="center"/>
              <w:rPr>
                <w:sz w:val="24"/>
                <w:szCs w:val="24"/>
              </w:rPr>
            </w:pPr>
          </w:p>
        </w:tc>
        <w:tc>
          <w:tcPr>
            <w:tcW w:w="3827" w:type="dxa"/>
            <w:vMerge/>
            <w:shd w:val="clear" w:color="auto" w:fill="auto"/>
            <w:vAlign w:val="center"/>
          </w:tcPr>
          <w:p w:rsidR="00363357" w:rsidRPr="00ED5612" w:rsidRDefault="00363357" w:rsidP="00097EA4">
            <w:pPr>
              <w:jc w:val="center"/>
              <w:rPr>
                <w:sz w:val="24"/>
                <w:szCs w:val="24"/>
              </w:rPr>
            </w:pPr>
          </w:p>
        </w:tc>
        <w:tc>
          <w:tcPr>
            <w:tcW w:w="2977" w:type="dxa"/>
            <w:gridSpan w:val="2"/>
            <w:shd w:val="clear" w:color="auto" w:fill="auto"/>
            <w:vAlign w:val="center"/>
          </w:tcPr>
          <w:p w:rsidR="00363357" w:rsidRPr="00ED5612" w:rsidRDefault="00363357" w:rsidP="00097EA4">
            <w:pPr>
              <w:jc w:val="center"/>
              <w:rPr>
                <w:sz w:val="22"/>
                <w:szCs w:val="22"/>
              </w:rPr>
            </w:pPr>
            <w:r w:rsidRPr="00ED5612">
              <w:rPr>
                <w:sz w:val="22"/>
                <w:szCs w:val="22"/>
              </w:rPr>
              <w:t>tūkst. eurų</w:t>
            </w:r>
          </w:p>
        </w:tc>
        <w:tc>
          <w:tcPr>
            <w:tcW w:w="1678" w:type="dxa"/>
            <w:shd w:val="clear" w:color="auto" w:fill="auto"/>
            <w:vAlign w:val="center"/>
          </w:tcPr>
          <w:p w:rsidR="00363357" w:rsidRPr="00ED5612" w:rsidRDefault="00363357" w:rsidP="00097EA4">
            <w:pPr>
              <w:jc w:val="center"/>
              <w:rPr>
                <w:sz w:val="22"/>
                <w:szCs w:val="22"/>
              </w:rPr>
            </w:pPr>
            <w:r w:rsidRPr="00ED5612">
              <w:rPr>
                <w:sz w:val="22"/>
                <w:szCs w:val="22"/>
              </w:rPr>
              <w:t>proc.</w:t>
            </w:r>
          </w:p>
        </w:tc>
      </w:tr>
      <w:tr w:rsidR="00363357" w:rsidRPr="00ED5612" w:rsidTr="00626725">
        <w:trPr>
          <w:gridAfter w:val="1"/>
          <w:wAfter w:w="23" w:type="dxa"/>
          <w:trHeight w:val="188"/>
        </w:trPr>
        <w:tc>
          <w:tcPr>
            <w:tcW w:w="1526" w:type="dxa"/>
            <w:shd w:val="clear" w:color="auto" w:fill="auto"/>
          </w:tcPr>
          <w:p w:rsidR="00363357" w:rsidRPr="00ED5612" w:rsidRDefault="00363357" w:rsidP="00626725">
            <w:pPr>
              <w:jc w:val="center"/>
              <w:rPr>
                <w:sz w:val="22"/>
                <w:szCs w:val="22"/>
              </w:rPr>
            </w:pPr>
            <w:r w:rsidRPr="00ED5612">
              <w:rPr>
                <w:sz w:val="22"/>
                <w:szCs w:val="22"/>
              </w:rPr>
              <w:t>1.</w:t>
            </w:r>
          </w:p>
        </w:tc>
        <w:tc>
          <w:tcPr>
            <w:tcW w:w="3827" w:type="dxa"/>
            <w:shd w:val="clear" w:color="auto" w:fill="auto"/>
          </w:tcPr>
          <w:p w:rsidR="00363357" w:rsidRPr="00ED5612" w:rsidRDefault="00363357" w:rsidP="006F41BD">
            <w:pPr>
              <w:rPr>
                <w:sz w:val="22"/>
                <w:szCs w:val="22"/>
              </w:rPr>
            </w:pPr>
            <w:r w:rsidRPr="00ED5612">
              <w:rPr>
                <w:sz w:val="22"/>
                <w:szCs w:val="22"/>
              </w:rPr>
              <w:t>Bendros valstybės paslaugos</w:t>
            </w:r>
          </w:p>
        </w:tc>
        <w:tc>
          <w:tcPr>
            <w:tcW w:w="1701" w:type="dxa"/>
            <w:shd w:val="clear" w:color="auto" w:fill="auto"/>
          </w:tcPr>
          <w:p w:rsidR="00363357" w:rsidRPr="00ED5612" w:rsidRDefault="009942C1" w:rsidP="00626725">
            <w:pPr>
              <w:jc w:val="center"/>
              <w:rPr>
                <w:sz w:val="22"/>
                <w:szCs w:val="22"/>
              </w:rPr>
            </w:pPr>
            <w:r w:rsidRPr="00ED5612">
              <w:rPr>
                <w:sz w:val="22"/>
                <w:szCs w:val="22"/>
              </w:rPr>
              <w:t>3</w:t>
            </w:r>
            <w:r w:rsidR="00DC1894" w:rsidRPr="00ED5612">
              <w:rPr>
                <w:sz w:val="22"/>
                <w:szCs w:val="22"/>
              </w:rPr>
              <w:t xml:space="preserve"> </w:t>
            </w:r>
            <w:r w:rsidRPr="00ED5612">
              <w:rPr>
                <w:sz w:val="22"/>
                <w:szCs w:val="22"/>
              </w:rPr>
              <w:t>176,3</w:t>
            </w:r>
          </w:p>
        </w:tc>
        <w:tc>
          <w:tcPr>
            <w:tcW w:w="1276" w:type="dxa"/>
            <w:shd w:val="clear" w:color="auto" w:fill="auto"/>
          </w:tcPr>
          <w:p w:rsidR="00363357" w:rsidRPr="00ED5612" w:rsidRDefault="009942C1" w:rsidP="00626725">
            <w:pPr>
              <w:jc w:val="center"/>
              <w:rPr>
                <w:sz w:val="22"/>
                <w:szCs w:val="22"/>
              </w:rPr>
            </w:pPr>
            <w:r w:rsidRPr="00ED5612">
              <w:rPr>
                <w:sz w:val="22"/>
                <w:szCs w:val="22"/>
              </w:rPr>
              <w:t>3</w:t>
            </w:r>
            <w:r w:rsidR="00DC1894" w:rsidRPr="00ED5612">
              <w:rPr>
                <w:sz w:val="22"/>
                <w:szCs w:val="22"/>
              </w:rPr>
              <w:t xml:space="preserve"> </w:t>
            </w:r>
            <w:r w:rsidRPr="00ED5612">
              <w:rPr>
                <w:sz w:val="22"/>
                <w:szCs w:val="22"/>
              </w:rPr>
              <w:t>089,8</w:t>
            </w:r>
          </w:p>
        </w:tc>
        <w:tc>
          <w:tcPr>
            <w:tcW w:w="1678" w:type="dxa"/>
            <w:shd w:val="clear" w:color="auto" w:fill="auto"/>
          </w:tcPr>
          <w:p w:rsidR="00363357" w:rsidRPr="00ED5612" w:rsidRDefault="00322582" w:rsidP="00626725">
            <w:pPr>
              <w:jc w:val="center"/>
              <w:rPr>
                <w:sz w:val="22"/>
                <w:szCs w:val="22"/>
              </w:rPr>
            </w:pPr>
            <w:r w:rsidRPr="00ED5612">
              <w:rPr>
                <w:sz w:val="22"/>
                <w:szCs w:val="22"/>
              </w:rPr>
              <w:t>8,0</w:t>
            </w:r>
          </w:p>
        </w:tc>
      </w:tr>
      <w:tr w:rsidR="00363357" w:rsidRPr="00ED5612" w:rsidTr="00626725">
        <w:trPr>
          <w:gridAfter w:val="1"/>
          <w:wAfter w:w="23" w:type="dxa"/>
          <w:trHeight w:val="176"/>
        </w:trPr>
        <w:tc>
          <w:tcPr>
            <w:tcW w:w="1526" w:type="dxa"/>
            <w:shd w:val="clear" w:color="auto" w:fill="auto"/>
          </w:tcPr>
          <w:p w:rsidR="00363357" w:rsidRPr="00ED5612" w:rsidRDefault="00363357" w:rsidP="00626725">
            <w:pPr>
              <w:jc w:val="center"/>
              <w:rPr>
                <w:sz w:val="22"/>
                <w:szCs w:val="22"/>
              </w:rPr>
            </w:pPr>
            <w:r w:rsidRPr="00ED5612">
              <w:rPr>
                <w:sz w:val="22"/>
                <w:szCs w:val="22"/>
              </w:rPr>
              <w:t>2.</w:t>
            </w:r>
          </w:p>
        </w:tc>
        <w:tc>
          <w:tcPr>
            <w:tcW w:w="3827" w:type="dxa"/>
            <w:shd w:val="clear" w:color="auto" w:fill="auto"/>
          </w:tcPr>
          <w:p w:rsidR="00363357" w:rsidRPr="00ED5612" w:rsidRDefault="00363357" w:rsidP="006F41BD">
            <w:pPr>
              <w:rPr>
                <w:sz w:val="22"/>
                <w:szCs w:val="22"/>
              </w:rPr>
            </w:pPr>
            <w:r w:rsidRPr="00ED5612">
              <w:rPr>
                <w:sz w:val="22"/>
                <w:szCs w:val="22"/>
              </w:rPr>
              <w:t>Gynyba</w:t>
            </w:r>
          </w:p>
        </w:tc>
        <w:tc>
          <w:tcPr>
            <w:tcW w:w="1701" w:type="dxa"/>
            <w:shd w:val="clear" w:color="auto" w:fill="auto"/>
          </w:tcPr>
          <w:p w:rsidR="00363357" w:rsidRPr="00ED5612" w:rsidRDefault="009942C1" w:rsidP="00626725">
            <w:pPr>
              <w:jc w:val="center"/>
              <w:rPr>
                <w:sz w:val="22"/>
                <w:szCs w:val="22"/>
              </w:rPr>
            </w:pPr>
            <w:r w:rsidRPr="00ED5612">
              <w:rPr>
                <w:sz w:val="22"/>
                <w:szCs w:val="22"/>
              </w:rPr>
              <w:t>23,5</w:t>
            </w:r>
          </w:p>
        </w:tc>
        <w:tc>
          <w:tcPr>
            <w:tcW w:w="1276" w:type="dxa"/>
            <w:shd w:val="clear" w:color="auto" w:fill="auto"/>
          </w:tcPr>
          <w:p w:rsidR="00363357" w:rsidRPr="00ED5612" w:rsidRDefault="009942C1" w:rsidP="00626725">
            <w:pPr>
              <w:jc w:val="center"/>
              <w:rPr>
                <w:sz w:val="22"/>
                <w:szCs w:val="22"/>
              </w:rPr>
            </w:pPr>
            <w:r w:rsidRPr="00ED5612">
              <w:rPr>
                <w:sz w:val="22"/>
                <w:szCs w:val="22"/>
              </w:rPr>
              <w:t>23,5</w:t>
            </w:r>
          </w:p>
        </w:tc>
        <w:tc>
          <w:tcPr>
            <w:tcW w:w="1678" w:type="dxa"/>
            <w:shd w:val="clear" w:color="auto" w:fill="auto"/>
          </w:tcPr>
          <w:p w:rsidR="00363357" w:rsidRPr="00ED5612" w:rsidRDefault="00363357" w:rsidP="00626725">
            <w:pPr>
              <w:jc w:val="center"/>
              <w:rPr>
                <w:sz w:val="22"/>
                <w:szCs w:val="22"/>
              </w:rPr>
            </w:pPr>
            <w:r w:rsidRPr="00ED5612">
              <w:rPr>
                <w:sz w:val="22"/>
                <w:szCs w:val="22"/>
              </w:rPr>
              <w:t>0,1</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3.</w:t>
            </w:r>
          </w:p>
        </w:tc>
        <w:tc>
          <w:tcPr>
            <w:tcW w:w="3827" w:type="dxa"/>
            <w:shd w:val="clear" w:color="auto" w:fill="auto"/>
          </w:tcPr>
          <w:p w:rsidR="00363357" w:rsidRPr="00ED5612" w:rsidRDefault="00363357" w:rsidP="006F41BD">
            <w:pPr>
              <w:rPr>
                <w:sz w:val="22"/>
                <w:szCs w:val="22"/>
              </w:rPr>
            </w:pPr>
            <w:r w:rsidRPr="00ED5612">
              <w:rPr>
                <w:sz w:val="22"/>
                <w:szCs w:val="22"/>
              </w:rPr>
              <w:t>Viešoji tvarka ir visuomenės apsauga</w:t>
            </w:r>
          </w:p>
        </w:tc>
        <w:tc>
          <w:tcPr>
            <w:tcW w:w="1701" w:type="dxa"/>
            <w:shd w:val="clear" w:color="auto" w:fill="auto"/>
          </w:tcPr>
          <w:p w:rsidR="00363357" w:rsidRPr="00ED5612" w:rsidRDefault="009942C1" w:rsidP="00626725">
            <w:pPr>
              <w:jc w:val="center"/>
              <w:rPr>
                <w:sz w:val="22"/>
                <w:szCs w:val="22"/>
              </w:rPr>
            </w:pPr>
            <w:r w:rsidRPr="00ED5612">
              <w:rPr>
                <w:sz w:val="22"/>
                <w:szCs w:val="22"/>
              </w:rPr>
              <w:t>610,0</w:t>
            </w:r>
          </w:p>
        </w:tc>
        <w:tc>
          <w:tcPr>
            <w:tcW w:w="1276" w:type="dxa"/>
            <w:shd w:val="clear" w:color="auto" w:fill="auto"/>
          </w:tcPr>
          <w:p w:rsidR="00363357" w:rsidRPr="00ED5612" w:rsidRDefault="009942C1" w:rsidP="00626725">
            <w:pPr>
              <w:jc w:val="center"/>
              <w:rPr>
                <w:sz w:val="22"/>
                <w:szCs w:val="22"/>
              </w:rPr>
            </w:pPr>
            <w:r w:rsidRPr="00ED5612">
              <w:rPr>
                <w:sz w:val="22"/>
                <w:szCs w:val="22"/>
              </w:rPr>
              <w:t>549,4</w:t>
            </w:r>
          </w:p>
        </w:tc>
        <w:tc>
          <w:tcPr>
            <w:tcW w:w="1678" w:type="dxa"/>
            <w:shd w:val="clear" w:color="auto" w:fill="auto"/>
          </w:tcPr>
          <w:p w:rsidR="00363357" w:rsidRPr="00ED5612" w:rsidRDefault="00363357" w:rsidP="00626725">
            <w:pPr>
              <w:jc w:val="center"/>
              <w:rPr>
                <w:sz w:val="22"/>
                <w:szCs w:val="22"/>
              </w:rPr>
            </w:pPr>
            <w:r w:rsidRPr="00ED5612">
              <w:rPr>
                <w:sz w:val="22"/>
                <w:szCs w:val="22"/>
              </w:rPr>
              <w:t>1,</w:t>
            </w:r>
            <w:r w:rsidR="00322582" w:rsidRPr="00ED5612">
              <w:rPr>
                <w:sz w:val="22"/>
                <w:szCs w:val="22"/>
              </w:rPr>
              <w:t>4</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4.</w:t>
            </w:r>
          </w:p>
        </w:tc>
        <w:tc>
          <w:tcPr>
            <w:tcW w:w="3827" w:type="dxa"/>
            <w:shd w:val="clear" w:color="auto" w:fill="auto"/>
          </w:tcPr>
          <w:p w:rsidR="00363357" w:rsidRPr="00ED5612" w:rsidRDefault="00363357" w:rsidP="006F41BD">
            <w:pPr>
              <w:rPr>
                <w:sz w:val="22"/>
                <w:szCs w:val="22"/>
              </w:rPr>
            </w:pPr>
            <w:r w:rsidRPr="00ED5612">
              <w:rPr>
                <w:sz w:val="22"/>
                <w:szCs w:val="22"/>
              </w:rPr>
              <w:t>Ekonomika</w:t>
            </w:r>
          </w:p>
        </w:tc>
        <w:tc>
          <w:tcPr>
            <w:tcW w:w="1701" w:type="dxa"/>
            <w:shd w:val="clear" w:color="auto" w:fill="auto"/>
          </w:tcPr>
          <w:p w:rsidR="00363357" w:rsidRPr="00ED5612" w:rsidRDefault="009942C1" w:rsidP="00626725">
            <w:pPr>
              <w:jc w:val="center"/>
              <w:rPr>
                <w:sz w:val="22"/>
                <w:szCs w:val="22"/>
              </w:rPr>
            </w:pPr>
            <w:r w:rsidRPr="00ED5612">
              <w:rPr>
                <w:sz w:val="22"/>
                <w:szCs w:val="22"/>
              </w:rPr>
              <w:t>3</w:t>
            </w:r>
            <w:r w:rsidR="00DC1894" w:rsidRPr="00ED5612">
              <w:rPr>
                <w:sz w:val="22"/>
                <w:szCs w:val="22"/>
              </w:rPr>
              <w:t xml:space="preserve"> </w:t>
            </w:r>
            <w:r w:rsidRPr="00ED5612">
              <w:rPr>
                <w:sz w:val="22"/>
                <w:szCs w:val="22"/>
              </w:rPr>
              <w:t>828,8</w:t>
            </w:r>
          </w:p>
        </w:tc>
        <w:tc>
          <w:tcPr>
            <w:tcW w:w="1276" w:type="dxa"/>
            <w:shd w:val="clear" w:color="auto" w:fill="auto"/>
          </w:tcPr>
          <w:p w:rsidR="00363357" w:rsidRPr="00ED5612" w:rsidRDefault="009942C1" w:rsidP="00626725">
            <w:pPr>
              <w:jc w:val="center"/>
              <w:rPr>
                <w:sz w:val="22"/>
                <w:szCs w:val="22"/>
              </w:rPr>
            </w:pPr>
            <w:r w:rsidRPr="00ED5612">
              <w:rPr>
                <w:sz w:val="22"/>
                <w:szCs w:val="22"/>
              </w:rPr>
              <w:t>3</w:t>
            </w:r>
            <w:r w:rsidR="00DC1894" w:rsidRPr="00ED5612">
              <w:rPr>
                <w:sz w:val="22"/>
                <w:szCs w:val="22"/>
              </w:rPr>
              <w:t xml:space="preserve"> </w:t>
            </w:r>
            <w:r w:rsidRPr="00ED5612">
              <w:rPr>
                <w:sz w:val="22"/>
                <w:szCs w:val="22"/>
              </w:rPr>
              <w:t>507,1</w:t>
            </w:r>
          </w:p>
        </w:tc>
        <w:tc>
          <w:tcPr>
            <w:tcW w:w="1678" w:type="dxa"/>
            <w:shd w:val="clear" w:color="auto" w:fill="auto"/>
          </w:tcPr>
          <w:p w:rsidR="00363357" w:rsidRPr="00ED5612" w:rsidRDefault="00322582" w:rsidP="00626725">
            <w:pPr>
              <w:jc w:val="center"/>
              <w:rPr>
                <w:sz w:val="22"/>
                <w:szCs w:val="22"/>
              </w:rPr>
            </w:pPr>
            <w:r w:rsidRPr="00ED5612">
              <w:rPr>
                <w:sz w:val="22"/>
                <w:szCs w:val="22"/>
              </w:rPr>
              <w:t>9,1</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5.</w:t>
            </w:r>
          </w:p>
        </w:tc>
        <w:tc>
          <w:tcPr>
            <w:tcW w:w="3827" w:type="dxa"/>
            <w:shd w:val="clear" w:color="auto" w:fill="auto"/>
          </w:tcPr>
          <w:p w:rsidR="00363357" w:rsidRPr="00ED5612" w:rsidRDefault="00363357" w:rsidP="006F41BD">
            <w:pPr>
              <w:rPr>
                <w:sz w:val="22"/>
                <w:szCs w:val="22"/>
              </w:rPr>
            </w:pPr>
            <w:r w:rsidRPr="00ED5612">
              <w:rPr>
                <w:sz w:val="22"/>
                <w:szCs w:val="22"/>
              </w:rPr>
              <w:t>Aplinkos apsauga</w:t>
            </w:r>
          </w:p>
        </w:tc>
        <w:tc>
          <w:tcPr>
            <w:tcW w:w="1701" w:type="dxa"/>
            <w:shd w:val="clear" w:color="auto" w:fill="auto"/>
          </w:tcPr>
          <w:p w:rsidR="00363357" w:rsidRPr="00ED5612" w:rsidRDefault="009942C1" w:rsidP="00626725">
            <w:pPr>
              <w:jc w:val="center"/>
              <w:rPr>
                <w:sz w:val="22"/>
                <w:szCs w:val="22"/>
              </w:rPr>
            </w:pPr>
            <w:r w:rsidRPr="00ED5612">
              <w:rPr>
                <w:sz w:val="22"/>
                <w:szCs w:val="22"/>
              </w:rPr>
              <w:t>1</w:t>
            </w:r>
            <w:r w:rsidR="00DC1894" w:rsidRPr="00ED5612">
              <w:rPr>
                <w:sz w:val="22"/>
                <w:szCs w:val="22"/>
              </w:rPr>
              <w:t xml:space="preserve"> </w:t>
            </w:r>
            <w:r w:rsidRPr="00ED5612">
              <w:rPr>
                <w:sz w:val="22"/>
                <w:szCs w:val="22"/>
              </w:rPr>
              <w:t>439,7</w:t>
            </w:r>
          </w:p>
        </w:tc>
        <w:tc>
          <w:tcPr>
            <w:tcW w:w="1276" w:type="dxa"/>
            <w:shd w:val="clear" w:color="auto" w:fill="auto"/>
          </w:tcPr>
          <w:p w:rsidR="00363357" w:rsidRPr="00ED5612" w:rsidRDefault="009942C1" w:rsidP="00626725">
            <w:pPr>
              <w:jc w:val="center"/>
              <w:rPr>
                <w:sz w:val="22"/>
                <w:szCs w:val="22"/>
              </w:rPr>
            </w:pPr>
            <w:r w:rsidRPr="00ED5612">
              <w:rPr>
                <w:sz w:val="22"/>
                <w:szCs w:val="22"/>
              </w:rPr>
              <w:t>1</w:t>
            </w:r>
            <w:r w:rsidR="00DC1894" w:rsidRPr="00ED5612">
              <w:rPr>
                <w:sz w:val="22"/>
                <w:szCs w:val="22"/>
              </w:rPr>
              <w:t xml:space="preserve"> </w:t>
            </w:r>
            <w:r w:rsidRPr="00ED5612">
              <w:rPr>
                <w:sz w:val="22"/>
                <w:szCs w:val="22"/>
              </w:rPr>
              <w:t>315,8</w:t>
            </w:r>
          </w:p>
        </w:tc>
        <w:tc>
          <w:tcPr>
            <w:tcW w:w="1678" w:type="dxa"/>
            <w:shd w:val="clear" w:color="auto" w:fill="auto"/>
          </w:tcPr>
          <w:p w:rsidR="00363357" w:rsidRPr="00ED5612" w:rsidRDefault="00322582" w:rsidP="00626725">
            <w:pPr>
              <w:jc w:val="center"/>
              <w:rPr>
                <w:sz w:val="22"/>
                <w:szCs w:val="22"/>
              </w:rPr>
            </w:pPr>
            <w:r w:rsidRPr="00ED5612">
              <w:rPr>
                <w:sz w:val="22"/>
                <w:szCs w:val="22"/>
              </w:rPr>
              <w:t>3,</w:t>
            </w:r>
            <w:r w:rsidR="000015CC" w:rsidRPr="00ED5612">
              <w:rPr>
                <w:sz w:val="22"/>
                <w:szCs w:val="22"/>
              </w:rPr>
              <w:t>4</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6.</w:t>
            </w:r>
          </w:p>
        </w:tc>
        <w:tc>
          <w:tcPr>
            <w:tcW w:w="3827" w:type="dxa"/>
            <w:shd w:val="clear" w:color="auto" w:fill="auto"/>
          </w:tcPr>
          <w:p w:rsidR="00363357" w:rsidRPr="00ED5612" w:rsidRDefault="00363357" w:rsidP="006F41BD">
            <w:pPr>
              <w:rPr>
                <w:sz w:val="22"/>
                <w:szCs w:val="22"/>
              </w:rPr>
            </w:pPr>
            <w:r w:rsidRPr="00ED5612">
              <w:rPr>
                <w:sz w:val="22"/>
                <w:szCs w:val="22"/>
              </w:rPr>
              <w:t>Būstas ir komunalinis ūkis</w:t>
            </w:r>
          </w:p>
        </w:tc>
        <w:tc>
          <w:tcPr>
            <w:tcW w:w="1701" w:type="dxa"/>
            <w:shd w:val="clear" w:color="auto" w:fill="auto"/>
          </w:tcPr>
          <w:p w:rsidR="00363357" w:rsidRPr="00ED5612" w:rsidRDefault="009942C1" w:rsidP="00626725">
            <w:pPr>
              <w:jc w:val="center"/>
              <w:rPr>
                <w:sz w:val="22"/>
                <w:szCs w:val="22"/>
              </w:rPr>
            </w:pPr>
            <w:r w:rsidRPr="00ED5612">
              <w:rPr>
                <w:sz w:val="22"/>
                <w:szCs w:val="22"/>
              </w:rPr>
              <w:t>2</w:t>
            </w:r>
            <w:r w:rsidR="00DC1894" w:rsidRPr="00ED5612">
              <w:rPr>
                <w:sz w:val="22"/>
                <w:szCs w:val="22"/>
              </w:rPr>
              <w:t xml:space="preserve"> </w:t>
            </w:r>
            <w:r w:rsidRPr="00ED5612">
              <w:rPr>
                <w:sz w:val="22"/>
                <w:szCs w:val="22"/>
              </w:rPr>
              <w:t>048,9</w:t>
            </w:r>
          </w:p>
        </w:tc>
        <w:tc>
          <w:tcPr>
            <w:tcW w:w="1276" w:type="dxa"/>
            <w:shd w:val="clear" w:color="auto" w:fill="auto"/>
          </w:tcPr>
          <w:p w:rsidR="00363357" w:rsidRPr="00ED5612" w:rsidRDefault="009942C1" w:rsidP="00626725">
            <w:pPr>
              <w:jc w:val="center"/>
              <w:rPr>
                <w:sz w:val="22"/>
                <w:szCs w:val="22"/>
              </w:rPr>
            </w:pPr>
            <w:r w:rsidRPr="00ED5612">
              <w:rPr>
                <w:sz w:val="22"/>
                <w:szCs w:val="22"/>
              </w:rPr>
              <w:t>1</w:t>
            </w:r>
            <w:r w:rsidR="00DC1894" w:rsidRPr="00ED5612">
              <w:rPr>
                <w:sz w:val="22"/>
                <w:szCs w:val="22"/>
              </w:rPr>
              <w:t xml:space="preserve"> </w:t>
            </w:r>
            <w:r w:rsidRPr="00ED5612">
              <w:rPr>
                <w:sz w:val="22"/>
                <w:szCs w:val="22"/>
              </w:rPr>
              <w:t>887,4</w:t>
            </w:r>
          </w:p>
        </w:tc>
        <w:tc>
          <w:tcPr>
            <w:tcW w:w="1678" w:type="dxa"/>
            <w:shd w:val="clear" w:color="auto" w:fill="auto"/>
          </w:tcPr>
          <w:p w:rsidR="00363357" w:rsidRPr="00ED5612" w:rsidRDefault="000015CC" w:rsidP="00626725">
            <w:pPr>
              <w:jc w:val="center"/>
              <w:rPr>
                <w:sz w:val="22"/>
                <w:szCs w:val="22"/>
              </w:rPr>
            </w:pPr>
            <w:r w:rsidRPr="00ED5612">
              <w:rPr>
                <w:sz w:val="22"/>
                <w:szCs w:val="22"/>
              </w:rPr>
              <w:t>4,9</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7.</w:t>
            </w:r>
          </w:p>
        </w:tc>
        <w:tc>
          <w:tcPr>
            <w:tcW w:w="3827" w:type="dxa"/>
            <w:shd w:val="clear" w:color="auto" w:fill="auto"/>
          </w:tcPr>
          <w:p w:rsidR="00363357" w:rsidRPr="00ED5612" w:rsidRDefault="00363357" w:rsidP="00363357">
            <w:pPr>
              <w:rPr>
                <w:sz w:val="22"/>
                <w:szCs w:val="22"/>
              </w:rPr>
            </w:pPr>
            <w:r w:rsidRPr="00ED5612">
              <w:rPr>
                <w:sz w:val="22"/>
                <w:szCs w:val="22"/>
              </w:rPr>
              <w:t>Sveikatos apsauga</w:t>
            </w:r>
          </w:p>
        </w:tc>
        <w:tc>
          <w:tcPr>
            <w:tcW w:w="1701" w:type="dxa"/>
            <w:shd w:val="clear" w:color="auto" w:fill="auto"/>
          </w:tcPr>
          <w:p w:rsidR="00363357" w:rsidRPr="00ED5612" w:rsidRDefault="009942C1" w:rsidP="00626725">
            <w:pPr>
              <w:jc w:val="center"/>
              <w:rPr>
                <w:sz w:val="22"/>
                <w:szCs w:val="22"/>
              </w:rPr>
            </w:pPr>
            <w:r w:rsidRPr="00ED5612">
              <w:rPr>
                <w:sz w:val="22"/>
                <w:szCs w:val="22"/>
              </w:rPr>
              <w:t>448,4</w:t>
            </w:r>
          </w:p>
        </w:tc>
        <w:tc>
          <w:tcPr>
            <w:tcW w:w="1276" w:type="dxa"/>
            <w:shd w:val="clear" w:color="auto" w:fill="auto"/>
          </w:tcPr>
          <w:p w:rsidR="00363357" w:rsidRPr="00ED5612" w:rsidRDefault="009942C1" w:rsidP="00626725">
            <w:pPr>
              <w:jc w:val="center"/>
              <w:rPr>
                <w:sz w:val="22"/>
                <w:szCs w:val="22"/>
              </w:rPr>
            </w:pPr>
            <w:r w:rsidRPr="00ED5612">
              <w:rPr>
                <w:sz w:val="22"/>
                <w:szCs w:val="22"/>
              </w:rPr>
              <w:t>447,4</w:t>
            </w:r>
          </w:p>
        </w:tc>
        <w:tc>
          <w:tcPr>
            <w:tcW w:w="1678" w:type="dxa"/>
            <w:shd w:val="clear" w:color="auto" w:fill="auto"/>
          </w:tcPr>
          <w:p w:rsidR="00363357" w:rsidRPr="00ED5612" w:rsidRDefault="00322582" w:rsidP="00626725">
            <w:pPr>
              <w:jc w:val="center"/>
              <w:rPr>
                <w:sz w:val="22"/>
                <w:szCs w:val="22"/>
              </w:rPr>
            </w:pPr>
            <w:r w:rsidRPr="00ED5612">
              <w:rPr>
                <w:sz w:val="22"/>
                <w:szCs w:val="22"/>
              </w:rPr>
              <w:t>1,</w:t>
            </w:r>
            <w:r w:rsidR="00F53DCC" w:rsidRPr="00ED5612">
              <w:rPr>
                <w:sz w:val="22"/>
                <w:szCs w:val="22"/>
              </w:rPr>
              <w:t>2</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8.</w:t>
            </w:r>
          </w:p>
        </w:tc>
        <w:tc>
          <w:tcPr>
            <w:tcW w:w="3827" w:type="dxa"/>
            <w:shd w:val="clear" w:color="auto" w:fill="auto"/>
          </w:tcPr>
          <w:p w:rsidR="00363357" w:rsidRPr="00ED5612" w:rsidRDefault="00363357" w:rsidP="006F41BD">
            <w:pPr>
              <w:rPr>
                <w:sz w:val="22"/>
                <w:szCs w:val="22"/>
              </w:rPr>
            </w:pPr>
            <w:r w:rsidRPr="00ED5612">
              <w:rPr>
                <w:sz w:val="22"/>
                <w:szCs w:val="22"/>
              </w:rPr>
              <w:t xml:space="preserve">Poilsis, kultūra ir religija </w:t>
            </w:r>
          </w:p>
        </w:tc>
        <w:tc>
          <w:tcPr>
            <w:tcW w:w="1701" w:type="dxa"/>
            <w:shd w:val="clear" w:color="auto" w:fill="auto"/>
          </w:tcPr>
          <w:p w:rsidR="00363357" w:rsidRPr="00ED5612" w:rsidRDefault="009942C1" w:rsidP="00626725">
            <w:pPr>
              <w:jc w:val="center"/>
              <w:rPr>
                <w:sz w:val="22"/>
                <w:szCs w:val="22"/>
              </w:rPr>
            </w:pPr>
            <w:r w:rsidRPr="00ED5612">
              <w:rPr>
                <w:sz w:val="22"/>
                <w:szCs w:val="22"/>
              </w:rPr>
              <w:t>6</w:t>
            </w:r>
            <w:r w:rsidR="00DC1894" w:rsidRPr="00ED5612">
              <w:rPr>
                <w:sz w:val="22"/>
                <w:szCs w:val="22"/>
              </w:rPr>
              <w:t xml:space="preserve"> </w:t>
            </w:r>
            <w:r w:rsidRPr="00ED5612">
              <w:rPr>
                <w:sz w:val="22"/>
                <w:szCs w:val="22"/>
              </w:rPr>
              <w:t>212,9</w:t>
            </w:r>
          </w:p>
        </w:tc>
        <w:tc>
          <w:tcPr>
            <w:tcW w:w="1276" w:type="dxa"/>
            <w:shd w:val="clear" w:color="auto" w:fill="auto"/>
          </w:tcPr>
          <w:p w:rsidR="00363357" w:rsidRPr="00ED5612" w:rsidRDefault="009942C1" w:rsidP="00626725">
            <w:pPr>
              <w:jc w:val="center"/>
              <w:rPr>
                <w:sz w:val="22"/>
                <w:szCs w:val="22"/>
              </w:rPr>
            </w:pPr>
            <w:r w:rsidRPr="00ED5612">
              <w:rPr>
                <w:sz w:val="22"/>
                <w:szCs w:val="22"/>
              </w:rPr>
              <w:t>5</w:t>
            </w:r>
            <w:r w:rsidR="00DC1894" w:rsidRPr="00ED5612">
              <w:rPr>
                <w:sz w:val="22"/>
                <w:szCs w:val="22"/>
              </w:rPr>
              <w:t xml:space="preserve"> </w:t>
            </w:r>
            <w:r w:rsidRPr="00ED5612">
              <w:rPr>
                <w:sz w:val="22"/>
                <w:szCs w:val="22"/>
              </w:rPr>
              <w:t>642,0</w:t>
            </w:r>
          </w:p>
        </w:tc>
        <w:tc>
          <w:tcPr>
            <w:tcW w:w="1678" w:type="dxa"/>
            <w:shd w:val="clear" w:color="auto" w:fill="auto"/>
          </w:tcPr>
          <w:p w:rsidR="00363357" w:rsidRPr="00ED5612" w:rsidRDefault="003678FF" w:rsidP="00626725">
            <w:pPr>
              <w:jc w:val="center"/>
              <w:rPr>
                <w:sz w:val="22"/>
                <w:szCs w:val="22"/>
              </w:rPr>
            </w:pPr>
            <w:r w:rsidRPr="00ED5612">
              <w:rPr>
                <w:sz w:val="22"/>
                <w:szCs w:val="22"/>
              </w:rPr>
              <w:t>14,6</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9.</w:t>
            </w:r>
          </w:p>
        </w:tc>
        <w:tc>
          <w:tcPr>
            <w:tcW w:w="3827" w:type="dxa"/>
            <w:shd w:val="clear" w:color="auto" w:fill="auto"/>
          </w:tcPr>
          <w:p w:rsidR="00363357" w:rsidRPr="00ED5612" w:rsidRDefault="00363357" w:rsidP="006F41BD">
            <w:pPr>
              <w:rPr>
                <w:sz w:val="22"/>
                <w:szCs w:val="22"/>
              </w:rPr>
            </w:pPr>
            <w:r w:rsidRPr="00ED5612">
              <w:rPr>
                <w:sz w:val="22"/>
                <w:szCs w:val="22"/>
              </w:rPr>
              <w:t>Švietimas</w:t>
            </w:r>
          </w:p>
        </w:tc>
        <w:tc>
          <w:tcPr>
            <w:tcW w:w="1701" w:type="dxa"/>
            <w:shd w:val="clear" w:color="auto" w:fill="auto"/>
          </w:tcPr>
          <w:p w:rsidR="00363357" w:rsidRPr="00ED5612" w:rsidRDefault="009942C1" w:rsidP="00626725">
            <w:pPr>
              <w:jc w:val="center"/>
              <w:rPr>
                <w:sz w:val="22"/>
                <w:szCs w:val="22"/>
              </w:rPr>
            </w:pPr>
            <w:r w:rsidRPr="00ED5612">
              <w:rPr>
                <w:sz w:val="22"/>
                <w:szCs w:val="22"/>
              </w:rPr>
              <w:t>17</w:t>
            </w:r>
            <w:r w:rsidR="00DC1894" w:rsidRPr="00ED5612">
              <w:rPr>
                <w:sz w:val="22"/>
                <w:szCs w:val="22"/>
              </w:rPr>
              <w:t xml:space="preserve"> </w:t>
            </w:r>
            <w:r w:rsidRPr="00ED5612">
              <w:rPr>
                <w:sz w:val="22"/>
                <w:szCs w:val="22"/>
              </w:rPr>
              <w:t>817,8</w:t>
            </w:r>
          </w:p>
        </w:tc>
        <w:tc>
          <w:tcPr>
            <w:tcW w:w="1276" w:type="dxa"/>
            <w:shd w:val="clear" w:color="auto" w:fill="auto"/>
          </w:tcPr>
          <w:p w:rsidR="00363357" w:rsidRPr="00ED5612" w:rsidRDefault="009942C1" w:rsidP="00626725">
            <w:pPr>
              <w:jc w:val="center"/>
              <w:rPr>
                <w:sz w:val="22"/>
                <w:szCs w:val="22"/>
              </w:rPr>
            </w:pPr>
            <w:r w:rsidRPr="00ED5612">
              <w:rPr>
                <w:sz w:val="22"/>
                <w:szCs w:val="22"/>
              </w:rPr>
              <w:t>17</w:t>
            </w:r>
            <w:r w:rsidR="00DC1894" w:rsidRPr="00ED5612">
              <w:rPr>
                <w:sz w:val="22"/>
                <w:szCs w:val="22"/>
              </w:rPr>
              <w:t xml:space="preserve"> </w:t>
            </w:r>
            <w:r w:rsidRPr="00ED5612">
              <w:rPr>
                <w:sz w:val="22"/>
                <w:szCs w:val="22"/>
              </w:rPr>
              <w:t>658,9</w:t>
            </w:r>
          </w:p>
        </w:tc>
        <w:tc>
          <w:tcPr>
            <w:tcW w:w="1678" w:type="dxa"/>
            <w:shd w:val="clear" w:color="auto" w:fill="auto"/>
          </w:tcPr>
          <w:p w:rsidR="00363357" w:rsidRPr="00ED5612" w:rsidRDefault="003678FF" w:rsidP="00626725">
            <w:pPr>
              <w:jc w:val="center"/>
              <w:rPr>
                <w:sz w:val="22"/>
                <w:szCs w:val="22"/>
              </w:rPr>
            </w:pPr>
            <w:r w:rsidRPr="00ED5612">
              <w:rPr>
                <w:sz w:val="22"/>
                <w:szCs w:val="22"/>
              </w:rPr>
              <w:t>45,7</w:t>
            </w:r>
          </w:p>
        </w:tc>
      </w:tr>
      <w:tr w:rsidR="00363357" w:rsidRPr="00ED5612" w:rsidTr="00626725">
        <w:trPr>
          <w:gridAfter w:val="1"/>
          <w:wAfter w:w="23" w:type="dxa"/>
        </w:trPr>
        <w:tc>
          <w:tcPr>
            <w:tcW w:w="1526" w:type="dxa"/>
            <w:shd w:val="clear" w:color="auto" w:fill="auto"/>
          </w:tcPr>
          <w:p w:rsidR="00363357" w:rsidRPr="00ED5612" w:rsidRDefault="00363357" w:rsidP="00626725">
            <w:pPr>
              <w:jc w:val="center"/>
              <w:rPr>
                <w:sz w:val="22"/>
                <w:szCs w:val="22"/>
              </w:rPr>
            </w:pPr>
            <w:r w:rsidRPr="00ED5612">
              <w:rPr>
                <w:sz w:val="22"/>
                <w:szCs w:val="22"/>
              </w:rPr>
              <w:t>10.</w:t>
            </w:r>
          </w:p>
        </w:tc>
        <w:tc>
          <w:tcPr>
            <w:tcW w:w="3827" w:type="dxa"/>
            <w:shd w:val="clear" w:color="auto" w:fill="auto"/>
          </w:tcPr>
          <w:p w:rsidR="00363357" w:rsidRPr="00ED5612" w:rsidRDefault="00363357" w:rsidP="006F41BD">
            <w:pPr>
              <w:rPr>
                <w:sz w:val="22"/>
                <w:szCs w:val="22"/>
              </w:rPr>
            </w:pPr>
            <w:r w:rsidRPr="00ED5612">
              <w:rPr>
                <w:sz w:val="22"/>
                <w:szCs w:val="22"/>
              </w:rPr>
              <w:t>Socialinė apsauga</w:t>
            </w:r>
          </w:p>
        </w:tc>
        <w:tc>
          <w:tcPr>
            <w:tcW w:w="1701" w:type="dxa"/>
            <w:shd w:val="clear" w:color="auto" w:fill="auto"/>
          </w:tcPr>
          <w:p w:rsidR="00363357" w:rsidRPr="00ED5612" w:rsidRDefault="009942C1" w:rsidP="00626725">
            <w:pPr>
              <w:jc w:val="center"/>
              <w:rPr>
                <w:sz w:val="22"/>
                <w:szCs w:val="22"/>
              </w:rPr>
            </w:pPr>
            <w:r w:rsidRPr="00ED5612">
              <w:rPr>
                <w:sz w:val="22"/>
                <w:szCs w:val="22"/>
              </w:rPr>
              <w:t>3</w:t>
            </w:r>
            <w:r w:rsidR="00DC1894" w:rsidRPr="00ED5612">
              <w:rPr>
                <w:sz w:val="22"/>
                <w:szCs w:val="22"/>
              </w:rPr>
              <w:t xml:space="preserve"> </w:t>
            </w:r>
            <w:r w:rsidRPr="00ED5612">
              <w:rPr>
                <w:sz w:val="22"/>
                <w:szCs w:val="22"/>
              </w:rPr>
              <w:t>736,8</w:t>
            </w:r>
          </w:p>
        </w:tc>
        <w:tc>
          <w:tcPr>
            <w:tcW w:w="1276" w:type="dxa"/>
            <w:shd w:val="clear" w:color="auto" w:fill="auto"/>
          </w:tcPr>
          <w:p w:rsidR="00363357" w:rsidRPr="00ED5612" w:rsidRDefault="009942C1" w:rsidP="00626725">
            <w:pPr>
              <w:jc w:val="center"/>
              <w:rPr>
                <w:sz w:val="22"/>
                <w:szCs w:val="22"/>
              </w:rPr>
            </w:pPr>
            <w:r w:rsidRPr="00ED5612">
              <w:rPr>
                <w:sz w:val="22"/>
                <w:szCs w:val="22"/>
              </w:rPr>
              <w:t>3</w:t>
            </w:r>
            <w:r w:rsidR="00DC1894" w:rsidRPr="00ED5612">
              <w:rPr>
                <w:sz w:val="22"/>
                <w:szCs w:val="22"/>
              </w:rPr>
              <w:t xml:space="preserve"> </w:t>
            </w:r>
            <w:r w:rsidRPr="00ED5612">
              <w:rPr>
                <w:sz w:val="22"/>
                <w:szCs w:val="22"/>
              </w:rPr>
              <w:t>606,9</w:t>
            </w:r>
          </w:p>
        </w:tc>
        <w:tc>
          <w:tcPr>
            <w:tcW w:w="1678" w:type="dxa"/>
            <w:shd w:val="clear" w:color="auto" w:fill="auto"/>
          </w:tcPr>
          <w:p w:rsidR="00363357" w:rsidRPr="00ED5612" w:rsidRDefault="00322582" w:rsidP="00626725">
            <w:pPr>
              <w:jc w:val="center"/>
              <w:rPr>
                <w:sz w:val="22"/>
                <w:szCs w:val="22"/>
              </w:rPr>
            </w:pPr>
            <w:r w:rsidRPr="00ED5612">
              <w:rPr>
                <w:sz w:val="22"/>
                <w:szCs w:val="22"/>
              </w:rPr>
              <w:t>9,</w:t>
            </w:r>
            <w:r w:rsidR="003678FF" w:rsidRPr="00ED5612">
              <w:rPr>
                <w:sz w:val="22"/>
                <w:szCs w:val="22"/>
              </w:rPr>
              <w:t>3</w:t>
            </w:r>
          </w:p>
        </w:tc>
      </w:tr>
      <w:tr w:rsidR="00363357" w:rsidRPr="00ED5612" w:rsidTr="00626725">
        <w:trPr>
          <w:gridAfter w:val="1"/>
          <w:wAfter w:w="23" w:type="dxa"/>
        </w:trPr>
        <w:tc>
          <w:tcPr>
            <w:tcW w:w="5353" w:type="dxa"/>
            <w:gridSpan w:val="2"/>
            <w:shd w:val="clear" w:color="auto" w:fill="auto"/>
          </w:tcPr>
          <w:p w:rsidR="00363357" w:rsidRPr="00ED5612" w:rsidRDefault="00363357" w:rsidP="00A133B8">
            <w:pPr>
              <w:jc w:val="center"/>
              <w:rPr>
                <w:b/>
                <w:sz w:val="22"/>
                <w:szCs w:val="22"/>
              </w:rPr>
            </w:pPr>
            <w:r w:rsidRPr="00ED5612">
              <w:rPr>
                <w:b/>
                <w:sz w:val="22"/>
                <w:szCs w:val="22"/>
              </w:rPr>
              <w:t xml:space="preserve">Iš viso </w:t>
            </w:r>
            <w:r w:rsidR="00A133B8" w:rsidRPr="00ED5612">
              <w:rPr>
                <w:b/>
                <w:sz w:val="22"/>
                <w:szCs w:val="22"/>
              </w:rPr>
              <w:t>asignavimų</w:t>
            </w:r>
          </w:p>
        </w:tc>
        <w:tc>
          <w:tcPr>
            <w:tcW w:w="1701" w:type="dxa"/>
            <w:shd w:val="clear" w:color="auto" w:fill="auto"/>
          </w:tcPr>
          <w:p w:rsidR="00363357" w:rsidRPr="00ED5612" w:rsidRDefault="009942C1" w:rsidP="00626725">
            <w:pPr>
              <w:jc w:val="center"/>
              <w:rPr>
                <w:b/>
                <w:sz w:val="22"/>
                <w:szCs w:val="22"/>
              </w:rPr>
            </w:pPr>
            <w:r w:rsidRPr="00ED5612">
              <w:rPr>
                <w:b/>
                <w:sz w:val="22"/>
                <w:szCs w:val="22"/>
              </w:rPr>
              <w:t>39</w:t>
            </w:r>
            <w:r w:rsidR="00DC1894" w:rsidRPr="00ED5612">
              <w:rPr>
                <w:b/>
                <w:sz w:val="22"/>
                <w:szCs w:val="22"/>
              </w:rPr>
              <w:t xml:space="preserve"> </w:t>
            </w:r>
            <w:r w:rsidRPr="00ED5612">
              <w:rPr>
                <w:b/>
                <w:sz w:val="22"/>
                <w:szCs w:val="22"/>
              </w:rPr>
              <w:t>343,1</w:t>
            </w:r>
          </w:p>
        </w:tc>
        <w:tc>
          <w:tcPr>
            <w:tcW w:w="1276" w:type="dxa"/>
            <w:shd w:val="clear" w:color="auto" w:fill="auto"/>
          </w:tcPr>
          <w:p w:rsidR="00363357" w:rsidRPr="00ED5612" w:rsidRDefault="009942C1" w:rsidP="00626725">
            <w:pPr>
              <w:jc w:val="center"/>
              <w:rPr>
                <w:b/>
                <w:sz w:val="22"/>
                <w:szCs w:val="22"/>
              </w:rPr>
            </w:pPr>
            <w:r w:rsidRPr="00ED5612">
              <w:rPr>
                <w:b/>
                <w:sz w:val="22"/>
                <w:szCs w:val="22"/>
              </w:rPr>
              <w:t>37</w:t>
            </w:r>
            <w:r w:rsidR="00DC1894" w:rsidRPr="00ED5612">
              <w:rPr>
                <w:b/>
                <w:sz w:val="22"/>
                <w:szCs w:val="22"/>
              </w:rPr>
              <w:t xml:space="preserve"> </w:t>
            </w:r>
            <w:r w:rsidRPr="00ED5612">
              <w:rPr>
                <w:b/>
                <w:sz w:val="22"/>
                <w:szCs w:val="22"/>
              </w:rPr>
              <w:t>728,2</w:t>
            </w:r>
          </w:p>
        </w:tc>
        <w:tc>
          <w:tcPr>
            <w:tcW w:w="1678" w:type="dxa"/>
            <w:shd w:val="clear" w:color="auto" w:fill="auto"/>
          </w:tcPr>
          <w:p w:rsidR="00363357" w:rsidRPr="00ED5612" w:rsidRDefault="00363357" w:rsidP="00626725">
            <w:pPr>
              <w:jc w:val="center"/>
              <w:rPr>
                <w:b/>
                <w:sz w:val="22"/>
                <w:szCs w:val="22"/>
              </w:rPr>
            </w:pPr>
          </w:p>
        </w:tc>
      </w:tr>
      <w:tr w:rsidR="007C43D4" w:rsidRPr="00ED5612" w:rsidTr="00626725">
        <w:tc>
          <w:tcPr>
            <w:tcW w:w="1526" w:type="dxa"/>
            <w:shd w:val="clear" w:color="auto" w:fill="auto"/>
          </w:tcPr>
          <w:p w:rsidR="007C43D4" w:rsidRPr="00ED5612" w:rsidRDefault="007C43D4" w:rsidP="00626725">
            <w:pPr>
              <w:jc w:val="center"/>
              <w:rPr>
                <w:sz w:val="22"/>
                <w:szCs w:val="22"/>
              </w:rPr>
            </w:pPr>
            <w:r w:rsidRPr="00ED5612">
              <w:rPr>
                <w:sz w:val="22"/>
                <w:szCs w:val="22"/>
              </w:rPr>
              <w:t>11.</w:t>
            </w:r>
          </w:p>
        </w:tc>
        <w:tc>
          <w:tcPr>
            <w:tcW w:w="3827" w:type="dxa"/>
            <w:shd w:val="clear" w:color="auto" w:fill="auto"/>
          </w:tcPr>
          <w:p w:rsidR="007C43D4" w:rsidRPr="00ED5612" w:rsidRDefault="007C43D4" w:rsidP="00626725">
            <w:pPr>
              <w:jc w:val="both"/>
              <w:rPr>
                <w:sz w:val="22"/>
                <w:szCs w:val="22"/>
              </w:rPr>
            </w:pPr>
            <w:r w:rsidRPr="00ED5612">
              <w:rPr>
                <w:sz w:val="22"/>
                <w:szCs w:val="22"/>
              </w:rPr>
              <w:t>Finansinių įsipareigojimų vykdymas (paskolų grąžinimas)</w:t>
            </w:r>
          </w:p>
        </w:tc>
        <w:tc>
          <w:tcPr>
            <w:tcW w:w="1701" w:type="dxa"/>
            <w:shd w:val="clear" w:color="auto" w:fill="auto"/>
          </w:tcPr>
          <w:p w:rsidR="007C43D4" w:rsidRPr="00ED5612" w:rsidRDefault="009942C1" w:rsidP="00626725">
            <w:pPr>
              <w:jc w:val="center"/>
              <w:rPr>
                <w:sz w:val="22"/>
                <w:szCs w:val="22"/>
              </w:rPr>
            </w:pPr>
            <w:r w:rsidRPr="00ED5612">
              <w:rPr>
                <w:sz w:val="22"/>
                <w:szCs w:val="22"/>
              </w:rPr>
              <w:t>935,6</w:t>
            </w:r>
          </w:p>
        </w:tc>
        <w:tc>
          <w:tcPr>
            <w:tcW w:w="1276" w:type="dxa"/>
            <w:shd w:val="clear" w:color="auto" w:fill="auto"/>
          </w:tcPr>
          <w:p w:rsidR="007C43D4" w:rsidRPr="00ED5612" w:rsidRDefault="009942C1" w:rsidP="00626725">
            <w:pPr>
              <w:jc w:val="center"/>
              <w:rPr>
                <w:sz w:val="22"/>
                <w:szCs w:val="22"/>
              </w:rPr>
            </w:pPr>
            <w:r w:rsidRPr="00ED5612">
              <w:rPr>
                <w:sz w:val="22"/>
                <w:szCs w:val="22"/>
              </w:rPr>
              <w:t>935,4</w:t>
            </w:r>
          </w:p>
        </w:tc>
        <w:tc>
          <w:tcPr>
            <w:tcW w:w="1701" w:type="dxa"/>
            <w:gridSpan w:val="2"/>
            <w:shd w:val="clear" w:color="auto" w:fill="auto"/>
          </w:tcPr>
          <w:p w:rsidR="007C43D4" w:rsidRPr="00ED5612" w:rsidRDefault="00322582" w:rsidP="00626725">
            <w:pPr>
              <w:jc w:val="center"/>
              <w:rPr>
                <w:sz w:val="22"/>
                <w:szCs w:val="22"/>
              </w:rPr>
            </w:pPr>
            <w:r w:rsidRPr="00ED5612">
              <w:rPr>
                <w:sz w:val="22"/>
                <w:szCs w:val="22"/>
              </w:rPr>
              <w:t>2,</w:t>
            </w:r>
            <w:r w:rsidR="003678FF" w:rsidRPr="00ED5612">
              <w:rPr>
                <w:sz w:val="22"/>
                <w:szCs w:val="22"/>
              </w:rPr>
              <w:t>4</w:t>
            </w:r>
          </w:p>
        </w:tc>
      </w:tr>
      <w:tr w:rsidR="007C43D4" w:rsidRPr="00ED5612" w:rsidTr="00626725">
        <w:tc>
          <w:tcPr>
            <w:tcW w:w="5353" w:type="dxa"/>
            <w:gridSpan w:val="2"/>
            <w:shd w:val="clear" w:color="auto" w:fill="auto"/>
          </w:tcPr>
          <w:p w:rsidR="007C43D4" w:rsidRPr="00ED5612" w:rsidRDefault="007C43D4" w:rsidP="00A133B8">
            <w:pPr>
              <w:jc w:val="center"/>
              <w:rPr>
                <w:b/>
                <w:sz w:val="22"/>
                <w:szCs w:val="22"/>
              </w:rPr>
            </w:pPr>
            <w:r w:rsidRPr="00ED5612">
              <w:rPr>
                <w:b/>
                <w:sz w:val="22"/>
                <w:szCs w:val="22"/>
              </w:rPr>
              <w:t xml:space="preserve">Iš viso </w:t>
            </w:r>
            <w:r w:rsidR="00A133B8" w:rsidRPr="00ED5612">
              <w:rPr>
                <w:b/>
                <w:sz w:val="22"/>
                <w:szCs w:val="22"/>
              </w:rPr>
              <w:t>išlaidų</w:t>
            </w:r>
          </w:p>
        </w:tc>
        <w:tc>
          <w:tcPr>
            <w:tcW w:w="1701" w:type="dxa"/>
            <w:shd w:val="clear" w:color="auto" w:fill="auto"/>
          </w:tcPr>
          <w:p w:rsidR="007C43D4" w:rsidRPr="00ED5612" w:rsidRDefault="00A133B8" w:rsidP="00626725">
            <w:pPr>
              <w:jc w:val="center"/>
              <w:rPr>
                <w:b/>
                <w:sz w:val="22"/>
                <w:szCs w:val="22"/>
              </w:rPr>
            </w:pPr>
            <w:r w:rsidRPr="00ED5612">
              <w:rPr>
                <w:b/>
                <w:sz w:val="22"/>
                <w:szCs w:val="22"/>
              </w:rPr>
              <w:t>40</w:t>
            </w:r>
            <w:r w:rsidR="00DC1894" w:rsidRPr="00ED5612">
              <w:rPr>
                <w:b/>
                <w:sz w:val="22"/>
                <w:szCs w:val="22"/>
              </w:rPr>
              <w:t xml:space="preserve"> </w:t>
            </w:r>
            <w:r w:rsidRPr="00ED5612">
              <w:rPr>
                <w:b/>
                <w:sz w:val="22"/>
                <w:szCs w:val="22"/>
              </w:rPr>
              <w:t>278,7</w:t>
            </w:r>
          </w:p>
        </w:tc>
        <w:tc>
          <w:tcPr>
            <w:tcW w:w="1276" w:type="dxa"/>
            <w:shd w:val="clear" w:color="auto" w:fill="auto"/>
          </w:tcPr>
          <w:p w:rsidR="007C43D4" w:rsidRPr="00ED5612" w:rsidRDefault="00DC1894" w:rsidP="00626725">
            <w:pPr>
              <w:jc w:val="center"/>
              <w:rPr>
                <w:b/>
                <w:sz w:val="22"/>
                <w:szCs w:val="22"/>
              </w:rPr>
            </w:pPr>
            <w:r w:rsidRPr="00ED5612">
              <w:rPr>
                <w:b/>
                <w:sz w:val="22"/>
                <w:szCs w:val="22"/>
              </w:rPr>
              <w:t>38 663,6</w:t>
            </w:r>
          </w:p>
        </w:tc>
        <w:tc>
          <w:tcPr>
            <w:tcW w:w="1701" w:type="dxa"/>
            <w:gridSpan w:val="2"/>
            <w:shd w:val="clear" w:color="auto" w:fill="auto"/>
          </w:tcPr>
          <w:p w:rsidR="007C43D4" w:rsidRPr="00ED5612" w:rsidRDefault="0059372E" w:rsidP="00626725">
            <w:pPr>
              <w:jc w:val="center"/>
              <w:rPr>
                <w:b/>
                <w:sz w:val="22"/>
                <w:szCs w:val="22"/>
              </w:rPr>
            </w:pPr>
            <w:r w:rsidRPr="00ED5612">
              <w:rPr>
                <w:b/>
                <w:sz w:val="22"/>
                <w:szCs w:val="22"/>
              </w:rPr>
              <w:t>100,0</w:t>
            </w:r>
          </w:p>
        </w:tc>
      </w:tr>
    </w:tbl>
    <w:p w:rsidR="00ED712B" w:rsidRDefault="00ED712B" w:rsidP="0081123C">
      <w:pPr>
        <w:ind w:firstLine="720"/>
        <w:jc w:val="both"/>
        <w:rPr>
          <w:sz w:val="24"/>
          <w:szCs w:val="24"/>
        </w:rPr>
      </w:pPr>
    </w:p>
    <w:p w:rsidR="00ED712B" w:rsidRDefault="00ED712B" w:rsidP="0081123C">
      <w:pPr>
        <w:ind w:firstLine="720"/>
        <w:jc w:val="both"/>
        <w:rPr>
          <w:sz w:val="24"/>
          <w:szCs w:val="24"/>
        </w:rPr>
      </w:pPr>
    </w:p>
    <w:p w:rsidR="002C7740" w:rsidRDefault="00454D46" w:rsidP="0081123C">
      <w:pPr>
        <w:ind w:firstLine="720"/>
        <w:jc w:val="both"/>
        <w:rPr>
          <w:sz w:val="24"/>
          <w:szCs w:val="24"/>
        </w:rPr>
      </w:pPr>
      <w:r>
        <w:rPr>
          <w:sz w:val="24"/>
          <w:szCs w:val="24"/>
        </w:rPr>
        <w:t>8</w:t>
      </w:r>
      <w:r w:rsidR="00ED712B">
        <w:rPr>
          <w:sz w:val="24"/>
          <w:szCs w:val="24"/>
        </w:rPr>
        <w:t xml:space="preserve"> lentelėje ir 10</w:t>
      </w:r>
      <w:r w:rsidR="00A43BC2" w:rsidRPr="002C7740">
        <w:rPr>
          <w:sz w:val="24"/>
          <w:szCs w:val="24"/>
        </w:rPr>
        <w:t xml:space="preserve"> paveiksle parodyta, kaip 2018 m. buvo paskirstytos  Savivaldybės biudžeto lėšos pagal funkcinę klasifikaciją.</w:t>
      </w:r>
    </w:p>
    <w:p w:rsidR="00F65487" w:rsidRPr="002C7740" w:rsidRDefault="00B41869" w:rsidP="0081123C">
      <w:pPr>
        <w:ind w:firstLine="720"/>
        <w:jc w:val="both"/>
        <w:rPr>
          <w:sz w:val="24"/>
          <w:szCs w:val="24"/>
        </w:rPr>
      </w:pPr>
      <w:r w:rsidRPr="002C7740">
        <w:rPr>
          <w:sz w:val="24"/>
          <w:szCs w:val="24"/>
        </w:rPr>
        <w:tab/>
      </w:r>
      <w:r w:rsidRPr="002C7740">
        <w:rPr>
          <w:sz w:val="24"/>
          <w:szCs w:val="24"/>
        </w:rPr>
        <w:tab/>
      </w:r>
    </w:p>
    <w:p w:rsidR="0059372E" w:rsidRPr="00390304" w:rsidRDefault="000015CC" w:rsidP="007C43D4">
      <w:pPr>
        <w:ind w:firstLine="720"/>
        <w:jc w:val="both"/>
        <w:rPr>
          <w:sz w:val="24"/>
          <w:szCs w:val="24"/>
        </w:rPr>
      </w:pPr>
      <w:r w:rsidRPr="009F7D43">
        <w:rPr>
          <w:noProof/>
          <w:lang w:eastAsia="lt-LT"/>
        </w:rPr>
        <w:drawing>
          <wp:inline distT="0" distB="0" distL="0" distR="0" wp14:anchorId="7F2A27F1" wp14:editId="0F4B399F">
            <wp:extent cx="5543550" cy="4114800"/>
            <wp:effectExtent l="3810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41869" w:rsidRPr="009F7D43">
        <w:rPr>
          <w:sz w:val="24"/>
          <w:szCs w:val="24"/>
        </w:rPr>
        <w:tab/>
      </w:r>
      <w:r w:rsidR="00B41869" w:rsidRPr="009F7D43">
        <w:rPr>
          <w:sz w:val="24"/>
          <w:szCs w:val="24"/>
        </w:rPr>
        <w:tab/>
      </w:r>
      <w:r w:rsidR="00B41869" w:rsidRPr="009F7D43">
        <w:rPr>
          <w:sz w:val="24"/>
          <w:szCs w:val="24"/>
        </w:rPr>
        <w:tab/>
      </w:r>
      <w:r w:rsidR="00B41869" w:rsidRPr="009F7D43">
        <w:rPr>
          <w:sz w:val="24"/>
          <w:szCs w:val="24"/>
        </w:rPr>
        <w:tab/>
      </w:r>
      <w:r w:rsidR="00B41869" w:rsidRPr="009F7D43">
        <w:rPr>
          <w:sz w:val="24"/>
          <w:szCs w:val="24"/>
        </w:rPr>
        <w:tab/>
      </w:r>
      <w:r w:rsidR="00B41869" w:rsidRPr="009F7D43">
        <w:rPr>
          <w:sz w:val="24"/>
          <w:szCs w:val="24"/>
        </w:rPr>
        <w:tab/>
      </w:r>
      <w:r w:rsidR="00B41869" w:rsidRPr="009F7D43">
        <w:rPr>
          <w:sz w:val="24"/>
          <w:szCs w:val="24"/>
        </w:rPr>
        <w:tab/>
      </w:r>
    </w:p>
    <w:p w:rsidR="00B41869" w:rsidRPr="002C7740" w:rsidRDefault="00ED712B" w:rsidP="0059372E">
      <w:pPr>
        <w:ind w:firstLine="720"/>
        <w:jc w:val="center"/>
        <w:rPr>
          <w:b/>
          <w:sz w:val="24"/>
          <w:szCs w:val="24"/>
        </w:rPr>
      </w:pPr>
      <w:r>
        <w:rPr>
          <w:b/>
          <w:sz w:val="24"/>
          <w:szCs w:val="24"/>
        </w:rPr>
        <w:t>10</w:t>
      </w:r>
      <w:r w:rsidR="003678FF" w:rsidRPr="002C7740">
        <w:rPr>
          <w:b/>
          <w:sz w:val="24"/>
          <w:szCs w:val="24"/>
        </w:rPr>
        <w:t xml:space="preserve"> pav. 2018</w:t>
      </w:r>
      <w:r w:rsidR="00F65487" w:rsidRPr="002C7740">
        <w:rPr>
          <w:b/>
          <w:sz w:val="24"/>
          <w:szCs w:val="24"/>
        </w:rPr>
        <w:t xml:space="preserve">  m. biudžeto išlaidos pagal funkcinę klasifikaciją</w:t>
      </w:r>
      <w:r w:rsidR="009E0749" w:rsidRPr="002C7740">
        <w:rPr>
          <w:b/>
          <w:sz w:val="24"/>
          <w:szCs w:val="24"/>
        </w:rPr>
        <w:t>, procentais</w:t>
      </w:r>
    </w:p>
    <w:p w:rsidR="00284DAD" w:rsidRDefault="00284DAD" w:rsidP="00ED5612">
      <w:pPr>
        <w:rPr>
          <w:b/>
          <w:sz w:val="28"/>
          <w:szCs w:val="28"/>
        </w:rPr>
      </w:pPr>
    </w:p>
    <w:p w:rsidR="00F65487" w:rsidRPr="00ED5612" w:rsidRDefault="008269E4" w:rsidP="00F65487">
      <w:pPr>
        <w:jc w:val="center"/>
        <w:rPr>
          <w:b/>
          <w:sz w:val="28"/>
          <w:szCs w:val="28"/>
        </w:rPr>
      </w:pPr>
      <w:r w:rsidRPr="00ED5612">
        <w:rPr>
          <w:b/>
          <w:sz w:val="28"/>
          <w:szCs w:val="28"/>
        </w:rPr>
        <w:lastRenderedPageBreak/>
        <w:t>5</w:t>
      </w:r>
      <w:r w:rsidR="00B86348" w:rsidRPr="00ED5612">
        <w:rPr>
          <w:b/>
          <w:sz w:val="28"/>
          <w:szCs w:val="28"/>
        </w:rPr>
        <w:t>. Mokėtina ir gautina suma</w:t>
      </w:r>
    </w:p>
    <w:p w:rsidR="00B41869" w:rsidRPr="00ED5612" w:rsidRDefault="00B41869" w:rsidP="0081123C">
      <w:pPr>
        <w:ind w:firstLine="720"/>
        <w:jc w:val="both"/>
        <w:rPr>
          <w:sz w:val="24"/>
          <w:szCs w:val="24"/>
        </w:rPr>
      </w:pPr>
    </w:p>
    <w:p w:rsidR="001C0A02" w:rsidRPr="00ED5612" w:rsidRDefault="001C0A02" w:rsidP="002C7740">
      <w:pPr>
        <w:tabs>
          <w:tab w:val="center" w:pos="5179"/>
        </w:tabs>
        <w:ind w:firstLine="720"/>
        <w:jc w:val="both"/>
        <w:rPr>
          <w:sz w:val="24"/>
          <w:szCs w:val="24"/>
          <w:lang w:eastAsia="lt-LT"/>
        </w:rPr>
      </w:pPr>
      <w:r w:rsidRPr="00ED5612">
        <w:rPr>
          <w:sz w:val="24"/>
          <w:szCs w:val="24"/>
          <w:lang w:eastAsia="lt-LT"/>
        </w:rPr>
        <w:t>Plungės rajono savivaldybės mokėtina suma 2018 m. gruodžio 31 d. buvo 6 526,9 tūkst. eurų, iš j</w:t>
      </w:r>
      <w:r w:rsidR="00390304">
        <w:rPr>
          <w:sz w:val="24"/>
          <w:szCs w:val="24"/>
          <w:lang w:eastAsia="lt-LT"/>
        </w:rPr>
        <w:t>ų</w:t>
      </w:r>
      <w:r w:rsidRPr="00390304">
        <w:rPr>
          <w:sz w:val="24"/>
          <w:szCs w:val="24"/>
          <w:lang w:eastAsia="lt-LT"/>
        </w:rPr>
        <w:t xml:space="preserve"> 5 671,1 tūkst. eurų -  paskolos.  Palyginti su 2017 m. gruodžio 31 d., mokėtina suma sumažėjo 412,2 tūks</w:t>
      </w:r>
      <w:r w:rsidR="00B86348" w:rsidRPr="00ED5612">
        <w:rPr>
          <w:sz w:val="24"/>
          <w:szCs w:val="24"/>
          <w:lang w:eastAsia="lt-LT"/>
        </w:rPr>
        <w:t>t. eurų. Mokėtina suma, kurių</w:t>
      </w:r>
      <w:r w:rsidRPr="00ED5612">
        <w:rPr>
          <w:sz w:val="24"/>
          <w:szCs w:val="24"/>
          <w:lang w:eastAsia="lt-LT"/>
        </w:rPr>
        <w:t xml:space="preserve"> įvykdymo terminas praleistas daugiau kaip 45 dienos - nėra.</w:t>
      </w:r>
    </w:p>
    <w:p w:rsidR="001C0A02" w:rsidRPr="00ED5612" w:rsidRDefault="001C0A02" w:rsidP="002C7740">
      <w:pPr>
        <w:tabs>
          <w:tab w:val="center" w:pos="5179"/>
        </w:tabs>
        <w:ind w:firstLine="720"/>
        <w:jc w:val="both"/>
        <w:rPr>
          <w:sz w:val="24"/>
          <w:szCs w:val="24"/>
          <w:lang w:eastAsia="lt-LT"/>
        </w:rPr>
      </w:pPr>
      <w:r w:rsidRPr="00ED5612">
        <w:rPr>
          <w:sz w:val="24"/>
          <w:szCs w:val="24"/>
          <w:lang w:eastAsia="lt-LT"/>
        </w:rPr>
        <w:t>Einamiesiems mokėjimams</w:t>
      </w:r>
      <w:r w:rsidR="00F03E15" w:rsidRPr="00ED5612">
        <w:rPr>
          <w:sz w:val="24"/>
          <w:szCs w:val="24"/>
          <w:lang w:eastAsia="lt-LT"/>
        </w:rPr>
        <w:t xml:space="preserve"> </w:t>
      </w:r>
      <w:r w:rsidRPr="00ED5612">
        <w:rPr>
          <w:sz w:val="24"/>
          <w:szCs w:val="24"/>
          <w:lang w:eastAsia="lt-LT"/>
        </w:rPr>
        <w:t xml:space="preserve">(už gruodžio mėnesį) dengti </w:t>
      </w:r>
      <w:r w:rsidR="00190267" w:rsidRPr="00ED5612">
        <w:rPr>
          <w:sz w:val="24"/>
          <w:szCs w:val="24"/>
          <w:lang w:eastAsia="lt-LT"/>
        </w:rPr>
        <w:t>buvo</w:t>
      </w:r>
      <w:r w:rsidRPr="00ED5612">
        <w:rPr>
          <w:sz w:val="24"/>
          <w:szCs w:val="24"/>
          <w:lang w:eastAsia="lt-LT"/>
        </w:rPr>
        <w:t xml:space="preserve"> numatytos lėšos Savivaldybės 2019 metų biudžete. </w:t>
      </w:r>
    </w:p>
    <w:p w:rsidR="001C0A02" w:rsidRPr="00ED5612" w:rsidRDefault="001C0A02" w:rsidP="002C7740">
      <w:pPr>
        <w:tabs>
          <w:tab w:val="center" w:pos="5179"/>
        </w:tabs>
        <w:ind w:firstLine="720"/>
        <w:jc w:val="both"/>
        <w:rPr>
          <w:sz w:val="24"/>
          <w:szCs w:val="24"/>
          <w:lang w:eastAsia="lt-LT"/>
        </w:rPr>
      </w:pPr>
      <w:r w:rsidRPr="00ED5612">
        <w:rPr>
          <w:sz w:val="24"/>
          <w:szCs w:val="24"/>
          <w:lang w:eastAsia="lt-LT"/>
        </w:rPr>
        <w:t>2018 m. gruodžio 31 d.  Plungės rajono savivaldy</w:t>
      </w:r>
      <w:r w:rsidR="00F03E15" w:rsidRPr="00ED5612">
        <w:rPr>
          <w:sz w:val="24"/>
          <w:szCs w:val="24"/>
          <w:lang w:eastAsia="lt-LT"/>
        </w:rPr>
        <w:t>bės gautina suma</w:t>
      </w:r>
      <w:r w:rsidRPr="00ED5612">
        <w:rPr>
          <w:sz w:val="24"/>
          <w:szCs w:val="24"/>
          <w:lang w:eastAsia="lt-LT"/>
        </w:rPr>
        <w:t xml:space="preserve"> – 31,9 tūkst. eurų. Palyginti su 2017</w:t>
      </w:r>
      <w:r w:rsidR="00F03E15" w:rsidRPr="00ED5612">
        <w:rPr>
          <w:sz w:val="24"/>
          <w:szCs w:val="24"/>
          <w:lang w:eastAsia="lt-LT"/>
        </w:rPr>
        <w:t xml:space="preserve"> m. gruodžio 31 d., gautina suma</w:t>
      </w:r>
      <w:r w:rsidRPr="00ED5612">
        <w:rPr>
          <w:sz w:val="24"/>
          <w:szCs w:val="24"/>
          <w:lang w:eastAsia="lt-LT"/>
        </w:rPr>
        <w:t xml:space="preserve"> sumažėjo 3,1 tūkst. eurų.</w:t>
      </w:r>
    </w:p>
    <w:p w:rsidR="00071CE1" w:rsidRPr="00ED5612" w:rsidRDefault="00071CE1" w:rsidP="00F65487">
      <w:pPr>
        <w:tabs>
          <w:tab w:val="center" w:pos="5179"/>
        </w:tabs>
        <w:ind w:firstLine="720"/>
        <w:jc w:val="both"/>
        <w:rPr>
          <w:sz w:val="24"/>
          <w:szCs w:val="24"/>
          <w:lang w:eastAsia="lt-LT"/>
        </w:rPr>
      </w:pPr>
    </w:p>
    <w:p w:rsidR="006C541A" w:rsidRPr="00ED5612" w:rsidRDefault="008269E4" w:rsidP="00891F7B">
      <w:pPr>
        <w:ind w:firstLine="720"/>
        <w:jc w:val="center"/>
        <w:rPr>
          <w:b/>
          <w:sz w:val="28"/>
          <w:szCs w:val="28"/>
        </w:rPr>
      </w:pPr>
      <w:r w:rsidRPr="00ED5612">
        <w:rPr>
          <w:b/>
          <w:sz w:val="28"/>
          <w:szCs w:val="28"/>
        </w:rPr>
        <w:t>6</w:t>
      </w:r>
      <w:r w:rsidR="006C541A" w:rsidRPr="00ED5612">
        <w:rPr>
          <w:b/>
          <w:sz w:val="28"/>
          <w:szCs w:val="28"/>
        </w:rPr>
        <w:t>. Paskolos ir palūkanos</w:t>
      </w:r>
    </w:p>
    <w:p w:rsidR="006C541A" w:rsidRPr="00ED5612" w:rsidRDefault="006C541A" w:rsidP="006C541A">
      <w:pPr>
        <w:ind w:firstLine="720"/>
        <w:jc w:val="both"/>
        <w:rPr>
          <w:sz w:val="24"/>
          <w:szCs w:val="24"/>
        </w:rPr>
      </w:pPr>
    </w:p>
    <w:p w:rsidR="00782D92" w:rsidRPr="00ED5612" w:rsidRDefault="00F03E15" w:rsidP="002C7740">
      <w:pPr>
        <w:ind w:firstLine="720"/>
        <w:jc w:val="both"/>
        <w:rPr>
          <w:sz w:val="24"/>
          <w:szCs w:val="24"/>
        </w:rPr>
      </w:pPr>
      <w:r w:rsidRPr="00ED5612">
        <w:rPr>
          <w:sz w:val="24"/>
          <w:szCs w:val="24"/>
        </w:rPr>
        <w:t>Per 2018 metus paimta 925,8 tūkst. eurų ilgalaikės paskolos dalis. Ilgalaikė paskola buvo naudojama prisidėti prie projektų, finansuojamų iš ES ir kitos tarptautinės finansinės paramos lėšų.</w:t>
      </w:r>
      <w:r w:rsidR="00782D92" w:rsidRPr="00ED5612">
        <w:rPr>
          <w:sz w:val="24"/>
          <w:szCs w:val="24"/>
        </w:rPr>
        <w:t xml:space="preserve">            </w:t>
      </w:r>
    </w:p>
    <w:p w:rsidR="00782D92" w:rsidRPr="00ED5612" w:rsidRDefault="00782D92" w:rsidP="002C7740">
      <w:pPr>
        <w:ind w:firstLine="720"/>
        <w:jc w:val="both"/>
        <w:rPr>
          <w:sz w:val="24"/>
          <w:szCs w:val="24"/>
        </w:rPr>
      </w:pPr>
      <w:r w:rsidRPr="00ED5612">
        <w:rPr>
          <w:sz w:val="24"/>
          <w:szCs w:val="24"/>
        </w:rPr>
        <w:t xml:space="preserve">Negrąžintų ilgalaikių paskolų likutis 2018 m. gruodžio 31 d. buvo 5 671,1 tūkst. eurų (metų pradžioje ilgalaikių paskolų liktis buvo 5 680,7 tūkst. eurų). </w:t>
      </w:r>
    </w:p>
    <w:p w:rsidR="00782D92" w:rsidRPr="00ED5612" w:rsidRDefault="00782D92" w:rsidP="002C7740">
      <w:pPr>
        <w:ind w:firstLine="720"/>
        <w:jc w:val="both"/>
        <w:rPr>
          <w:sz w:val="24"/>
          <w:szCs w:val="24"/>
        </w:rPr>
      </w:pPr>
      <w:r w:rsidRPr="00ED5612">
        <w:rPr>
          <w:sz w:val="24"/>
          <w:szCs w:val="24"/>
        </w:rPr>
        <w:t xml:space="preserve">Per 2018 metus grąžinta komerciniams bankams ir Finansų ministerijai  935,4 tūkst. eurų  ilgalaikių paskolų. </w:t>
      </w:r>
    </w:p>
    <w:p w:rsidR="00F03E15" w:rsidRPr="00390304" w:rsidRDefault="00F03E15" w:rsidP="002C7740">
      <w:pPr>
        <w:ind w:firstLine="720"/>
        <w:jc w:val="both"/>
        <w:rPr>
          <w:sz w:val="24"/>
          <w:szCs w:val="24"/>
        </w:rPr>
      </w:pPr>
      <w:r w:rsidRPr="00ED5612">
        <w:rPr>
          <w:sz w:val="24"/>
          <w:szCs w:val="24"/>
        </w:rPr>
        <w:t>Projektai, kuriems buvo naudojamos skolintos lėšos</w:t>
      </w:r>
      <w:r w:rsidR="00390304">
        <w:rPr>
          <w:sz w:val="24"/>
          <w:szCs w:val="24"/>
        </w:rPr>
        <w:t>,</w:t>
      </w:r>
      <w:r w:rsidRPr="00390304">
        <w:rPr>
          <w:sz w:val="24"/>
          <w:szCs w:val="24"/>
        </w:rPr>
        <w:t xml:space="preserve"> nurodyti </w:t>
      </w:r>
      <w:r w:rsidR="00454D46">
        <w:rPr>
          <w:sz w:val="24"/>
          <w:szCs w:val="24"/>
        </w:rPr>
        <w:t>9</w:t>
      </w:r>
      <w:r w:rsidR="001F0C24" w:rsidRPr="00390304">
        <w:rPr>
          <w:sz w:val="24"/>
          <w:szCs w:val="24"/>
        </w:rPr>
        <w:t xml:space="preserve"> </w:t>
      </w:r>
      <w:r w:rsidRPr="00390304">
        <w:rPr>
          <w:sz w:val="24"/>
          <w:szCs w:val="24"/>
        </w:rPr>
        <w:t>lentelėje</w:t>
      </w:r>
      <w:r w:rsidR="00390304">
        <w:rPr>
          <w:sz w:val="24"/>
          <w:szCs w:val="24"/>
        </w:rPr>
        <w:t>.</w:t>
      </w:r>
    </w:p>
    <w:p w:rsidR="00782D92" w:rsidRPr="00ED5612" w:rsidRDefault="00782D92" w:rsidP="00782D92">
      <w:pPr>
        <w:jc w:val="both"/>
        <w:rPr>
          <w:sz w:val="24"/>
          <w:szCs w:val="24"/>
        </w:rPr>
      </w:pPr>
    </w:p>
    <w:p w:rsidR="00F03E15" w:rsidRPr="00ED5612" w:rsidRDefault="00F03E15" w:rsidP="00F03E15">
      <w:pPr>
        <w:jc w:val="both"/>
        <w:rPr>
          <w:sz w:val="24"/>
          <w:szCs w:val="24"/>
        </w:rPr>
      </w:pPr>
    </w:p>
    <w:p w:rsidR="00F03E15" w:rsidRPr="00ED5612" w:rsidRDefault="00454D46" w:rsidP="00F03E15">
      <w:pPr>
        <w:jc w:val="center"/>
        <w:rPr>
          <w:b/>
          <w:sz w:val="24"/>
          <w:szCs w:val="24"/>
        </w:rPr>
      </w:pPr>
      <w:r>
        <w:rPr>
          <w:b/>
          <w:sz w:val="24"/>
          <w:szCs w:val="24"/>
        </w:rPr>
        <w:t>9</w:t>
      </w:r>
      <w:r w:rsidR="00F03E15" w:rsidRPr="00ED5612">
        <w:rPr>
          <w:b/>
          <w:sz w:val="24"/>
          <w:szCs w:val="24"/>
        </w:rPr>
        <w:t xml:space="preserve"> lentelė. Projektai, kuriems 2018 m. buvo naudojamos skolintos lėšos</w:t>
      </w:r>
    </w:p>
    <w:p w:rsidR="00F03E15" w:rsidRPr="00ED5612" w:rsidRDefault="00F03E15" w:rsidP="00F03E15">
      <w:pPr>
        <w:jc w:val="both"/>
        <w:rPr>
          <w:b/>
          <w:sz w:val="24"/>
          <w:szCs w:val="24"/>
        </w:rPr>
      </w:pPr>
      <w:r w:rsidRPr="00ED5612">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gridCol w:w="1391"/>
      </w:tblGrid>
      <w:tr w:rsidR="00F03E15" w:rsidRPr="00ED5612" w:rsidTr="0040123F">
        <w:trPr>
          <w:trHeight w:val="255"/>
        </w:trPr>
        <w:tc>
          <w:tcPr>
            <w:tcW w:w="8294" w:type="dxa"/>
            <w:tcBorders>
              <w:top w:val="single" w:sz="4" w:space="0" w:color="auto"/>
              <w:left w:val="single" w:sz="4" w:space="0" w:color="auto"/>
              <w:bottom w:val="single" w:sz="4" w:space="0" w:color="auto"/>
              <w:right w:val="single" w:sz="4" w:space="0" w:color="auto"/>
            </w:tcBorders>
            <w:vAlign w:val="center"/>
            <w:hideMark/>
          </w:tcPr>
          <w:p w:rsidR="00F03E15" w:rsidRPr="00ED5612" w:rsidRDefault="00F03E15" w:rsidP="0040123F">
            <w:pPr>
              <w:jc w:val="center"/>
              <w:rPr>
                <w:sz w:val="24"/>
                <w:szCs w:val="24"/>
              </w:rPr>
            </w:pPr>
            <w:r w:rsidRPr="00ED5612">
              <w:rPr>
                <w:sz w:val="24"/>
                <w:szCs w:val="24"/>
              </w:rPr>
              <w:t>Projektai</w:t>
            </w:r>
          </w:p>
        </w:tc>
        <w:tc>
          <w:tcPr>
            <w:tcW w:w="1391" w:type="dxa"/>
            <w:tcBorders>
              <w:top w:val="single" w:sz="4" w:space="0" w:color="auto"/>
              <w:left w:val="single" w:sz="4" w:space="0" w:color="auto"/>
              <w:bottom w:val="single" w:sz="4" w:space="0" w:color="auto"/>
              <w:right w:val="single" w:sz="4" w:space="0" w:color="auto"/>
            </w:tcBorders>
            <w:vAlign w:val="center"/>
            <w:hideMark/>
          </w:tcPr>
          <w:p w:rsidR="00F03E15" w:rsidRPr="00ED5612" w:rsidRDefault="00F03E15" w:rsidP="0040123F">
            <w:pPr>
              <w:jc w:val="center"/>
              <w:rPr>
                <w:sz w:val="24"/>
                <w:szCs w:val="24"/>
              </w:rPr>
            </w:pPr>
            <w:r w:rsidRPr="00ED5612">
              <w:rPr>
                <w:sz w:val="24"/>
                <w:szCs w:val="24"/>
              </w:rPr>
              <w:t>Suma</w:t>
            </w:r>
          </w:p>
          <w:p w:rsidR="00F03E15" w:rsidRPr="00ED5612" w:rsidRDefault="00F03E15" w:rsidP="0040123F">
            <w:pPr>
              <w:jc w:val="center"/>
              <w:rPr>
                <w:sz w:val="24"/>
                <w:szCs w:val="24"/>
              </w:rPr>
            </w:pPr>
            <w:r w:rsidRPr="00ED5612">
              <w:rPr>
                <w:sz w:val="24"/>
                <w:szCs w:val="24"/>
              </w:rPr>
              <w:t>tūkst. eurų</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Kulių miestelio inžinerinių statinių ir viešųjų erdvių sutvarkymas</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13,4</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 xml:space="preserve">Buvusio mokyklos pastato dalies ir viešųjų erdvių </w:t>
            </w:r>
            <w:proofErr w:type="spellStart"/>
            <w:r w:rsidRPr="00ED5612">
              <w:rPr>
                <w:sz w:val="24"/>
                <w:szCs w:val="24"/>
              </w:rPr>
              <w:t>Narvaišių</w:t>
            </w:r>
            <w:proofErr w:type="spellEnd"/>
            <w:r w:rsidRPr="00ED5612">
              <w:rPr>
                <w:sz w:val="24"/>
                <w:szCs w:val="24"/>
              </w:rPr>
              <w:t xml:space="preserve"> kaime kompleksiškas atnaujinimas </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77,6</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Tunelinio viaduko po geležinkeliu Plungės m. Dariaus ir Girėno g. įrengimas</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290,9</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 xml:space="preserve">Aktyvaus poilsio ir pramogų zonos sukūrimas Plungės m. M. Oginskio dvaro teritorijoje, prie autobusų stoties </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354,1</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 xml:space="preserve">Plungės rajono </w:t>
            </w:r>
            <w:proofErr w:type="spellStart"/>
            <w:r w:rsidRPr="00ED5612">
              <w:rPr>
                <w:sz w:val="24"/>
                <w:szCs w:val="24"/>
              </w:rPr>
              <w:t>Žem</w:t>
            </w:r>
            <w:proofErr w:type="spellEnd"/>
            <w:r w:rsidRPr="00ED5612">
              <w:rPr>
                <w:sz w:val="24"/>
                <w:szCs w:val="24"/>
              </w:rPr>
              <w:t>. Kalvarijos kadastrinės vietovės dalies melioracijos sistemų rekonstrukcija (melioracijos sistemų naudotojų asociacija „</w:t>
            </w:r>
            <w:proofErr w:type="spellStart"/>
            <w:r w:rsidRPr="00ED5612">
              <w:rPr>
                <w:sz w:val="24"/>
                <w:szCs w:val="24"/>
              </w:rPr>
              <w:t>Alksnos</w:t>
            </w:r>
            <w:proofErr w:type="spellEnd"/>
            <w:r w:rsidRPr="00ED5612">
              <w:rPr>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25,1</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 xml:space="preserve">Plungės rajono </w:t>
            </w:r>
            <w:proofErr w:type="spellStart"/>
            <w:r w:rsidRPr="00ED5612">
              <w:rPr>
                <w:sz w:val="24"/>
                <w:szCs w:val="24"/>
              </w:rPr>
              <w:t>Žem</w:t>
            </w:r>
            <w:proofErr w:type="spellEnd"/>
            <w:r w:rsidRPr="00ED5612">
              <w:rPr>
                <w:sz w:val="24"/>
                <w:szCs w:val="24"/>
              </w:rPr>
              <w:t>. Kalvarijos kadastrinės vietovės dalies melioracijos sistemų rekonstrukcija (melioracijos sistemų naudotojų asociacija „</w:t>
            </w:r>
            <w:proofErr w:type="spellStart"/>
            <w:r w:rsidRPr="00ED5612">
              <w:rPr>
                <w:sz w:val="24"/>
                <w:szCs w:val="24"/>
              </w:rPr>
              <w:t>Ajerynė</w:t>
            </w:r>
            <w:proofErr w:type="spellEnd"/>
            <w:r w:rsidRPr="00ED5612">
              <w:rPr>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26,7</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rsidP="00390304">
            <w:pPr>
              <w:jc w:val="both"/>
              <w:rPr>
                <w:sz w:val="24"/>
                <w:szCs w:val="24"/>
              </w:rPr>
            </w:pPr>
            <w:r w:rsidRPr="00ED5612">
              <w:rPr>
                <w:sz w:val="24"/>
                <w:szCs w:val="24"/>
              </w:rPr>
              <w:t xml:space="preserve">Plungės rajono </w:t>
            </w:r>
            <w:proofErr w:type="spellStart"/>
            <w:r w:rsidRPr="00ED5612">
              <w:rPr>
                <w:sz w:val="24"/>
                <w:szCs w:val="24"/>
              </w:rPr>
              <w:t>Didvyčių</w:t>
            </w:r>
            <w:proofErr w:type="spellEnd"/>
            <w:r w:rsidRPr="00ED5612">
              <w:rPr>
                <w:sz w:val="24"/>
                <w:szCs w:val="24"/>
              </w:rPr>
              <w:t xml:space="preserve"> ir </w:t>
            </w:r>
            <w:proofErr w:type="spellStart"/>
            <w:r w:rsidRPr="00ED5612">
              <w:rPr>
                <w:sz w:val="24"/>
                <w:szCs w:val="24"/>
              </w:rPr>
              <w:t>Šateikių</w:t>
            </w:r>
            <w:proofErr w:type="spellEnd"/>
            <w:r w:rsidRPr="00ED5612">
              <w:rPr>
                <w:sz w:val="24"/>
                <w:szCs w:val="24"/>
              </w:rPr>
              <w:t xml:space="preserve"> kadastro vietovių melioracijos statinių naudotojų asociacijos dalies melioracijos statinių rekonstravimas (melioracijos statinių naudotojų asociacija Žalioji </w:t>
            </w:r>
            <w:proofErr w:type="spellStart"/>
            <w:r w:rsidRPr="00ED5612">
              <w:rPr>
                <w:sz w:val="24"/>
                <w:szCs w:val="24"/>
              </w:rPr>
              <w:t>Liepupė</w:t>
            </w:r>
            <w:proofErr w:type="spellEnd"/>
            <w:r w:rsidRPr="00ED5612">
              <w:rPr>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18,8</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Vandens transporto priemonių nuleidimo vietų projektavimas ir įrengimas Plungės rajone</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64,4</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 xml:space="preserve">Paviršinių nuotekų sistemų tvarkymas Plungės mieste </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49,8</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Teikiamų paslaugų procesų tobulinimas ir aptarnavimo kokybės gerinimas Plungės rajono savivaldybėje</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1,5</w:t>
            </w:r>
          </w:p>
        </w:tc>
      </w:tr>
      <w:tr w:rsidR="00F03E15" w:rsidRPr="00ED5612"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 xml:space="preserve">Plungės miesto poilsio ir rekreacijos zonų sukūrimas prie Babrungo upės ir </w:t>
            </w:r>
            <w:proofErr w:type="spellStart"/>
            <w:r w:rsidRPr="00ED5612">
              <w:rPr>
                <w:sz w:val="24"/>
                <w:szCs w:val="24"/>
              </w:rPr>
              <w:t>Gondingos</w:t>
            </w:r>
            <w:proofErr w:type="spellEnd"/>
            <w:r w:rsidRPr="00ED5612">
              <w:rPr>
                <w:sz w:val="24"/>
                <w:szCs w:val="24"/>
              </w:rPr>
              <w:t xml:space="preserve"> hidroelektrinės tvenkinio bei prieigų prie jų sutvarkymas</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sz w:val="24"/>
                <w:szCs w:val="24"/>
              </w:rPr>
            </w:pPr>
            <w:r w:rsidRPr="00ED5612">
              <w:rPr>
                <w:sz w:val="24"/>
                <w:szCs w:val="24"/>
              </w:rPr>
              <w:t>3,5</w:t>
            </w:r>
          </w:p>
        </w:tc>
      </w:tr>
      <w:tr w:rsidR="00F03E15" w:rsidRPr="00ED5612" w:rsidTr="00F03E15">
        <w:tc>
          <w:tcPr>
            <w:tcW w:w="8294" w:type="dxa"/>
            <w:tcBorders>
              <w:top w:val="single" w:sz="4" w:space="0" w:color="auto"/>
              <w:left w:val="single" w:sz="4" w:space="0" w:color="auto"/>
              <w:bottom w:val="single" w:sz="4" w:space="0" w:color="auto"/>
              <w:right w:val="single" w:sz="4" w:space="0" w:color="auto"/>
            </w:tcBorders>
            <w:hideMark/>
          </w:tcPr>
          <w:p w:rsidR="00F03E15" w:rsidRPr="00ED5612" w:rsidRDefault="00F03E15" w:rsidP="000B7B50">
            <w:pPr>
              <w:jc w:val="center"/>
              <w:rPr>
                <w:b/>
                <w:sz w:val="24"/>
                <w:szCs w:val="24"/>
              </w:rPr>
            </w:pPr>
            <w:r w:rsidRPr="00ED5612">
              <w:rPr>
                <w:b/>
                <w:sz w:val="24"/>
                <w:szCs w:val="24"/>
              </w:rPr>
              <w:t>Iš viso</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F03E15">
            <w:pPr>
              <w:jc w:val="both"/>
              <w:rPr>
                <w:b/>
                <w:sz w:val="24"/>
                <w:szCs w:val="24"/>
              </w:rPr>
            </w:pPr>
            <w:r w:rsidRPr="00ED5612">
              <w:rPr>
                <w:b/>
                <w:sz w:val="24"/>
                <w:szCs w:val="24"/>
              </w:rPr>
              <w:t>925,8</w:t>
            </w:r>
          </w:p>
        </w:tc>
      </w:tr>
    </w:tbl>
    <w:p w:rsidR="000B7B50" w:rsidRPr="00ED5612" w:rsidRDefault="00F03E15" w:rsidP="00F03E15">
      <w:pPr>
        <w:jc w:val="both"/>
        <w:rPr>
          <w:sz w:val="24"/>
          <w:szCs w:val="24"/>
        </w:rPr>
      </w:pPr>
      <w:r w:rsidRPr="00ED5612">
        <w:rPr>
          <w:sz w:val="24"/>
          <w:szCs w:val="24"/>
        </w:rPr>
        <w:t xml:space="preserve">            </w:t>
      </w:r>
    </w:p>
    <w:p w:rsidR="00FD2700" w:rsidRPr="00ED5612" w:rsidRDefault="000B7B50" w:rsidP="00F03E15">
      <w:pPr>
        <w:jc w:val="both"/>
        <w:rPr>
          <w:sz w:val="24"/>
          <w:szCs w:val="24"/>
        </w:rPr>
      </w:pPr>
      <w:r w:rsidRPr="00ED5612">
        <w:rPr>
          <w:sz w:val="24"/>
          <w:szCs w:val="24"/>
        </w:rPr>
        <w:t xml:space="preserve">           </w:t>
      </w:r>
      <w:r w:rsidR="00F03E15" w:rsidRPr="00ED5612">
        <w:rPr>
          <w:sz w:val="24"/>
          <w:szCs w:val="24"/>
        </w:rPr>
        <w:t xml:space="preserve"> </w:t>
      </w:r>
    </w:p>
    <w:p w:rsidR="00F03E15" w:rsidRPr="00ED5612" w:rsidRDefault="00F03E15" w:rsidP="002A1186">
      <w:pPr>
        <w:ind w:firstLine="720"/>
        <w:jc w:val="both"/>
        <w:rPr>
          <w:sz w:val="24"/>
          <w:szCs w:val="24"/>
        </w:rPr>
      </w:pPr>
      <w:r w:rsidRPr="00ED5612">
        <w:rPr>
          <w:sz w:val="24"/>
          <w:szCs w:val="24"/>
        </w:rPr>
        <w:t xml:space="preserve">Per 2018 metus buvo sumokėta 52,8 tūkst. eurų palūkanų (per 2017 metus buvo sumokėta 54,1 tūkst. eurų palūkanų).  </w:t>
      </w:r>
    </w:p>
    <w:p w:rsidR="00F03E15" w:rsidRPr="00ED5612" w:rsidRDefault="000B7B50" w:rsidP="002A1186">
      <w:pPr>
        <w:ind w:firstLine="720"/>
        <w:jc w:val="both"/>
        <w:rPr>
          <w:sz w:val="24"/>
          <w:szCs w:val="24"/>
        </w:rPr>
      </w:pPr>
      <w:r w:rsidRPr="00ED5612">
        <w:rPr>
          <w:sz w:val="24"/>
          <w:szCs w:val="24"/>
        </w:rPr>
        <w:lastRenderedPageBreak/>
        <w:t>Savivaldybės skola neviršijo</w:t>
      </w:r>
      <w:r w:rsidR="00F03E15" w:rsidRPr="00ED5612">
        <w:rPr>
          <w:sz w:val="24"/>
          <w:szCs w:val="24"/>
        </w:rPr>
        <w:t xml:space="preserve"> finansinių rodiklių įstatymu nustatyto skolinimosi limito.</w:t>
      </w:r>
    </w:p>
    <w:p w:rsidR="00AE588E" w:rsidRPr="00ED5612" w:rsidRDefault="000B7B50" w:rsidP="002A1186">
      <w:pPr>
        <w:ind w:firstLine="720"/>
        <w:jc w:val="both"/>
        <w:rPr>
          <w:sz w:val="24"/>
          <w:szCs w:val="24"/>
        </w:rPr>
      </w:pPr>
      <w:r w:rsidRPr="00ED5612">
        <w:rPr>
          <w:sz w:val="24"/>
          <w:szCs w:val="24"/>
        </w:rPr>
        <w:t>2018</w:t>
      </w:r>
      <w:r w:rsidR="00AE588E" w:rsidRPr="00ED5612">
        <w:rPr>
          <w:sz w:val="24"/>
          <w:szCs w:val="24"/>
        </w:rPr>
        <w:t xml:space="preserve"> metais </w:t>
      </w:r>
      <w:r w:rsidRPr="00ED5612">
        <w:rPr>
          <w:sz w:val="24"/>
          <w:szCs w:val="24"/>
        </w:rPr>
        <w:t>skolintos lėšos buvo imamos iš 1</w:t>
      </w:r>
      <w:r w:rsidR="00AE588E" w:rsidRPr="00ED5612">
        <w:rPr>
          <w:sz w:val="24"/>
          <w:szCs w:val="24"/>
        </w:rPr>
        <w:t xml:space="preserve"> pas</w:t>
      </w:r>
      <w:r w:rsidR="008E68A9" w:rsidRPr="00ED5612">
        <w:rPr>
          <w:sz w:val="24"/>
          <w:szCs w:val="24"/>
        </w:rPr>
        <w:t>kolos</w:t>
      </w:r>
      <w:r w:rsidRPr="00ED5612">
        <w:rPr>
          <w:sz w:val="24"/>
          <w:szCs w:val="24"/>
        </w:rPr>
        <w:t xml:space="preserve"> pagal pasirašytą</w:t>
      </w:r>
      <w:r w:rsidR="00AE588E" w:rsidRPr="00ED5612">
        <w:rPr>
          <w:sz w:val="24"/>
          <w:szCs w:val="24"/>
        </w:rPr>
        <w:t xml:space="preserve"> su AB </w:t>
      </w:r>
      <w:proofErr w:type="spellStart"/>
      <w:r w:rsidR="00AE588E" w:rsidRPr="00ED5612">
        <w:rPr>
          <w:sz w:val="24"/>
          <w:szCs w:val="24"/>
        </w:rPr>
        <w:t>Danske</w:t>
      </w:r>
      <w:proofErr w:type="spellEnd"/>
      <w:r w:rsidR="00AE588E" w:rsidRPr="00ED5612">
        <w:rPr>
          <w:sz w:val="24"/>
          <w:szCs w:val="24"/>
        </w:rPr>
        <w:t xml:space="preserve"> </w:t>
      </w:r>
      <w:proofErr w:type="spellStart"/>
      <w:r w:rsidR="00AE588E" w:rsidRPr="00ED5612">
        <w:rPr>
          <w:sz w:val="24"/>
          <w:szCs w:val="24"/>
        </w:rPr>
        <w:t>Ba</w:t>
      </w:r>
      <w:r w:rsidRPr="00ED5612">
        <w:rPr>
          <w:sz w:val="24"/>
          <w:szCs w:val="24"/>
        </w:rPr>
        <w:t>nk</w:t>
      </w:r>
      <w:proofErr w:type="spellEnd"/>
      <w:r w:rsidRPr="00ED5612">
        <w:rPr>
          <w:sz w:val="24"/>
          <w:szCs w:val="24"/>
        </w:rPr>
        <w:t xml:space="preserve"> A/S Lietuvos filialu sutartį. Šios paskolos</w:t>
      </w:r>
      <w:r w:rsidR="00AE588E" w:rsidRPr="00ED5612">
        <w:rPr>
          <w:sz w:val="24"/>
          <w:szCs w:val="24"/>
        </w:rPr>
        <w:t xml:space="preserve"> panaudojimo sąrašai buvo tvirtinti ir keisti  Savivaldybės administracijos  direktori</w:t>
      </w:r>
      <w:r w:rsidR="00490A89" w:rsidRPr="00ED5612">
        <w:rPr>
          <w:sz w:val="24"/>
          <w:szCs w:val="24"/>
        </w:rPr>
        <w:t>a</w:t>
      </w:r>
      <w:r w:rsidR="00AE588E" w:rsidRPr="00ED5612">
        <w:rPr>
          <w:sz w:val="24"/>
          <w:szCs w:val="24"/>
        </w:rPr>
        <w:t>us įsakymais.</w:t>
      </w:r>
    </w:p>
    <w:p w:rsidR="00444670" w:rsidRPr="00ED5612" w:rsidRDefault="000B7B50" w:rsidP="002A1186">
      <w:pPr>
        <w:ind w:firstLine="720"/>
        <w:jc w:val="both"/>
        <w:rPr>
          <w:sz w:val="24"/>
          <w:szCs w:val="24"/>
        </w:rPr>
      </w:pPr>
      <w:r w:rsidRPr="00ED5612">
        <w:rPr>
          <w:sz w:val="24"/>
          <w:szCs w:val="24"/>
        </w:rPr>
        <w:t>Savivaldybės įmonių paskolų, kurioms suteiktos garantijos, likutis 2018 m. gruodžio 31  d.  sudarė 393,2 tūkst. eurų.</w:t>
      </w:r>
      <w:r w:rsidR="00AE588E" w:rsidRPr="00ED5612">
        <w:rPr>
          <w:sz w:val="24"/>
          <w:szCs w:val="24"/>
        </w:rPr>
        <w:t xml:space="preserve"> </w:t>
      </w:r>
      <w:r w:rsidRPr="00ED5612">
        <w:rPr>
          <w:sz w:val="24"/>
          <w:szCs w:val="24"/>
        </w:rPr>
        <w:t>G</w:t>
      </w:r>
      <w:r w:rsidR="00CC3F7A" w:rsidRPr="00ED5612">
        <w:rPr>
          <w:sz w:val="24"/>
          <w:szCs w:val="24"/>
        </w:rPr>
        <w:t>arantij</w:t>
      </w:r>
      <w:r w:rsidR="00444670" w:rsidRPr="00ED5612">
        <w:rPr>
          <w:sz w:val="24"/>
          <w:szCs w:val="24"/>
        </w:rPr>
        <w:t>os</w:t>
      </w:r>
      <w:r w:rsidR="00CC3F7A" w:rsidRPr="00ED5612">
        <w:rPr>
          <w:sz w:val="24"/>
          <w:szCs w:val="24"/>
        </w:rPr>
        <w:t xml:space="preserve"> </w:t>
      </w:r>
      <w:r w:rsidRPr="00ED5612">
        <w:rPr>
          <w:sz w:val="24"/>
          <w:szCs w:val="24"/>
        </w:rPr>
        <w:t xml:space="preserve">suteiktos </w:t>
      </w:r>
      <w:r w:rsidR="00CC3F7A" w:rsidRPr="00ED5612">
        <w:rPr>
          <w:sz w:val="24"/>
          <w:szCs w:val="24"/>
        </w:rPr>
        <w:t xml:space="preserve">dėl </w:t>
      </w:r>
      <w:r w:rsidR="0094184A" w:rsidRPr="00ED5612">
        <w:rPr>
          <w:sz w:val="24"/>
          <w:szCs w:val="24"/>
        </w:rPr>
        <w:t xml:space="preserve">1,8 </w:t>
      </w:r>
      <w:r w:rsidR="00CC3F7A" w:rsidRPr="00ED5612">
        <w:rPr>
          <w:sz w:val="24"/>
          <w:szCs w:val="24"/>
        </w:rPr>
        <w:t>mln.</w:t>
      </w:r>
      <w:r w:rsidR="0094184A" w:rsidRPr="00ED5612">
        <w:rPr>
          <w:sz w:val="24"/>
          <w:szCs w:val="24"/>
        </w:rPr>
        <w:t xml:space="preserve"> </w:t>
      </w:r>
      <w:r w:rsidR="00CC3F7A" w:rsidRPr="00ED5612">
        <w:rPr>
          <w:sz w:val="24"/>
          <w:szCs w:val="24"/>
        </w:rPr>
        <w:t xml:space="preserve">UAB </w:t>
      </w:r>
      <w:r w:rsidR="00E40E34" w:rsidRPr="00ED5612">
        <w:rPr>
          <w:sz w:val="24"/>
          <w:szCs w:val="24"/>
        </w:rPr>
        <w:t>„</w:t>
      </w:r>
      <w:r w:rsidR="00CC3F7A" w:rsidRPr="00ED5612">
        <w:rPr>
          <w:sz w:val="24"/>
          <w:szCs w:val="24"/>
        </w:rPr>
        <w:t>Plungės šilumos tinklai</w:t>
      </w:r>
      <w:r w:rsidR="00E40E34" w:rsidRPr="00ED5612">
        <w:rPr>
          <w:sz w:val="24"/>
          <w:szCs w:val="24"/>
        </w:rPr>
        <w:t>“</w:t>
      </w:r>
      <w:r w:rsidR="00CC3F7A" w:rsidRPr="00ED5612">
        <w:rPr>
          <w:sz w:val="24"/>
          <w:szCs w:val="24"/>
        </w:rPr>
        <w:t xml:space="preserve">  paskolos</w:t>
      </w:r>
      <w:r w:rsidR="0094184A" w:rsidRPr="00ED5612">
        <w:rPr>
          <w:sz w:val="24"/>
          <w:szCs w:val="24"/>
        </w:rPr>
        <w:t xml:space="preserve">, paimtos investicijų projektui „Naujo biokuro katilo įrengimas Lentpjūvės g. katilinėje, </w:t>
      </w:r>
      <w:r w:rsidR="00444670" w:rsidRPr="00ED5612">
        <w:rPr>
          <w:sz w:val="24"/>
          <w:szCs w:val="24"/>
        </w:rPr>
        <w:t>panaikinant Telšių g. dujinę katilinę“</w:t>
      </w:r>
      <w:r w:rsidR="0094184A" w:rsidRPr="00ED5612">
        <w:rPr>
          <w:sz w:val="24"/>
          <w:szCs w:val="24"/>
        </w:rPr>
        <w:t xml:space="preserve"> </w:t>
      </w:r>
      <w:r w:rsidR="00CC3F7A" w:rsidRPr="00ED5612">
        <w:rPr>
          <w:sz w:val="24"/>
          <w:szCs w:val="24"/>
        </w:rPr>
        <w:t xml:space="preserve"> 868</w:t>
      </w:r>
      <w:r w:rsidR="0094184A" w:rsidRPr="00ED5612">
        <w:rPr>
          <w:sz w:val="24"/>
          <w:szCs w:val="24"/>
        </w:rPr>
        <w:t xml:space="preserve">,9 tūkst. </w:t>
      </w:r>
      <w:r w:rsidR="00CC3F7A" w:rsidRPr="00ED5612">
        <w:rPr>
          <w:sz w:val="24"/>
          <w:szCs w:val="24"/>
        </w:rPr>
        <w:t>eurų dalies</w:t>
      </w:r>
      <w:r w:rsidR="008E68A9" w:rsidRPr="00ED5612">
        <w:rPr>
          <w:sz w:val="24"/>
          <w:szCs w:val="24"/>
        </w:rPr>
        <w:t>,</w:t>
      </w:r>
      <w:r w:rsidRPr="00ED5612">
        <w:rPr>
          <w:sz w:val="24"/>
          <w:szCs w:val="24"/>
        </w:rPr>
        <w:t xml:space="preserve"> bei </w:t>
      </w:r>
      <w:r w:rsidR="00444670" w:rsidRPr="00ED5612">
        <w:rPr>
          <w:sz w:val="24"/>
          <w:szCs w:val="24"/>
        </w:rPr>
        <w:t xml:space="preserve">uždarosios akcinės bendrovės „Telšių regiono atliekų tvarkymo centras“ septyneriems metams imamos </w:t>
      </w:r>
      <w:r w:rsidRPr="00ED5612">
        <w:rPr>
          <w:sz w:val="24"/>
          <w:szCs w:val="24"/>
        </w:rPr>
        <w:t>599,0</w:t>
      </w:r>
      <w:r w:rsidR="00444670" w:rsidRPr="00ED5612">
        <w:rPr>
          <w:sz w:val="24"/>
          <w:szCs w:val="24"/>
        </w:rPr>
        <w:t xml:space="preserve"> tūkst. eurų </w:t>
      </w:r>
      <w:r w:rsidRPr="00ED5612">
        <w:rPr>
          <w:sz w:val="24"/>
          <w:szCs w:val="24"/>
        </w:rPr>
        <w:t>158 tūkst</w:t>
      </w:r>
      <w:r w:rsidR="00390304">
        <w:rPr>
          <w:sz w:val="24"/>
          <w:szCs w:val="24"/>
        </w:rPr>
        <w:t>.</w:t>
      </w:r>
      <w:r w:rsidRPr="00390304">
        <w:rPr>
          <w:sz w:val="24"/>
          <w:szCs w:val="24"/>
        </w:rPr>
        <w:t xml:space="preserve"> eurų </w:t>
      </w:r>
      <w:r w:rsidR="00444670" w:rsidRPr="00390304">
        <w:rPr>
          <w:sz w:val="24"/>
          <w:szCs w:val="24"/>
        </w:rPr>
        <w:t xml:space="preserve">paskolos </w:t>
      </w:r>
      <w:r w:rsidRPr="00390304">
        <w:rPr>
          <w:sz w:val="24"/>
          <w:szCs w:val="24"/>
        </w:rPr>
        <w:t xml:space="preserve">dalies </w:t>
      </w:r>
      <w:r w:rsidR="00444670" w:rsidRPr="00ED5612">
        <w:rPr>
          <w:sz w:val="24"/>
          <w:szCs w:val="24"/>
        </w:rPr>
        <w:t>projekto „Komunalinių atliekų tvarkymo infrastruktūros plėtra Telšių regione“ finansavimui</w:t>
      </w:r>
      <w:r w:rsidRPr="00ED5612">
        <w:rPr>
          <w:sz w:val="24"/>
          <w:szCs w:val="24"/>
        </w:rPr>
        <w:t>.</w:t>
      </w:r>
      <w:r w:rsidR="00444670" w:rsidRPr="00ED5612">
        <w:rPr>
          <w:sz w:val="24"/>
          <w:szCs w:val="24"/>
        </w:rPr>
        <w:t xml:space="preserve"> </w:t>
      </w:r>
    </w:p>
    <w:p w:rsidR="00EB6A53" w:rsidRPr="00ED5612" w:rsidRDefault="000B7B50" w:rsidP="002A1186">
      <w:pPr>
        <w:ind w:firstLine="720"/>
        <w:jc w:val="both"/>
        <w:rPr>
          <w:sz w:val="24"/>
          <w:szCs w:val="24"/>
        </w:rPr>
      </w:pPr>
      <w:r w:rsidRPr="00ED5612">
        <w:rPr>
          <w:sz w:val="24"/>
          <w:szCs w:val="24"/>
        </w:rPr>
        <w:t>2018</w:t>
      </w:r>
      <w:r w:rsidR="00AE588E" w:rsidRPr="00ED5612">
        <w:rPr>
          <w:sz w:val="24"/>
          <w:szCs w:val="24"/>
        </w:rPr>
        <w:t xml:space="preserve"> m. gruodžio 31 d. Savivaldybė turėjo įsipareigojimų komerciniams bankams ir Finansų ministerijai dėl paskolų grąžinimo iki 2027 metų. </w:t>
      </w:r>
      <w:r w:rsidR="00454D46">
        <w:rPr>
          <w:sz w:val="24"/>
          <w:szCs w:val="24"/>
        </w:rPr>
        <w:t>10</w:t>
      </w:r>
      <w:r w:rsidR="00AE588E" w:rsidRPr="00ED5612">
        <w:rPr>
          <w:sz w:val="24"/>
          <w:szCs w:val="24"/>
        </w:rPr>
        <w:t xml:space="preserve"> lentelėje parodyta, kaip išdėstytas paimtų ilgalaikių paskolų atidavimas iki </w:t>
      </w:r>
      <w:r w:rsidRPr="00ED5612">
        <w:rPr>
          <w:sz w:val="24"/>
          <w:szCs w:val="24"/>
        </w:rPr>
        <w:t>2027 metų ir kokios 2018</w:t>
      </w:r>
      <w:r w:rsidR="00AE588E" w:rsidRPr="00ED5612">
        <w:rPr>
          <w:sz w:val="24"/>
          <w:szCs w:val="24"/>
        </w:rPr>
        <w:t xml:space="preserve"> m. pabaigoje buvo dabar turimų ilgalaikių paskolų palūkanos.</w:t>
      </w:r>
    </w:p>
    <w:p w:rsidR="00BD488F" w:rsidRPr="00ED5612" w:rsidRDefault="00BD488F" w:rsidP="00B92CCC">
      <w:pPr>
        <w:ind w:firstLine="720"/>
        <w:jc w:val="both"/>
        <w:rPr>
          <w:sz w:val="24"/>
          <w:szCs w:val="24"/>
        </w:rPr>
      </w:pPr>
    </w:p>
    <w:p w:rsidR="00BD488F" w:rsidRPr="00ED5612" w:rsidRDefault="00454D46" w:rsidP="00490A89">
      <w:pPr>
        <w:jc w:val="center"/>
        <w:rPr>
          <w:b/>
          <w:sz w:val="24"/>
          <w:szCs w:val="24"/>
        </w:rPr>
      </w:pPr>
      <w:r>
        <w:rPr>
          <w:b/>
          <w:sz w:val="24"/>
          <w:szCs w:val="24"/>
        </w:rPr>
        <w:t>10</w:t>
      </w:r>
      <w:r w:rsidR="00490A89" w:rsidRPr="00ED5612">
        <w:rPr>
          <w:b/>
          <w:sz w:val="24"/>
          <w:szCs w:val="24"/>
        </w:rPr>
        <w:t xml:space="preserve"> lentelė. Paimtų ilgalaikių paskolų atidavimas iki 2027 metų</w:t>
      </w:r>
    </w:p>
    <w:p w:rsidR="00490A89" w:rsidRPr="00ED5612" w:rsidRDefault="00490A89" w:rsidP="00BD488F">
      <w:pPr>
        <w:jc w:val="both"/>
      </w:pPr>
    </w:p>
    <w:p w:rsidR="004E5E06" w:rsidRPr="00390304" w:rsidRDefault="00B66010" w:rsidP="00A43BC2">
      <w:pPr>
        <w:jc w:val="both"/>
        <w:rPr>
          <w:sz w:val="24"/>
          <w:szCs w:val="24"/>
        </w:rPr>
      </w:pPr>
      <w:r w:rsidRPr="009F7D43">
        <w:rPr>
          <w:noProof/>
          <w:lang w:eastAsia="lt-LT"/>
        </w:rPr>
        <w:drawing>
          <wp:inline distT="0" distB="0" distL="0" distR="0" wp14:anchorId="74D6D672" wp14:editId="70EDBAAA">
            <wp:extent cx="6012815" cy="4208378"/>
            <wp:effectExtent l="0" t="0" r="6985" b="190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2815" cy="4208378"/>
                    </a:xfrm>
                    <a:prstGeom prst="rect">
                      <a:avLst/>
                    </a:prstGeom>
                    <a:noFill/>
                    <a:ln>
                      <a:noFill/>
                    </a:ln>
                  </pic:spPr>
                </pic:pic>
              </a:graphicData>
            </a:graphic>
          </wp:inline>
        </w:drawing>
      </w:r>
      <w:r w:rsidR="00AE588E" w:rsidRPr="009F7D43">
        <w:rPr>
          <w:sz w:val="24"/>
          <w:szCs w:val="24"/>
        </w:rPr>
        <w:tab/>
      </w:r>
      <w:r w:rsidR="003E1DC9" w:rsidRPr="00390304">
        <w:rPr>
          <w:sz w:val="24"/>
          <w:szCs w:val="24"/>
        </w:rPr>
        <w:t xml:space="preserve">            </w:t>
      </w:r>
    </w:p>
    <w:p w:rsidR="00782D92" w:rsidRPr="00ED5612" w:rsidRDefault="008E68A9" w:rsidP="002A1186">
      <w:pPr>
        <w:tabs>
          <w:tab w:val="left" w:pos="709"/>
        </w:tabs>
        <w:ind w:firstLine="720"/>
        <w:jc w:val="both"/>
        <w:rPr>
          <w:sz w:val="24"/>
          <w:szCs w:val="24"/>
        </w:rPr>
      </w:pPr>
      <w:r w:rsidRPr="00ED5612">
        <w:rPr>
          <w:sz w:val="24"/>
          <w:szCs w:val="24"/>
        </w:rPr>
        <w:t>Per 2018</w:t>
      </w:r>
      <w:r w:rsidR="00AE588E" w:rsidRPr="00ED5612">
        <w:rPr>
          <w:sz w:val="24"/>
          <w:szCs w:val="24"/>
        </w:rPr>
        <w:t xml:space="preserve"> metus buvo sumokėta </w:t>
      </w:r>
      <w:r w:rsidRPr="00ED5612">
        <w:rPr>
          <w:sz w:val="24"/>
          <w:szCs w:val="24"/>
        </w:rPr>
        <w:t>52,8 tūkst. eurų palūkanų (per 2017</w:t>
      </w:r>
      <w:r w:rsidR="00AE588E" w:rsidRPr="00ED5612">
        <w:rPr>
          <w:sz w:val="24"/>
          <w:szCs w:val="24"/>
        </w:rPr>
        <w:t xml:space="preserve"> metus buvo sumokėta </w:t>
      </w:r>
      <w:r w:rsidRPr="00ED5612">
        <w:rPr>
          <w:sz w:val="24"/>
          <w:szCs w:val="24"/>
        </w:rPr>
        <w:t>54,1</w:t>
      </w:r>
      <w:r w:rsidR="00AE588E" w:rsidRPr="00ED5612">
        <w:rPr>
          <w:sz w:val="24"/>
          <w:szCs w:val="24"/>
        </w:rPr>
        <w:t xml:space="preserve"> tūkst. eurų palūkanų). Sumokamų palūkanų suma </w:t>
      </w:r>
      <w:r w:rsidRPr="00ED5612">
        <w:rPr>
          <w:sz w:val="24"/>
          <w:szCs w:val="24"/>
        </w:rPr>
        <w:t>mažėja</w:t>
      </w:r>
      <w:r w:rsidR="00AE588E" w:rsidRPr="00ED5612">
        <w:rPr>
          <w:sz w:val="24"/>
          <w:szCs w:val="24"/>
        </w:rPr>
        <w:t xml:space="preserve">, nes mažėjo tarpbankinės palūkanų normos EURIBOR, kurių pagrindu sudarytos sutartys. </w:t>
      </w:r>
      <w:r w:rsidR="0009160C" w:rsidRPr="00ED5612">
        <w:rPr>
          <w:sz w:val="24"/>
          <w:szCs w:val="24"/>
        </w:rPr>
        <w:t>Paskolų likučio ir p</w:t>
      </w:r>
      <w:r w:rsidR="006C541A" w:rsidRPr="00ED5612">
        <w:rPr>
          <w:sz w:val="24"/>
          <w:szCs w:val="24"/>
        </w:rPr>
        <w:t>alūk</w:t>
      </w:r>
      <w:r w:rsidR="00EB6A53" w:rsidRPr="00ED5612">
        <w:rPr>
          <w:sz w:val="24"/>
          <w:szCs w:val="24"/>
        </w:rPr>
        <w:t>anų mokėjimo dinamika</w:t>
      </w:r>
      <w:r w:rsidR="00ED712B">
        <w:rPr>
          <w:sz w:val="24"/>
          <w:szCs w:val="24"/>
        </w:rPr>
        <w:t xml:space="preserve"> parodyta 11</w:t>
      </w:r>
      <w:r w:rsidR="005473E4" w:rsidRPr="00ED5612">
        <w:rPr>
          <w:sz w:val="24"/>
          <w:szCs w:val="24"/>
        </w:rPr>
        <w:t xml:space="preserve"> paveiksle.</w:t>
      </w:r>
      <w:r w:rsidR="006C541A" w:rsidRPr="00ED5612">
        <w:rPr>
          <w:sz w:val="24"/>
          <w:szCs w:val="24"/>
        </w:rPr>
        <w:t xml:space="preserve"> </w:t>
      </w:r>
      <w:r w:rsidR="005473E4" w:rsidRPr="00ED5612">
        <w:rPr>
          <w:sz w:val="24"/>
          <w:szCs w:val="24"/>
        </w:rPr>
        <w:t>Iš jo</w:t>
      </w:r>
      <w:r w:rsidR="006C541A" w:rsidRPr="00ED5612">
        <w:rPr>
          <w:sz w:val="24"/>
          <w:szCs w:val="24"/>
        </w:rPr>
        <w:t xml:space="preserve"> matyti, kad palūkanų </w:t>
      </w:r>
      <w:r w:rsidR="005E6513" w:rsidRPr="00ED5612">
        <w:rPr>
          <w:sz w:val="24"/>
          <w:szCs w:val="24"/>
        </w:rPr>
        <w:t xml:space="preserve">kasmet </w:t>
      </w:r>
      <w:r w:rsidR="006C541A" w:rsidRPr="00ED5612">
        <w:rPr>
          <w:sz w:val="24"/>
          <w:szCs w:val="24"/>
        </w:rPr>
        <w:t>reikia mokėti mažiau, nors paskolų likutis ir</w:t>
      </w:r>
      <w:r w:rsidRPr="00ED5612">
        <w:rPr>
          <w:sz w:val="24"/>
          <w:szCs w:val="24"/>
        </w:rPr>
        <w:t xml:space="preserve"> didėjo, o pastaraisiais metais beveik nesikeičia.</w:t>
      </w:r>
    </w:p>
    <w:p w:rsidR="003E1DC9" w:rsidRPr="009F7D43" w:rsidRDefault="003E1DC9" w:rsidP="00690627">
      <w:pPr>
        <w:tabs>
          <w:tab w:val="left" w:pos="709"/>
        </w:tabs>
        <w:jc w:val="both"/>
        <w:rPr>
          <w:sz w:val="24"/>
          <w:szCs w:val="24"/>
        </w:rPr>
      </w:pPr>
      <w:r w:rsidRPr="00ED5612">
        <w:rPr>
          <w:sz w:val="24"/>
          <w:szCs w:val="24"/>
        </w:rPr>
        <w:lastRenderedPageBreak/>
        <w:t xml:space="preserve">                        </w:t>
      </w:r>
      <w:r w:rsidR="003A46AC" w:rsidRPr="009F7D43">
        <w:rPr>
          <w:noProof/>
          <w:lang w:eastAsia="lt-LT"/>
        </w:rPr>
        <w:drawing>
          <wp:inline distT="0" distB="0" distL="0" distR="0" wp14:anchorId="4B169182" wp14:editId="3BD908CF">
            <wp:extent cx="4712335" cy="2997835"/>
            <wp:effectExtent l="0" t="0" r="0" b="0"/>
            <wp:docPr id="1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1DC9" w:rsidRPr="00ED5612" w:rsidRDefault="003E1DC9" w:rsidP="005473E4">
      <w:pPr>
        <w:jc w:val="center"/>
      </w:pPr>
    </w:p>
    <w:p w:rsidR="00C942B3" w:rsidRPr="002A1186" w:rsidRDefault="00ED712B" w:rsidP="005473E4">
      <w:pPr>
        <w:jc w:val="center"/>
        <w:rPr>
          <w:b/>
          <w:sz w:val="24"/>
          <w:szCs w:val="24"/>
        </w:rPr>
      </w:pPr>
      <w:r>
        <w:rPr>
          <w:b/>
          <w:sz w:val="24"/>
          <w:szCs w:val="24"/>
        </w:rPr>
        <w:t>11</w:t>
      </w:r>
      <w:r w:rsidR="005473E4" w:rsidRPr="002A1186">
        <w:rPr>
          <w:b/>
          <w:sz w:val="24"/>
          <w:szCs w:val="24"/>
        </w:rPr>
        <w:t xml:space="preserve"> pav</w:t>
      </w:r>
      <w:r w:rsidR="006C541A" w:rsidRPr="002A1186">
        <w:rPr>
          <w:b/>
          <w:sz w:val="24"/>
          <w:szCs w:val="24"/>
        </w:rPr>
        <w:t xml:space="preserve">. </w:t>
      </w:r>
      <w:r w:rsidR="0009160C" w:rsidRPr="002A1186">
        <w:rPr>
          <w:b/>
          <w:sz w:val="24"/>
          <w:szCs w:val="24"/>
        </w:rPr>
        <w:t>Paskolų likučio ir p</w:t>
      </w:r>
      <w:r w:rsidR="006C541A" w:rsidRPr="002A1186">
        <w:rPr>
          <w:b/>
          <w:sz w:val="24"/>
          <w:szCs w:val="24"/>
        </w:rPr>
        <w:t>alūkanų mokėjimo dinamika 201</w:t>
      </w:r>
      <w:r w:rsidR="008E68A9" w:rsidRPr="002A1186">
        <w:rPr>
          <w:b/>
          <w:sz w:val="24"/>
          <w:szCs w:val="24"/>
        </w:rPr>
        <w:t>4- 2018</w:t>
      </w:r>
      <w:r w:rsidR="006C541A" w:rsidRPr="002A1186">
        <w:rPr>
          <w:b/>
          <w:sz w:val="24"/>
          <w:szCs w:val="24"/>
        </w:rPr>
        <w:t xml:space="preserve"> m.</w:t>
      </w:r>
      <w:r w:rsidR="009E4BF2" w:rsidRPr="002A1186">
        <w:rPr>
          <w:b/>
          <w:sz w:val="24"/>
          <w:szCs w:val="24"/>
        </w:rPr>
        <w:t>, tūkst. eurų</w:t>
      </w:r>
    </w:p>
    <w:tbl>
      <w:tblPr>
        <w:tblW w:w="1134" w:type="dxa"/>
        <w:tblInd w:w="8340" w:type="dxa"/>
        <w:tblLayout w:type="fixed"/>
        <w:tblLook w:val="0000" w:firstRow="0" w:lastRow="0" w:firstColumn="0" w:lastColumn="0" w:noHBand="0" w:noVBand="0"/>
      </w:tblPr>
      <w:tblGrid>
        <w:gridCol w:w="1134"/>
      </w:tblGrid>
      <w:tr w:rsidR="00C942B3" w:rsidRPr="00ED5612" w:rsidTr="005473E4">
        <w:trPr>
          <w:trHeight w:val="100"/>
        </w:trPr>
        <w:tc>
          <w:tcPr>
            <w:tcW w:w="1134" w:type="dxa"/>
          </w:tcPr>
          <w:p w:rsidR="00C942B3" w:rsidRPr="00ED5612" w:rsidRDefault="00C942B3" w:rsidP="00D1293A">
            <w:pPr>
              <w:jc w:val="both"/>
              <w:rPr>
                <w:sz w:val="24"/>
                <w:szCs w:val="24"/>
              </w:rPr>
            </w:pPr>
          </w:p>
        </w:tc>
      </w:tr>
    </w:tbl>
    <w:p w:rsidR="006C541A" w:rsidRPr="00ED5612" w:rsidRDefault="00BE5FC0" w:rsidP="006C541A">
      <w:pPr>
        <w:ind w:firstLine="720"/>
        <w:jc w:val="both"/>
        <w:rPr>
          <w:sz w:val="24"/>
          <w:szCs w:val="24"/>
        </w:rPr>
      </w:pPr>
      <w:r w:rsidRPr="00ED5612">
        <w:rPr>
          <w:sz w:val="24"/>
          <w:szCs w:val="24"/>
        </w:rPr>
        <w:t xml:space="preserve">EURIBOR kitimas parodytas </w:t>
      </w:r>
      <w:r w:rsidR="00EB6277">
        <w:rPr>
          <w:sz w:val="24"/>
          <w:szCs w:val="24"/>
        </w:rPr>
        <w:t>11</w:t>
      </w:r>
      <w:r w:rsidR="006C541A" w:rsidRPr="00ED5612">
        <w:rPr>
          <w:sz w:val="24"/>
          <w:szCs w:val="24"/>
        </w:rPr>
        <w:t xml:space="preserve"> lentelėje.</w:t>
      </w:r>
    </w:p>
    <w:p w:rsidR="008960BD" w:rsidRPr="00ED5612" w:rsidRDefault="008960BD" w:rsidP="006C541A">
      <w:pPr>
        <w:ind w:firstLine="720"/>
        <w:jc w:val="both"/>
        <w:rPr>
          <w:b/>
          <w:sz w:val="24"/>
          <w:szCs w:val="24"/>
        </w:rPr>
      </w:pPr>
    </w:p>
    <w:p w:rsidR="006C541A" w:rsidRDefault="00EB6277" w:rsidP="002A1186">
      <w:pPr>
        <w:ind w:firstLine="720"/>
        <w:jc w:val="center"/>
        <w:rPr>
          <w:b/>
          <w:sz w:val="24"/>
          <w:szCs w:val="24"/>
        </w:rPr>
      </w:pPr>
      <w:r>
        <w:rPr>
          <w:b/>
          <w:sz w:val="24"/>
          <w:szCs w:val="24"/>
        </w:rPr>
        <w:t>11</w:t>
      </w:r>
      <w:r w:rsidR="008960BD" w:rsidRPr="00ED5612">
        <w:rPr>
          <w:b/>
          <w:sz w:val="24"/>
          <w:szCs w:val="24"/>
        </w:rPr>
        <w:t xml:space="preserve"> </w:t>
      </w:r>
      <w:r w:rsidR="006C541A" w:rsidRPr="00ED5612">
        <w:rPr>
          <w:b/>
          <w:sz w:val="24"/>
          <w:szCs w:val="24"/>
        </w:rPr>
        <w:t>lentelė. 3 i</w:t>
      </w:r>
      <w:r w:rsidR="00127CFB" w:rsidRPr="00ED5612">
        <w:rPr>
          <w:b/>
          <w:sz w:val="24"/>
          <w:szCs w:val="24"/>
        </w:rPr>
        <w:t>r 6 mė</w:t>
      </w:r>
      <w:r w:rsidR="008E68A9" w:rsidRPr="00ED5612">
        <w:rPr>
          <w:b/>
          <w:sz w:val="24"/>
          <w:szCs w:val="24"/>
        </w:rPr>
        <w:t>nesių EUR</w:t>
      </w:r>
      <w:r w:rsidR="00191A44" w:rsidRPr="00ED5612">
        <w:rPr>
          <w:b/>
          <w:sz w:val="24"/>
          <w:szCs w:val="24"/>
        </w:rPr>
        <w:t>IBOR kitimas 2014</w:t>
      </w:r>
      <w:r w:rsidR="008E68A9" w:rsidRPr="00ED5612">
        <w:rPr>
          <w:b/>
          <w:sz w:val="24"/>
          <w:szCs w:val="24"/>
        </w:rPr>
        <w:t>- 2018</w:t>
      </w:r>
      <w:r w:rsidR="006C541A" w:rsidRPr="00ED5612">
        <w:rPr>
          <w:b/>
          <w:sz w:val="24"/>
          <w:szCs w:val="24"/>
        </w:rPr>
        <w:t xml:space="preserve"> m.</w:t>
      </w:r>
    </w:p>
    <w:p w:rsidR="002A1186" w:rsidRPr="00ED5612" w:rsidRDefault="002A1186" w:rsidP="006C541A">
      <w:pPr>
        <w:ind w:firstLine="720"/>
        <w:jc w:val="both"/>
        <w:rPr>
          <w:b/>
          <w:sz w:val="24"/>
          <w:szCs w:val="24"/>
        </w:rPr>
      </w:pPr>
    </w:p>
    <w:tbl>
      <w:tblPr>
        <w:tblW w:w="7054" w:type="dxa"/>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268"/>
      </w:tblGrid>
      <w:tr w:rsidR="00553A0C" w:rsidRPr="00ED5612" w:rsidTr="003C1510">
        <w:trPr>
          <w:trHeight w:val="309"/>
        </w:trPr>
        <w:tc>
          <w:tcPr>
            <w:tcW w:w="2518" w:type="dxa"/>
            <w:shd w:val="clear" w:color="auto" w:fill="auto"/>
          </w:tcPr>
          <w:p w:rsidR="00553A0C" w:rsidRPr="002A1186" w:rsidRDefault="00553A0C" w:rsidP="008E68A9">
            <w:pPr>
              <w:jc w:val="center"/>
              <w:rPr>
                <w:sz w:val="24"/>
                <w:szCs w:val="24"/>
              </w:rPr>
            </w:pPr>
            <w:r w:rsidRPr="002A1186">
              <w:rPr>
                <w:sz w:val="24"/>
                <w:szCs w:val="24"/>
              </w:rPr>
              <w:t>Data</w:t>
            </w:r>
          </w:p>
        </w:tc>
        <w:tc>
          <w:tcPr>
            <w:tcW w:w="2268" w:type="dxa"/>
            <w:shd w:val="clear" w:color="auto" w:fill="auto"/>
          </w:tcPr>
          <w:p w:rsidR="00553A0C" w:rsidRPr="002A1186" w:rsidRDefault="00553A0C" w:rsidP="00D1293A">
            <w:pPr>
              <w:rPr>
                <w:sz w:val="24"/>
                <w:szCs w:val="24"/>
              </w:rPr>
            </w:pPr>
            <w:r w:rsidRPr="002A1186">
              <w:rPr>
                <w:sz w:val="24"/>
                <w:szCs w:val="24"/>
              </w:rPr>
              <w:t>3 mėn. EURIBOR</w:t>
            </w:r>
          </w:p>
        </w:tc>
        <w:tc>
          <w:tcPr>
            <w:tcW w:w="2268" w:type="dxa"/>
            <w:shd w:val="clear" w:color="auto" w:fill="auto"/>
          </w:tcPr>
          <w:p w:rsidR="00553A0C" w:rsidRPr="002A1186" w:rsidRDefault="00553A0C" w:rsidP="00D1293A">
            <w:pPr>
              <w:rPr>
                <w:sz w:val="24"/>
                <w:szCs w:val="24"/>
              </w:rPr>
            </w:pPr>
            <w:r w:rsidRPr="002A1186">
              <w:rPr>
                <w:sz w:val="24"/>
                <w:szCs w:val="24"/>
              </w:rPr>
              <w:t>6 mėn. EURIBOR</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2014-01-10</w:t>
            </w:r>
          </w:p>
        </w:tc>
        <w:tc>
          <w:tcPr>
            <w:tcW w:w="2268" w:type="dxa"/>
            <w:shd w:val="clear" w:color="auto" w:fill="auto"/>
          </w:tcPr>
          <w:p w:rsidR="008E68A9" w:rsidRPr="002A1186" w:rsidRDefault="008E68A9" w:rsidP="002A1186">
            <w:pPr>
              <w:jc w:val="center"/>
              <w:rPr>
                <w:sz w:val="24"/>
                <w:szCs w:val="24"/>
              </w:rPr>
            </w:pPr>
            <w:r w:rsidRPr="002A1186">
              <w:rPr>
                <w:sz w:val="24"/>
                <w:szCs w:val="24"/>
              </w:rPr>
              <w:t>0,282</w:t>
            </w:r>
          </w:p>
        </w:tc>
        <w:tc>
          <w:tcPr>
            <w:tcW w:w="2268" w:type="dxa"/>
            <w:shd w:val="clear" w:color="auto" w:fill="auto"/>
          </w:tcPr>
          <w:p w:rsidR="008E68A9" w:rsidRPr="002A1186" w:rsidRDefault="008E68A9" w:rsidP="002A1186">
            <w:pPr>
              <w:jc w:val="center"/>
              <w:rPr>
                <w:sz w:val="24"/>
                <w:szCs w:val="24"/>
              </w:rPr>
            </w:pPr>
            <w:r w:rsidRPr="002A1186">
              <w:rPr>
                <w:sz w:val="24"/>
                <w:szCs w:val="24"/>
              </w:rPr>
              <w:t>0,390</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2014-03-01</w:t>
            </w:r>
          </w:p>
        </w:tc>
        <w:tc>
          <w:tcPr>
            <w:tcW w:w="2268" w:type="dxa"/>
            <w:shd w:val="clear" w:color="auto" w:fill="auto"/>
          </w:tcPr>
          <w:p w:rsidR="008E68A9" w:rsidRPr="002A1186" w:rsidRDefault="008E68A9" w:rsidP="002A1186">
            <w:pPr>
              <w:jc w:val="center"/>
              <w:rPr>
                <w:sz w:val="24"/>
                <w:szCs w:val="24"/>
              </w:rPr>
            </w:pPr>
            <w:r w:rsidRPr="002A1186">
              <w:rPr>
                <w:sz w:val="24"/>
                <w:szCs w:val="24"/>
              </w:rPr>
              <w:t>0,286</w:t>
            </w:r>
          </w:p>
        </w:tc>
        <w:tc>
          <w:tcPr>
            <w:tcW w:w="2268" w:type="dxa"/>
            <w:shd w:val="clear" w:color="auto" w:fill="auto"/>
          </w:tcPr>
          <w:p w:rsidR="008E68A9" w:rsidRPr="002A1186" w:rsidRDefault="008E68A9" w:rsidP="002A1186">
            <w:pPr>
              <w:jc w:val="center"/>
              <w:rPr>
                <w:sz w:val="24"/>
                <w:szCs w:val="24"/>
              </w:rPr>
            </w:pPr>
            <w:r w:rsidRPr="002A1186">
              <w:rPr>
                <w:sz w:val="24"/>
                <w:szCs w:val="24"/>
              </w:rPr>
              <w:t>0,384</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2015-01-01</w:t>
            </w:r>
          </w:p>
        </w:tc>
        <w:tc>
          <w:tcPr>
            <w:tcW w:w="2268" w:type="dxa"/>
            <w:shd w:val="clear" w:color="auto" w:fill="auto"/>
          </w:tcPr>
          <w:p w:rsidR="008E68A9" w:rsidRPr="002A1186" w:rsidRDefault="008E68A9" w:rsidP="002A1186">
            <w:pPr>
              <w:jc w:val="center"/>
              <w:rPr>
                <w:sz w:val="24"/>
                <w:szCs w:val="24"/>
              </w:rPr>
            </w:pPr>
            <w:r w:rsidRPr="002A1186">
              <w:rPr>
                <w:sz w:val="24"/>
                <w:szCs w:val="24"/>
              </w:rPr>
              <w:t>0,078</w:t>
            </w:r>
          </w:p>
        </w:tc>
        <w:tc>
          <w:tcPr>
            <w:tcW w:w="2268" w:type="dxa"/>
            <w:shd w:val="clear" w:color="auto" w:fill="auto"/>
          </w:tcPr>
          <w:p w:rsidR="008E68A9" w:rsidRPr="002A1186" w:rsidRDefault="008E68A9" w:rsidP="002A1186">
            <w:pPr>
              <w:jc w:val="center"/>
              <w:rPr>
                <w:sz w:val="24"/>
                <w:szCs w:val="24"/>
              </w:rPr>
            </w:pPr>
            <w:r w:rsidRPr="002A1186">
              <w:rPr>
                <w:sz w:val="24"/>
                <w:szCs w:val="24"/>
              </w:rPr>
              <w:t>0,171</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2015-06-30</w:t>
            </w:r>
          </w:p>
        </w:tc>
        <w:tc>
          <w:tcPr>
            <w:tcW w:w="2268" w:type="dxa"/>
            <w:shd w:val="clear" w:color="auto" w:fill="auto"/>
          </w:tcPr>
          <w:p w:rsidR="008E68A9" w:rsidRPr="002A1186" w:rsidRDefault="008E68A9" w:rsidP="002A1186">
            <w:pPr>
              <w:jc w:val="center"/>
              <w:rPr>
                <w:sz w:val="24"/>
                <w:szCs w:val="24"/>
              </w:rPr>
            </w:pPr>
            <w:r w:rsidRPr="002A1186">
              <w:rPr>
                <w:sz w:val="24"/>
                <w:szCs w:val="24"/>
              </w:rPr>
              <w:t>-0,014</w:t>
            </w:r>
          </w:p>
        </w:tc>
        <w:tc>
          <w:tcPr>
            <w:tcW w:w="2268" w:type="dxa"/>
            <w:shd w:val="clear" w:color="auto" w:fill="auto"/>
          </w:tcPr>
          <w:p w:rsidR="008E68A9" w:rsidRPr="002A1186" w:rsidRDefault="008E68A9" w:rsidP="002A1186">
            <w:pPr>
              <w:jc w:val="center"/>
              <w:rPr>
                <w:sz w:val="24"/>
                <w:szCs w:val="24"/>
              </w:rPr>
            </w:pPr>
            <w:r w:rsidRPr="002A1186">
              <w:rPr>
                <w:sz w:val="24"/>
                <w:szCs w:val="24"/>
              </w:rPr>
              <w:t>0,05</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2015-08-14</w:t>
            </w:r>
          </w:p>
        </w:tc>
        <w:tc>
          <w:tcPr>
            <w:tcW w:w="2268" w:type="dxa"/>
            <w:shd w:val="clear" w:color="auto" w:fill="auto"/>
          </w:tcPr>
          <w:p w:rsidR="008E68A9" w:rsidRPr="002A1186" w:rsidRDefault="008E68A9" w:rsidP="002A1186">
            <w:pPr>
              <w:jc w:val="center"/>
              <w:rPr>
                <w:sz w:val="24"/>
                <w:szCs w:val="24"/>
              </w:rPr>
            </w:pPr>
            <w:r w:rsidRPr="002A1186">
              <w:rPr>
                <w:sz w:val="24"/>
                <w:szCs w:val="24"/>
              </w:rPr>
              <w:t>-0,025</w:t>
            </w:r>
          </w:p>
        </w:tc>
        <w:tc>
          <w:tcPr>
            <w:tcW w:w="2268" w:type="dxa"/>
            <w:shd w:val="clear" w:color="auto" w:fill="auto"/>
          </w:tcPr>
          <w:p w:rsidR="008E68A9" w:rsidRPr="002A1186" w:rsidRDefault="008E68A9" w:rsidP="002A1186">
            <w:pPr>
              <w:jc w:val="center"/>
              <w:rPr>
                <w:sz w:val="24"/>
                <w:szCs w:val="24"/>
              </w:rPr>
            </w:pPr>
            <w:r w:rsidRPr="002A1186">
              <w:rPr>
                <w:sz w:val="24"/>
                <w:szCs w:val="24"/>
              </w:rPr>
              <w:t>-0,046</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2015-11-01</w:t>
            </w:r>
          </w:p>
        </w:tc>
        <w:tc>
          <w:tcPr>
            <w:tcW w:w="2268" w:type="dxa"/>
            <w:shd w:val="clear" w:color="auto" w:fill="auto"/>
          </w:tcPr>
          <w:p w:rsidR="008E68A9" w:rsidRPr="002A1186" w:rsidRDefault="008E68A9" w:rsidP="002A1186">
            <w:pPr>
              <w:jc w:val="center"/>
              <w:rPr>
                <w:sz w:val="24"/>
                <w:szCs w:val="24"/>
              </w:rPr>
            </w:pPr>
            <w:r w:rsidRPr="002A1186">
              <w:rPr>
                <w:sz w:val="24"/>
                <w:szCs w:val="24"/>
              </w:rPr>
              <w:t>-0,068</w:t>
            </w:r>
          </w:p>
        </w:tc>
        <w:tc>
          <w:tcPr>
            <w:tcW w:w="2268" w:type="dxa"/>
            <w:shd w:val="clear" w:color="auto" w:fill="auto"/>
          </w:tcPr>
          <w:p w:rsidR="008E68A9" w:rsidRPr="002A1186" w:rsidRDefault="008E68A9" w:rsidP="002A1186">
            <w:pPr>
              <w:jc w:val="center"/>
              <w:rPr>
                <w:sz w:val="24"/>
                <w:szCs w:val="24"/>
              </w:rPr>
            </w:pPr>
            <w:r w:rsidRPr="002A1186">
              <w:rPr>
                <w:sz w:val="24"/>
                <w:szCs w:val="24"/>
              </w:rPr>
              <w:t>-0,006</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2015-12-31</w:t>
            </w:r>
          </w:p>
        </w:tc>
        <w:tc>
          <w:tcPr>
            <w:tcW w:w="2268" w:type="dxa"/>
            <w:shd w:val="clear" w:color="auto" w:fill="auto"/>
          </w:tcPr>
          <w:p w:rsidR="008E68A9" w:rsidRPr="002A1186" w:rsidRDefault="008E68A9" w:rsidP="002A1186">
            <w:pPr>
              <w:jc w:val="center"/>
              <w:rPr>
                <w:sz w:val="24"/>
                <w:szCs w:val="24"/>
              </w:rPr>
            </w:pPr>
            <w:r w:rsidRPr="002A1186">
              <w:rPr>
                <w:sz w:val="24"/>
                <w:szCs w:val="24"/>
              </w:rPr>
              <w:t>-0,132</w:t>
            </w:r>
          </w:p>
        </w:tc>
        <w:tc>
          <w:tcPr>
            <w:tcW w:w="2268" w:type="dxa"/>
            <w:shd w:val="clear" w:color="auto" w:fill="auto"/>
          </w:tcPr>
          <w:p w:rsidR="008E68A9" w:rsidRPr="002A1186" w:rsidRDefault="008E68A9" w:rsidP="002A1186">
            <w:pPr>
              <w:jc w:val="center"/>
              <w:rPr>
                <w:sz w:val="24"/>
                <w:szCs w:val="24"/>
              </w:rPr>
            </w:pPr>
            <w:r w:rsidRPr="002A1186">
              <w:rPr>
                <w:sz w:val="24"/>
                <w:szCs w:val="24"/>
              </w:rPr>
              <w:t>-0,04</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2016-02-01</w:t>
            </w:r>
          </w:p>
        </w:tc>
        <w:tc>
          <w:tcPr>
            <w:tcW w:w="2268" w:type="dxa"/>
            <w:shd w:val="clear" w:color="auto" w:fill="auto"/>
          </w:tcPr>
          <w:p w:rsidR="008E68A9" w:rsidRPr="002A1186" w:rsidRDefault="008E68A9" w:rsidP="002A1186">
            <w:pPr>
              <w:jc w:val="center"/>
              <w:rPr>
                <w:sz w:val="24"/>
                <w:szCs w:val="24"/>
              </w:rPr>
            </w:pPr>
            <w:r w:rsidRPr="002A1186">
              <w:rPr>
                <w:sz w:val="24"/>
                <w:szCs w:val="24"/>
              </w:rPr>
              <w:t>-0,162</w:t>
            </w:r>
          </w:p>
        </w:tc>
        <w:tc>
          <w:tcPr>
            <w:tcW w:w="2268" w:type="dxa"/>
            <w:shd w:val="clear" w:color="auto" w:fill="auto"/>
          </w:tcPr>
          <w:p w:rsidR="008E68A9" w:rsidRPr="002A1186" w:rsidRDefault="008E68A9" w:rsidP="002A1186">
            <w:pPr>
              <w:jc w:val="center"/>
              <w:rPr>
                <w:sz w:val="24"/>
                <w:szCs w:val="24"/>
              </w:rPr>
            </w:pPr>
            <w:r w:rsidRPr="002A1186">
              <w:rPr>
                <w:sz w:val="24"/>
                <w:szCs w:val="24"/>
              </w:rPr>
              <w:t>-0,094</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2016-03-01</w:t>
            </w:r>
          </w:p>
        </w:tc>
        <w:tc>
          <w:tcPr>
            <w:tcW w:w="2268" w:type="dxa"/>
            <w:shd w:val="clear" w:color="auto" w:fill="auto"/>
          </w:tcPr>
          <w:p w:rsidR="008E68A9" w:rsidRPr="002A1186" w:rsidRDefault="008E68A9" w:rsidP="002A1186">
            <w:pPr>
              <w:jc w:val="center"/>
              <w:rPr>
                <w:sz w:val="24"/>
                <w:szCs w:val="24"/>
              </w:rPr>
            </w:pPr>
            <w:r w:rsidRPr="002A1186">
              <w:rPr>
                <w:sz w:val="24"/>
                <w:szCs w:val="24"/>
              </w:rPr>
              <w:t>-0,207</w:t>
            </w:r>
          </w:p>
        </w:tc>
        <w:tc>
          <w:tcPr>
            <w:tcW w:w="2268" w:type="dxa"/>
            <w:shd w:val="clear" w:color="auto" w:fill="auto"/>
          </w:tcPr>
          <w:p w:rsidR="008E68A9" w:rsidRPr="002A1186" w:rsidRDefault="008E68A9" w:rsidP="002A1186">
            <w:pPr>
              <w:jc w:val="center"/>
              <w:rPr>
                <w:sz w:val="24"/>
                <w:szCs w:val="24"/>
              </w:rPr>
            </w:pPr>
            <w:r w:rsidRPr="002A1186">
              <w:rPr>
                <w:sz w:val="24"/>
                <w:szCs w:val="24"/>
              </w:rPr>
              <w:t>-0,135</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2016-04-01</w:t>
            </w:r>
          </w:p>
        </w:tc>
        <w:tc>
          <w:tcPr>
            <w:tcW w:w="2268" w:type="dxa"/>
            <w:shd w:val="clear" w:color="auto" w:fill="auto"/>
          </w:tcPr>
          <w:p w:rsidR="008E68A9" w:rsidRPr="002A1186" w:rsidRDefault="008E68A9" w:rsidP="002A1186">
            <w:pPr>
              <w:jc w:val="center"/>
              <w:rPr>
                <w:sz w:val="24"/>
                <w:szCs w:val="24"/>
              </w:rPr>
            </w:pPr>
            <w:r w:rsidRPr="002A1186">
              <w:rPr>
                <w:sz w:val="24"/>
                <w:szCs w:val="24"/>
              </w:rPr>
              <w:t>-0,245</w:t>
            </w:r>
          </w:p>
        </w:tc>
        <w:tc>
          <w:tcPr>
            <w:tcW w:w="2268" w:type="dxa"/>
            <w:shd w:val="clear" w:color="auto" w:fill="auto"/>
          </w:tcPr>
          <w:p w:rsidR="008E68A9" w:rsidRPr="002A1186" w:rsidRDefault="008E68A9" w:rsidP="002A1186">
            <w:pPr>
              <w:jc w:val="center"/>
              <w:rPr>
                <w:sz w:val="24"/>
                <w:szCs w:val="24"/>
              </w:rPr>
            </w:pPr>
            <w:r w:rsidRPr="002A1186">
              <w:rPr>
                <w:sz w:val="24"/>
                <w:szCs w:val="24"/>
              </w:rPr>
              <w:t>-0,131</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2017-01-03</w:t>
            </w:r>
          </w:p>
        </w:tc>
        <w:tc>
          <w:tcPr>
            <w:tcW w:w="2268" w:type="dxa"/>
            <w:shd w:val="clear" w:color="auto" w:fill="auto"/>
          </w:tcPr>
          <w:p w:rsidR="008E68A9" w:rsidRPr="002A1186" w:rsidRDefault="008E68A9" w:rsidP="002A1186">
            <w:pPr>
              <w:jc w:val="center"/>
              <w:rPr>
                <w:sz w:val="24"/>
                <w:szCs w:val="24"/>
              </w:rPr>
            </w:pPr>
            <w:r w:rsidRPr="002A1186">
              <w:rPr>
                <w:sz w:val="24"/>
                <w:szCs w:val="24"/>
              </w:rPr>
              <w:t>-0,319</w:t>
            </w:r>
          </w:p>
        </w:tc>
        <w:tc>
          <w:tcPr>
            <w:tcW w:w="2268" w:type="dxa"/>
            <w:shd w:val="clear" w:color="auto" w:fill="auto"/>
          </w:tcPr>
          <w:p w:rsidR="008E68A9" w:rsidRPr="002A1186" w:rsidRDefault="008E68A9" w:rsidP="002A1186">
            <w:pPr>
              <w:jc w:val="center"/>
              <w:rPr>
                <w:sz w:val="24"/>
                <w:szCs w:val="24"/>
              </w:rPr>
            </w:pPr>
            <w:r w:rsidRPr="002A1186">
              <w:rPr>
                <w:sz w:val="24"/>
                <w:szCs w:val="24"/>
              </w:rPr>
              <w:t>-0,221</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2017-06-01</w:t>
            </w:r>
          </w:p>
        </w:tc>
        <w:tc>
          <w:tcPr>
            <w:tcW w:w="2268" w:type="dxa"/>
            <w:shd w:val="clear" w:color="auto" w:fill="auto"/>
          </w:tcPr>
          <w:p w:rsidR="008E68A9" w:rsidRPr="002A1186" w:rsidRDefault="008E68A9" w:rsidP="002A1186">
            <w:pPr>
              <w:jc w:val="center"/>
              <w:rPr>
                <w:sz w:val="24"/>
                <w:szCs w:val="24"/>
              </w:rPr>
            </w:pPr>
            <w:r w:rsidRPr="002A1186">
              <w:rPr>
                <w:sz w:val="24"/>
                <w:szCs w:val="24"/>
              </w:rPr>
              <w:t>-0,329</w:t>
            </w:r>
          </w:p>
        </w:tc>
        <w:tc>
          <w:tcPr>
            <w:tcW w:w="2268" w:type="dxa"/>
            <w:shd w:val="clear" w:color="auto" w:fill="auto"/>
          </w:tcPr>
          <w:p w:rsidR="008E68A9" w:rsidRPr="002A1186" w:rsidRDefault="008E68A9" w:rsidP="002A1186">
            <w:pPr>
              <w:jc w:val="center"/>
              <w:rPr>
                <w:sz w:val="24"/>
                <w:szCs w:val="24"/>
              </w:rPr>
            </w:pPr>
            <w:r w:rsidRPr="002A1186">
              <w:rPr>
                <w:sz w:val="24"/>
                <w:szCs w:val="24"/>
              </w:rPr>
              <w:t>-0,254</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2017-12-01</w:t>
            </w:r>
          </w:p>
        </w:tc>
        <w:tc>
          <w:tcPr>
            <w:tcW w:w="2268" w:type="dxa"/>
            <w:shd w:val="clear" w:color="auto" w:fill="auto"/>
          </w:tcPr>
          <w:p w:rsidR="008E68A9" w:rsidRPr="002A1186" w:rsidRDefault="008E68A9" w:rsidP="002A1186">
            <w:pPr>
              <w:jc w:val="center"/>
              <w:rPr>
                <w:sz w:val="24"/>
                <w:szCs w:val="24"/>
              </w:rPr>
            </w:pPr>
            <w:r w:rsidRPr="002A1186">
              <w:rPr>
                <w:sz w:val="24"/>
                <w:szCs w:val="24"/>
              </w:rPr>
              <w:t>-0,326</w:t>
            </w:r>
          </w:p>
        </w:tc>
        <w:tc>
          <w:tcPr>
            <w:tcW w:w="2268" w:type="dxa"/>
            <w:shd w:val="clear" w:color="auto" w:fill="auto"/>
          </w:tcPr>
          <w:p w:rsidR="008E68A9" w:rsidRPr="002A1186" w:rsidRDefault="008E68A9" w:rsidP="002A1186">
            <w:pPr>
              <w:jc w:val="center"/>
              <w:rPr>
                <w:sz w:val="24"/>
                <w:szCs w:val="24"/>
              </w:rPr>
            </w:pPr>
            <w:r w:rsidRPr="002A1186">
              <w:rPr>
                <w:sz w:val="24"/>
                <w:szCs w:val="24"/>
              </w:rPr>
              <w:t>-0,271</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2018-01-01</w:t>
            </w:r>
          </w:p>
        </w:tc>
        <w:tc>
          <w:tcPr>
            <w:tcW w:w="2268" w:type="dxa"/>
            <w:shd w:val="clear" w:color="auto" w:fill="auto"/>
          </w:tcPr>
          <w:p w:rsidR="008E68A9" w:rsidRPr="002A1186" w:rsidRDefault="008E68A9" w:rsidP="002A1186">
            <w:pPr>
              <w:jc w:val="center"/>
              <w:rPr>
                <w:sz w:val="24"/>
                <w:szCs w:val="24"/>
              </w:rPr>
            </w:pPr>
            <w:r w:rsidRPr="002A1186">
              <w:rPr>
                <w:sz w:val="24"/>
                <w:szCs w:val="24"/>
              </w:rPr>
              <w:t>-0,329</w:t>
            </w:r>
          </w:p>
        </w:tc>
        <w:tc>
          <w:tcPr>
            <w:tcW w:w="2268" w:type="dxa"/>
            <w:shd w:val="clear" w:color="auto" w:fill="auto"/>
          </w:tcPr>
          <w:p w:rsidR="008E68A9" w:rsidRPr="002A1186" w:rsidRDefault="008E68A9" w:rsidP="002A1186">
            <w:pPr>
              <w:jc w:val="center"/>
              <w:rPr>
                <w:sz w:val="24"/>
                <w:szCs w:val="24"/>
              </w:rPr>
            </w:pPr>
            <w:r w:rsidRPr="002A1186">
              <w:rPr>
                <w:sz w:val="24"/>
                <w:szCs w:val="24"/>
              </w:rPr>
              <w:t>-0,271</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2018-03-01</w:t>
            </w:r>
          </w:p>
        </w:tc>
        <w:tc>
          <w:tcPr>
            <w:tcW w:w="2268" w:type="dxa"/>
            <w:shd w:val="clear" w:color="auto" w:fill="auto"/>
          </w:tcPr>
          <w:p w:rsidR="008E68A9" w:rsidRPr="002A1186" w:rsidRDefault="008E68A9" w:rsidP="002A1186">
            <w:pPr>
              <w:jc w:val="center"/>
              <w:rPr>
                <w:sz w:val="24"/>
                <w:szCs w:val="24"/>
              </w:rPr>
            </w:pPr>
            <w:r w:rsidRPr="002A1186">
              <w:rPr>
                <w:sz w:val="24"/>
                <w:szCs w:val="24"/>
              </w:rPr>
              <w:t>-0,327</w:t>
            </w:r>
          </w:p>
        </w:tc>
        <w:tc>
          <w:tcPr>
            <w:tcW w:w="2268" w:type="dxa"/>
            <w:shd w:val="clear" w:color="auto" w:fill="auto"/>
          </w:tcPr>
          <w:p w:rsidR="008E68A9" w:rsidRPr="002A1186" w:rsidRDefault="008E68A9" w:rsidP="002A1186">
            <w:pPr>
              <w:jc w:val="center"/>
              <w:rPr>
                <w:sz w:val="24"/>
                <w:szCs w:val="24"/>
              </w:rPr>
            </w:pPr>
            <w:r w:rsidRPr="002A1186">
              <w:rPr>
                <w:sz w:val="24"/>
                <w:szCs w:val="24"/>
              </w:rPr>
              <w:t>-0,271</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2018-05-01</w:t>
            </w:r>
          </w:p>
        </w:tc>
        <w:tc>
          <w:tcPr>
            <w:tcW w:w="2268" w:type="dxa"/>
            <w:shd w:val="clear" w:color="auto" w:fill="auto"/>
          </w:tcPr>
          <w:p w:rsidR="008E68A9" w:rsidRPr="002A1186" w:rsidRDefault="008E68A9" w:rsidP="002A1186">
            <w:pPr>
              <w:jc w:val="center"/>
              <w:rPr>
                <w:sz w:val="24"/>
                <w:szCs w:val="24"/>
              </w:rPr>
            </w:pPr>
            <w:r w:rsidRPr="002A1186">
              <w:rPr>
                <w:sz w:val="24"/>
                <w:szCs w:val="24"/>
              </w:rPr>
              <w:t>-0,329</w:t>
            </w:r>
          </w:p>
        </w:tc>
        <w:tc>
          <w:tcPr>
            <w:tcW w:w="2268" w:type="dxa"/>
            <w:shd w:val="clear" w:color="auto" w:fill="auto"/>
          </w:tcPr>
          <w:p w:rsidR="008E68A9" w:rsidRPr="002A1186" w:rsidRDefault="008E68A9" w:rsidP="002A1186">
            <w:pPr>
              <w:jc w:val="center"/>
              <w:rPr>
                <w:sz w:val="24"/>
                <w:szCs w:val="24"/>
              </w:rPr>
            </w:pPr>
            <w:r w:rsidRPr="002A1186">
              <w:rPr>
                <w:sz w:val="24"/>
                <w:szCs w:val="24"/>
              </w:rPr>
              <w:t>-0,269</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2018-07-15</w:t>
            </w:r>
          </w:p>
        </w:tc>
        <w:tc>
          <w:tcPr>
            <w:tcW w:w="2268" w:type="dxa"/>
            <w:shd w:val="clear" w:color="auto" w:fill="auto"/>
          </w:tcPr>
          <w:p w:rsidR="008E68A9" w:rsidRPr="002A1186" w:rsidRDefault="008E68A9" w:rsidP="002A1186">
            <w:pPr>
              <w:jc w:val="center"/>
              <w:rPr>
                <w:sz w:val="24"/>
                <w:szCs w:val="24"/>
              </w:rPr>
            </w:pPr>
            <w:r w:rsidRPr="002A1186">
              <w:rPr>
                <w:sz w:val="24"/>
                <w:szCs w:val="24"/>
              </w:rPr>
              <w:t>-0,321</w:t>
            </w:r>
          </w:p>
        </w:tc>
        <w:tc>
          <w:tcPr>
            <w:tcW w:w="2268" w:type="dxa"/>
            <w:shd w:val="clear" w:color="auto" w:fill="auto"/>
          </w:tcPr>
          <w:p w:rsidR="008E68A9" w:rsidRPr="002A1186" w:rsidRDefault="008E68A9" w:rsidP="002A1186">
            <w:pPr>
              <w:jc w:val="center"/>
              <w:rPr>
                <w:sz w:val="24"/>
                <w:szCs w:val="24"/>
              </w:rPr>
            </w:pPr>
            <w:r w:rsidRPr="002A1186">
              <w:rPr>
                <w:sz w:val="24"/>
                <w:szCs w:val="24"/>
              </w:rPr>
              <w:t>-0,268</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2018-09-01</w:t>
            </w:r>
          </w:p>
        </w:tc>
        <w:tc>
          <w:tcPr>
            <w:tcW w:w="2268" w:type="dxa"/>
            <w:shd w:val="clear" w:color="auto" w:fill="auto"/>
          </w:tcPr>
          <w:p w:rsidR="008E68A9" w:rsidRPr="002A1186" w:rsidRDefault="008E68A9" w:rsidP="002A1186">
            <w:pPr>
              <w:jc w:val="center"/>
              <w:rPr>
                <w:sz w:val="24"/>
                <w:szCs w:val="24"/>
              </w:rPr>
            </w:pPr>
            <w:r w:rsidRPr="002A1186">
              <w:rPr>
                <w:sz w:val="24"/>
                <w:szCs w:val="24"/>
              </w:rPr>
              <w:t>-0,319</w:t>
            </w:r>
          </w:p>
        </w:tc>
        <w:tc>
          <w:tcPr>
            <w:tcW w:w="2268" w:type="dxa"/>
            <w:shd w:val="clear" w:color="auto" w:fill="auto"/>
          </w:tcPr>
          <w:p w:rsidR="008E68A9" w:rsidRPr="002A1186" w:rsidRDefault="008E68A9" w:rsidP="002A1186">
            <w:pPr>
              <w:jc w:val="center"/>
              <w:rPr>
                <w:sz w:val="24"/>
                <w:szCs w:val="24"/>
              </w:rPr>
            </w:pPr>
            <w:r w:rsidRPr="002A1186">
              <w:rPr>
                <w:sz w:val="24"/>
                <w:szCs w:val="24"/>
              </w:rPr>
              <w:t>-0,268</w:t>
            </w:r>
          </w:p>
        </w:tc>
      </w:tr>
      <w:tr w:rsidR="008E68A9" w:rsidRPr="00ED5612" w:rsidTr="008E68A9">
        <w:tc>
          <w:tcPr>
            <w:tcW w:w="2518" w:type="dxa"/>
            <w:shd w:val="clear" w:color="auto" w:fill="auto"/>
          </w:tcPr>
          <w:p w:rsidR="008E68A9" w:rsidRPr="002A1186" w:rsidRDefault="008E68A9" w:rsidP="002A1186">
            <w:pPr>
              <w:jc w:val="center"/>
              <w:rPr>
                <w:sz w:val="24"/>
                <w:szCs w:val="24"/>
              </w:rPr>
            </w:pPr>
            <w:r w:rsidRPr="002A1186">
              <w:rPr>
                <w:sz w:val="24"/>
                <w:szCs w:val="24"/>
              </w:rPr>
              <w:t>2018-12-31</w:t>
            </w:r>
          </w:p>
        </w:tc>
        <w:tc>
          <w:tcPr>
            <w:tcW w:w="2268" w:type="dxa"/>
            <w:shd w:val="clear" w:color="auto" w:fill="auto"/>
          </w:tcPr>
          <w:p w:rsidR="008E68A9" w:rsidRPr="002A1186" w:rsidRDefault="008E68A9" w:rsidP="002A1186">
            <w:pPr>
              <w:jc w:val="center"/>
              <w:rPr>
                <w:sz w:val="24"/>
                <w:szCs w:val="24"/>
              </w:rPr>
            </w:pPr>
            <w:r w:rsidRPr="002A1186">
              <w:rPr>
                <w:sz w:val="24"/>
                <w:szCs w:val="24"/>
              </w:rPr>
              <w:t>-0,309</w:t>
            </w:r>
          </w:p>
        </w:tc>
        <w:tc>
          <w:tcPr>
            <w:tcW w:w="2268" w:type="dxa"/>
            <w:shd w:val="clear" w:color="auto" w:fill="auto"/>
          </w:tcPr>
          <w:p w:rsidR="008E68A9" w:rsidRPr="002A1186" w:rsidRDefault="008E68A9" w:rsidP="002A1186">
            <w:pPr>
              <w:jc w:val="center"/>
              <w:rPr>
                <w:sz w:val="24"/>
                <w:szCs w:val="24"/>
              </w:rPr>
            </w:pPr>
            <w:r w:rsidRPr="002A1186">
              <w:rPr>
                <w:sz w:val="24"/>
                <w:szCs w:val="24"/>
              </w:rPr>
              <w:t>-0,237</w:t>
            </w:r>
          </w:p>
        </w:tc>
      </w:tr>
    </w:tbl>
    <w:p w:rsidR="009E4BF2" w:rsidRPr="00ED5612" w:rsidRDefault="009E4BF2" w:rsidP="006C541A">
      <w:pPr>
        <w:ind w:firstLine="720"/>
        <w:jc w:val="both"/>
        <w:rPr>
          <w:sz w:val="24"/>
          <w:szCs w:val="24"/>
        </w:rPr>
      </w:pPr>
    </w:p>
    <w:p w:rsidR="006C541A" w:rsidRPr="00ED5612" w:rsidRDefault="008960BD" w:rsidP="005473E4">
      <w:pPr>
        <w:ind w:firstLine="720"/>
        <w:jc w:val="center"/>
        <w:rPr>
          <w:sz w:val="24"/>
          <w:szCs w:val="24"/>
        </w:rPr>
      </w:pPr>
      <w:r w:rsidRPr="00ED5612">
        <w:rPr>
          <w:sz w:val="24"/>
          <w:szCs w:val="24"/>
        </w:rPr>
        <w:t xml:space="preserve">        </w:t>
      </w:r>
    </w:p>
    <w:p w:rsidR="0047321A" w:rsidRDefault="006C541A" w:rsidP="002A1186">
      <w:pPr>
        <w:jc w:val="both"/>
        <w:rPr>
          <w:sz w:val="24"/>
          <w:szCs w:val="24"/>
        </w:rPr>
      </w:pPr>
      <w:r w:rsidRPr="00ED5612">
        <w:rPr>
          <w:sz w:val="24"/>
          <w:szCs w:val="24"/>
        </w:rPr>
        <w:t xml:space="preserve">Finansų ir biudžeto skyriaus vedėja                                           </w:t>
      </w:r>
      <w:r w:rsidR="002A1186">
        <w:rPr>
          <w:sz w:val="24"/>
          <w:szCs w:val="24"/>
        </w:rPr>
        <w:t xml:space="preserve">                   </w:t>
      </w:r>
      <w:r w:rsidRPr="00ED5612">
        <w:rPr>
          <w:sz w:val="24"/>
          <w:szCs w:val="24"/>
        </w:rPr>
        <w:t>Daiva Mažeikienė</w:t>
      </w:r>
    </w:p>
    <w:p w:rsidR="00ED712B" w:rsidRDefault="00ED712B" w:rsidP="002A1186">
      <w:pPr>
        <w:jc w:val="both"/>
        <w:rPr>
          <w:sz w:val="24"/>
          <w:szCs w:val="24"/>
        </w:rPr>
      </w:pPr>
    </w:p>
    <w:p w:rsidR="00B41869" w:rsidRPr="00ED5612" w:rsidRDefault="006C541A" w:rsidP="002A1186">
      <w:pPr>
        <w:jc w:val="both"/>
        <w:rPr>
          <w:sz w:val="24"/>
          <w:szCs w:val="24"/>
        </w:rPr>
      </w:pPr>
      <w:r w:rsidRPr="00ED5612">
        <w:rPr>
          <w:sz w:val="24"/>
          <w:szCs w:val="24"/>
        </w:rPr>
        <w:t xml:space="preserve">Finansų ir biudžeto skyriaus vedėjo pavaduotoja                    </w:t>
      </w:r>
      <w:r w:rsidR="002A1186">
        <w:rPr>
          <w:sz w:val="24"/>
          <w:szCs w:val="24"/>
        </w:rPr>
        <w:t xml:space="preserve">                    </w:t>
      </w:r>
      <w:r w:rsidRPr="00ED5612">
        <w:rPr>
          <w:sz w:val="24"/>
          <w:szCs w:val="24"/>
        </w:rPr>
        <w:t xml:space="preserve"> Margarita Tamošauskienė</w:t>
      </w:r>
    </w:p>
    <w:sectPr w:rsidR="00B41869" w:rsidRPr="00ED5612" w:rsidSect="00FA4DF9">
      <w:headerReference w:type="even" r:id="rId24"/>
      <w:headerReference w:type="default" r:id="rId25"/>
      <w:footerReference w:type="even" r:id="rId26"/>
      <w:headerReference w:type="first" r:id="rId27"/>
      <w:pgSz w:w="11907" w:h="16840" w:code="9"/>
      <w:pgMar w:top="1134" w:right="567" w:bottom="1134" w:left="1701" w:header="454" w:footer="0" w:gutter="0"/>
      <w:pgNumType w:start="1"/>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2B" w:rsidRDefault="00ED712B">
      <w:r>
        <w:separator/>
      </w:r>
    </w:p>
  </w:endnote>
  <w:endnote w:type="continuationSeparator" w:id="0">
    <w:p w:rsidR="00ED712B" w:rsidRDefault="00ED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2B" w:rsidRDefault="00ED712B" w:rsidP="004F4A0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ED712B" w:rsidRDefault="00ED712B">
    <w:pPr>
      <w:pStyle w:val="Por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2B" w:rsidRDefault="00ED712B">
      <w:r>
        <w:separator/>
      </w:r>
    </w:p>
  </w:footnote>
  <w:footnote w:type="continuationSeparator" w:id="0">
    <w:p w:rsidR="00ED712B" w:rsidRDefault="00ED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2B" w:rsidRDefault="00ED712B" w:rsidP="00DC20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rsidR="00ED712B" w:rsidRDefault="00ED712B">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2B" w:rsidRDefault="00ED712B">
    <w:pPr>
      <w:pStyle w:val="Antrats"/>
      <w:jc w:val="center"/>
    </w:pPr>
    <w:r>
      <w:fldChar w:fldCharType="begin"/>
    </w:r>
    <w:r>
      <w:instrText xml:space="preserve"> PAGE   \* MERGEFORMAT </w:instrText>
    </w:r>
    <w:r>
      <w:fldChar w:fldCharType="separate"/>
    </w:r>
    <w:r w:rsidR="00BC68A9">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2B" w:rsidRDefault="00ED712B">
    <w:pPr>
      <w:pStyle w:val="Antrat1"/>
      <w:rPr>
        <w:rFonts w:ascii="Times New Roman" w:hAnsi="Times New Roman"/>
        <w:sz w:val="22"/>
      </w:rPr>
    </w:pPr>
  </w:p>
  <w:p w:rsidR="00ED712B" w:rsidRDefault="00ED712B">
    <w:pPr>
      <w:pStyle w:val="Antrat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98D"/>
    <w:multiLevelType w:val="hybridMultilevel"/>
    <w:tmpl w:val="2C26F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265D35"/>
    <w:multiLevelType w:val="hybridMultilevel"/>
    <w:tmpl w:val="237A6AF8"/>
    <w:lvl w:ilvl="0" w:tplc="216E059A">
      <w:start w:val="2"/>
      <w:numFmt w:val="decimal"/>
      <w:lvlText w:val="%1"/>
      <w:lvlJc w:val="left"/>
      <w:pPr>
        <w:tabs>
          <w:tab w:val="num" w:pos="8136"/>
        </w:tabs>
        <w:ind w:left="8136" w:hanging="360"/>
      </w:pPr>
      <w:rPr>
        <w:rFonts w:hint="default"/>
      </w:rPr>
    </w:lvl>
    <w:lvl w:ilvl="1" w:tplc="04270019" w:tentative="1">
      <w:start w:val="1"/>
      <w:numFmt w:val="lowerLetter"/>
      <w:lvlText w:val="%2."/>
      <w:lvlJc w:val="left"/>
      <w:pPr>
        <w:tabs>
          <w:tab w:val="num" w:pos="8856"/>
        </w:tabs>
        <w:ind w:left="8856" w:hanging="360"/>
      </w:pPr>
    </w:lvl>
    <w:lvl w:ilvl="2" w:tplc="0427001B" w:tentative="1">
      <w:start w:val="1"/>
      <w:numFmt w:val="lowerRoman"/>
      <w:lvlText w:val="%3."/>
      <w:lvlJc w:val="right"/>
      <w:pPr>
        <w:tabs>
          <w:tab w:val="num" w:pos="9576"/>
        </w:tabs>
        <w:ind w:left="9576" w:hanging="180"/>
      </w:pPr>
    </w:lvl>
    <w:lvl w:ilvl="3" w:tplc="0427000F" w:tentative="1">
      <w:start w:val="1"/>
      <w:numFmt w:val="decimal"/>
      <w:lvlText w:val="%4."/>
      <w:lvlJc w:val="left"/>
      <w:pPr>
        <w:tabs>
          <w:tab w:val="num" w:pos="10296"/>
        </w:tabs>
        <w:ind w:left="10296" w:hanging="360"/>
      </w:pPr>
    </w:lvl>
    <w:lvl w:ilvl="4" w:tplc="04270019" w:tentative="1">
      <w:start w:val="1"/>
      <w:numFmt w:val="lowerLetter"/>
      <w:lvlText w:val="%5."/>
      <w:lvlJc w:val="left"/>
      <w:pPr>
        <w:tabs>
          <w:tab w:val="num" w:pos="11016"/>
        </w:tabs>
        <w:ind w:left="11016" w:hanging="360"/>
      </w:pPr>
    </w:lvl>
    <w:lvl w:ilvl="5" w:tplc="0427001B" w:tentative="1">
      <w:start w:val="1"/>
      <w:numFmt w:val="lowerRoman"/>
      <w:lvlText w:val="%6."/>
      <w:lvlJc w:val="right"/>
      <w:pPr>
        <w:tabs>
          <w:tab w:val="num" w:pos="11736"/>
        </w:tabs>
        <w:ind w:left="11736" w:hanging="180"/>
      </w:pPr>
    </w:lvl>
    <w:lvl w:ilvl="6" w:tplc="0427000F" w:tentative="1">
      <w:start w:val="1"/>
      <w:numFmt w:val="decimal"/>
      <w:lvlText w:val="%7."/>
      <w:lvlJc w:val="left"/>
      <w:pPr>
        <w:tabs>
          <w:tab w:val="num" w:pos="12456"/>
        </w:tabs>
        <w:ind w:left="12456" w:hanging="360"/>
      </w:pPr>
    </w:lvl>
    <w:lvl w:ilvl="7" w:tplc="04270019" w:tentative="1">
      <w:start w:val="1"/>
      <w:numFmt w:val="lowerLetter"/>
      <w:lvlText w:val="%8."/>
      <w:lvlJc w:val="left"/>
      <w:pPr>
        <w:tabs>
          <w:tab w:val="num" w:pos="13176"/>
        </w:tabs>
        <w:ind w:left="13176" w:hanging="360"/>
      </w:pPr>
    </w:lvl>
    <w:lvl w:ilvl="8" w:tplc="0427001B" w:tentative="1">
      <w:start w:val="1"/>
      <w:numFmt w:val="lowerRoman"/>
      <w:lvlText w:val="%9."/>
      <w:lvlJc w:val="right"/>
      <w:pPr>
        <w:tabs>
          <w:tab w:val="num" w:pos="13896"/>
        </w:tabs>
        <w:ind w:left="13896" w:hanging="180"/>
      </w:pPr>
    </w:lvl>
  </w:abstractNum>
  <w:abstractNum w:abstractNumId="2">
    <w:nsid w:val="0FE44FEE"/>
    <w:multiLevelType w:val="hybridMultilevel"/>
    <w:tmpl w:val="3692CE1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9772B86"/>
    <w:multiLevelType w:val="hybridMultilevel"/>
    <w:tmpl w:val="5FAA861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B570B49"/>
    <w:multiLevelType w:val="hybridMultilevel"/>
    <w:tmpl w:val="36F0F6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1D207A8A"/>
    <w:multiLevelType w:val="hybridMultilevel"/>
    <w:tmpl w:val="A39E4D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EBE129F"/>
    <w:multiLevelType w:val="hybridMultilevel"/>
    <w:tmpl w:val="3F52AC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D2E6A2A"/>
    <w:multiLevelType w:val="multilevel"/>
    <w:tmpl w:val="3F6449E4"/>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41E3056"/>
    <w:multiLevelType w:val="hybridMultilevel"/>
    <w:tmpl w:val="13423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9617AD1"/>
    <w:multiLevelType w:val="hybridMultilevel"/>
    <w:tmpl w:val="D6180E88"/>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10">
    <w:nsid w:val="410822C2"/>
    <w:multiLevelType w:val="hybridMultilevel"/>
    <w:tmpl w:val="BC5E0EC4"/>
    <w:lvl w:ilvl="0" w:tplc="07328B4E">
      <w:start w:val="1"/>
      <w:numFmt w:val="decimal"/>
      <w:lvlText w:val="%1"/>
      <w:lvlJc w:val="left"/>
      <w:pPr>
        <w:tabs>
          <w:tab w:val="num" w:pos="8441"/>
        </w:tabs>
        <w:ind w:left="8441" w:hanging="360"/>
      </w:pPr>
      <w:rPr>
        <w:rFonts w:hint="default"/>
      </w:rPr>
    </w:lvl>
    <w:lvl w:ilvl="1" w:tplc="04270019" w:tentative="1">
      <w:start w:val="1"/>
      <w:numFmt w:val="lowerLetter"/>
      <w:lvlText w:val="%2."/>
      <w:lvlJc w:val="left"/>
      <w:pPr>
        <w:tabs>
          <w:tab w:val="num" w:pos="9161"/>
        </w:tabs>
        <w:ind w:left="9161" w:hanging="360"/>
      </w:pPr>
    </w:lvl>
    <w:lvl w:ilvl="2" w:tplc="0427001B" w:tentative="1">
      <w:start w:val="1"/>
      <w:numFmt w:val="lowerRoman"/>
      <w:lvlText w:val="%3."/>
      <w:lvlJc w:val="right"/>
      <w:pPr>
        <w:tabs>
          <w:tab w:val="num" w:pos="9881"/>
        </w:tabs>
        <w:ind w:left="9881" w:hanging="180"/>
      </w:pPr>
    </w:lvl>
    <w:lvl w:ilvl="3" w:tplc="0427000F" w:tentative="1">
      <w:start w:val="1"/>
      <w:numFmt w:val="decimal"/>
      <w:lvlText w:val="%4."/>
      <w:lvlJc w:val="left"/>
      <w:pPr>
        <w:tabs>
          <w:tab w:val="num" w:pos="10601"/>
        </w:tabs>
        <w:ind w:left="10601" w:hanging="360"/>
      </w:pPr>
    </w:lvl>
    <w:lvl w:ilvl="4" w:tplc="04270019" w:tentative="1">
      <w:start w:val="1"/>
      <w:numFmt w:val="lowerLetter"/>
      <w:lvlText w:val="%5."/>
      <w:lvlJc w:val="left"/>
      <w:pPr>
        <w:tabs>
          <w:tab w:val="num" w:pos="11321"/>
        </w:tabs>
        <w:ind w:left="11321" w:hanging="360"/>
      </w:pPr>
    </w:lvl>
    <w:lvl w:ilvl="5" w:tplc="0427001B" w:tentative="1">
      <w:start w:val="1"/>
      <w:numFmt w:val="lowerRoman"/>
      <w:lvlText w:val="%6."/>
      <w:lvlJc w:val="right"/>
      <w:pPr>
        <w:tabs>
          <w:tab w:val="num" w:pos="12041"/>
        </w:tabs>
        <w:ind w:left="12041" w:hanging="180"/>
      </w:pPr>
    </w:lvl>
    <w:lvl w:ilvl="6" w:tplc="0427000F" w:tentative="1">
      <w:start w:val="1"/>
      <w:numFmt w:val="decimal"/>
      <w:lvlText w:val="%7."/>
      <w:lvlJc w:val="left"/>
      <w:pPr>
        <w:tabs>
          <w:tab w:val="num" w:pos="12761"/>
        </w:tabs>
        <w:ind w:left="12761" w:hanging="360"/>
      </w:pPr>
    </w:lvl>
    <w:lvl w:ilvl="7" w:tplc="04270019" w:tentative="1">
      <w:start w:val="1"/>
      <w:numFmt w:val="lowerLetter"/>
      <w:lvlText w:val="%8."/>
      <w:lvlJc w:val="left"/>
      <w:pPr>
        <w:tabs>
          <w:tab w:val="num" w:pos="13481"/>
        </w:tabs>
        <w:ind w:left="13481" w:hanging="360"/>
      </w:pPr>
    </w:lvl>
    <w:lvl w:ilvl="8" w:tplc="0427001B" w:tentative="1">
      <w:start w:val="1"/>
      <w:numFmt w:val="lowerRoman"/>
      <w:lvlText w:val="%9."/>
      <w:lvlJc w:val="right"/>
      <w:pPr>
        <w:tabs>
          <w:tab w:val="num" w:pos="14201"/>
        </w:tabs>
        <w:ind w:left="14201" w:hanging="180"/>
      </w:pPr>
    </w:lvl>
  </w:abstractNum>
  <w:abstractNum w:abstractNumId="11">
    <w:nsid w:val="412E49C9"/>
    <w:multiLevelType w:val="hybridMultilevel"/>
    <w:tmpl w:val="76D8B136"/>
    <w:lvl w:ilvl="0" w:tplc="924CCF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337692"/>
    <w:multiLevelType w:val="hybridMultilevel"/>
    <w:tmpl w:val="2580E7F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7DF6E0A"/>
    <w:multiLevelType w:val="hybridMultilevel"/>
    <w:tmpl w:val="4DCE58EC"/>
    <w:lvl w:ilvl="0" w:tplc="3708BC82">
      <w:start w:val="7"/>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4">
    <w:nsid w:val="59DC178E"/>
    <w:multiLevelType w:val="hybridMultilevel"/>
    <w:tmpl w:val="C1F450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5B4D58E3"/>
    <w:multiLevelType w:val="multilevel"/>
    <w:tmpl w:val="7774420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277CE6"/>
    <w:multiLevelType w:val="hybridMultilevel"/>
    <w:tmpl w:val="C500493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683B634F"/>
    <w:multiLevelType w:val="hybridMultilevel"/>
    <w:tmpl w:val="3DE843C4"/>
    <w:lvl w:ilvl="0" w:tplc="04270001">
      <w:start w:val="1"/>
      <w:numFmt w:val="bullet"/>
      <w:lvlText w:val=""/>
      <w:lvlJc w:val="left"/>
      <w:pPr>
        <w:tabs>
          <w:tab w:val="num" w:pos="1320"/>
        </w:tabs>
        <w:ind w:left="1320" w:hanging="360"/>
      </w:pPr>
      <w:rPr>
        <w:rFonts w:ascii="Symbol" w:hAnsi="Symbol" w:hint="default"/>
      </w:rPr>
    </w:lvl>
    <w:lvl w:ilvl="1" w:tplc="04270003" w:tentative="1">
      <w:start w:val="1"/>
      <w:numFmt w:val="bullet"/>
      <w:lvlText w:val="o"/>
      <w:lvlJc w:val="left"/>
      <w:pPr>
        <w:tabs>
          <w:tab w:val="num" w:pos="2040"/>
        </w:tabs>
        <w:ind w:left="2040" w:hanging="360"/>
      </w:pPr>
      <w:rPr>
        <w:rFonts w:ascii="Courier New" w:hAnsi="Courier New" w:cs="Courier New" w:hint="default"/>
      </w:rPr>
    </w:lvl>
    <w:lvl w:ilvl="2" w:tplc="04270005" w:tentative="1">
      <w:start w:val="1"/>
      <w:numFmt w:val="bullet"/>
      <w:lvlText w:val=""/>
      <w:lvlJc w:val="left"/>
      <w:pPr>
        <w:tabs>
          <w:tab w:val="num" w:pos="2760"/>
        </w:tabs>
        <w:ind w:left="2760" w:hanging="360"/>
      </w:pPr>
      <w:rPr>
        <w:rFonts w:ascii="Wingdings" w:hAnsi="Wingdings" w:hint="default"/>
      </w:rPr>
    </w:lvl>
    <w:lvl w:ilvl="3" w:tplc="04270001" w:tentative="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18">
    <w:nsid w:val="6D28705E"/>
    <w:multiLevelType w:val="multilevel"/>
    <w:tmpl w:val="AFCCC37E"/>
    <w:lvl w:ilvl="0">
      <w:start w:val="1"/>
      <w:numFmt w:val="decimal"/>
      <w:lvlText w:val="%1."/>
      <w:lvlJc w:val="left"/>
      <w:pPr>
        <w:ind w:left="14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60" w:hanging="1800"/>
      </w:pPr>
      <w:rPr>
        <w:rFonts w:hint="default"/>
      </w:rPr>
    </w:lvl>
  </w:abstractNum>
  <w:abstractNum w:abstractNumId="19">
    <w:nsid w:val="770302E4"/>
    <w:multiLevelType w:val="hybridMultilevel"/>
    <w:tmpl w:val="DE40C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7"/>
  </w:num>
  <w:num w:numId="5">
    <w:abstractNumId w:val="10"/>
  </w:num>
  <w:num w:numId="6">
    <w:abstractNumId w:val="15"/>
  </w:num>
  <w:num w:numId="7">
    <w:abstractNumId w:val="1"/>
  </w:num>
  <w:num w:numId="8">
    <w:abstractNumId w:val="6"/>
  </w:num>
  <w:num w:numId="9">
    <w:abstractNumId w:val="16"/>
  </w:num>
  <w:num w:numId="10">
    <w:abstractNumId w:val="8"/>
  </w:num>
  <w:num w:numId="11">
    <w:abstractNumId w:val="19"/>
  </w:num>
  <w:num w:numId="12">
    <w:abstractNumId w:val="0"/>
  </w:num>
  <w:num w:numId="13">
    <w:abstractNumId w:val="13"/>
  </w:num>
  <w:num w:numId="14">
    <w:abstractNumId w:val="12"/>
  </w:num>
  <w:num w:numId="15">
    <w:abstractNumId w:val="4"/>
  </w:num>
  <w:num w:numId="16">
    <w:abstractNumId w:val="0"/>
  </w:num>
  <w:num w:numId="17">
    <w:abstractNumId w:val="7"/>
  </w:num>
  <w:num w:numId="18">
    <w:abstractNumId w:val="11"/>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14337" fillcolor="white">
      <v:fill color="white"/>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65"/>
    <w:rsid w:val="000000DB"/>
    <w:rsid w:val="00000E18"/>
    <w:rsid w:val="000015CC"/>
    <w:rsid w:val="00002BB0"/>
    <w:rsid w:val="0000320E"/>
    <w:rsid w:val="000037EF"/>
    <w:rsid w:val="00004AAB"/>
    <w:rsid w:val="000136C3"/>
    <w:rsid w:val="00014248"/>
    <w:rsid w:val="00014730"/>
    <w:rsid w:val="00014CA2"/>
    <w:rsid w:val="00015ACB"/>
    <w:rsid w:val="00015AF4"/>
    <w:rsid w:val="0001658B"/>
    <w:rsid w:val="00020D1E"/>
    <w:rsid w:val="00022B6C"/>
    <w:rsid w:val="0002388B"/>
    <w:rsid w:val="000250B3"/>
    <w:rsid w:val="00025EF9"/>
    <w:rsid w:val="00026688"/>
    <w:rsid w:val="000278BA"/>
    <w:rsid w:val="00030E6C"/>
    <w:rsid w:val="00032960"/>
    <w:rsid w:val="00033B7B"/>
    <w:rsid w:val="0003459B"/>
    <w:rsid w:val="000369E4"/>
    <w:rsid w:val="00036B0A"/>
    <w:rsid w:val="0004001C"/>
    <w:rsid w:val="00046147"/>
    <w:rsid w:val="00046C0C"/>
    <w:rsid w:val="00046D33"/>
    <w:rsid w:val="00050970"/>
    <w:rsid w:val="000531C3"/>
    <w:rsid w:val="000550F1"/>
    <w:rsid w:val="00057D97"/>
    <w:rsid w:val="00060E30"/>
    <w:rsid w:val="00061B6B"/>
    <w:rsid w:val="00063534"/>
    <w:rsid w:val="00064605"/>
    <w:rsid w:val="00071CE1"/>
    <w:rsid w:val="00072633"/>
    <w:rsid w:val="00073EA3"/>
    <w:rsid w:val="00083CFB"/>
    <w:rsid w:val="00086AAC"/>
    <w:rsid w:val="00086DBB"/>
    <w:rsid w:val="000904D7"/>
    <w:rsid w:val="0009160C"/>
    <w:rsid w:val="0009562A"/>
    <w:rsid w:val="00097891"/>
    <w:rsid w:val="00097EA4"/>
    <w:rsid w:val="000A12EB"/>
    <w:rsid w:val="000A672C"/>
    <w:rsid w:val="000B3E17"/>
    <w:rsid w:val="000B7004"/>
    <w:rsid w:val="000B7B50"/>
    <w:rsid w:val="000C22F4"/>
    <w:rsid w:val="000C435F"/>
    <w:rsid w:val="000C4E97"/>
    <w:rsid w:val="000C4F7E"/>
    <w:rsid w:val="000D4180"/>
    <w:rsid w:val="000D67B4"/>
    <w:rsid w:val="000E0E30"/>
    <w:rsid w:val="000E3AAC"/>
    <w:rsid w:val="000E5462"/>
    <w:rsid w:val="000E6CDD"/>
    <w:rsid w:val="000E7D89"/>
    <w:rsid w:val="000F0CEA"/>
    <w:rsid w:val="000F3740"/>
    <w:rsid w:val="000F44D8"/>
    <w:rsid w:val="000F65CA"/>
    <w:rsid w:val="000F7E95"/>
    <w:rsid w:val="001001C8"/>
    <w:rsid w:val="00102F71"/>
    <w:rsid w:val="00105756"/>
    <w:rsid w:val="001066DC"/>
    <w:rsid w:val="001072A2"/>
    <w:rsid w:val="00114CFC"/>
    <w:rsid w:val="0012215C"/>
    <w:rsid w:val="00124B01"/>
    <w:rsid w:val="0012602E"/>
    <w:rsid w:val="00127CFB"/>
    <w:rsid w:val="00130FAA"/>
    <w:rsid w:val="001325B5"/>
    <w:rsid w:val="00133E6B"/>
    <w:rsid w:val="0013598F"/>
    <w:rsid w:val="001476D2"/>
    <w:rsid w:val="00150BC1"/>
    <w:rsid w:val="00151A9D"/>
    <w:rsid w:val="00155098"/>
    <w:rsid w:val="0015559E"/>
    <w:rsid w:val="00157E3A"/>
    <w:rsid w:val="0016394A"/>
    <w:rsid w:val="00164FEA"/>
    <w:rsid w:val="00165FC8"/>
    <w:rsid w:val="0016618E"/>
    <w:rsid w:val="00166476"/>
    <w:rsid w:val="00171A48"/>
    <w:rsid w:val="00174A65"/>
    <w:rsid w:val="00174B71"/>
    <w:rsid w:val="001761E6"/>
    <w:rsid w:val="00176817"/>
    <w:rsid w:val="00177B87"/>
    <w:rsid w:val="00180ED5"/>
    <w:rsid w:val="001811F8"/>
    <w:rsid w:val="00181448"/>
    <w:rsid w:val="0018288C"/>
    <w:rsid w:val="00182E61"/>
    <w:rsid w:val="001862D7"/>
    <w:rsid w:val="00187EBF"/>
    <w:rsid w:val="00190267"/>
    <w:rsid w:val="0019055A"/>
    <w:rsid w:val="0019137D"/>
    <w:rsid w:val="00191A44"/>
    <w:rsid w:val="0019437F"/>
    <w:rsid w:val="0019484A"/>
    <w:rsid w:val="00195DA6"/>
    <w:rsid w:val="001967DC"/>
    <w:rsid w:val="001A0294"/>
    <w:rsid w:val="001A0AC5"/>
    <w:rsid w:val="001A3A54"/>
    <w:rsid w:val="001A4704"/>
    <w:rsid w:val="001A4852"/>
    <w:rsid w:val="001A5892"/>
    <w:rsid w:val="001A7E0D"/>
    <w:rsid w:val="001B3F58"/>
    <w:rsid w:val="001B4B5F"/>
    <w:rsid w:val="001B5C24"/>
    <w:rsid w:val="001C080D"/>
    <w:rsid w:val="001C0A02"/>
    <w:rsid w:val="001C0BA3"/>
    <w:rsid w:val="001C2489"/>
    <w:rsid w:val="001C399E"/>
    <w:rsid w:val="001C7E09"/>
    <w:rsid w:val="001D2452"/>
    <w:rsid w:val="001D2F28"/>
    <w:rsid w:val="001D3363"/>
    <w:rsid w:val="001D49A9"/>
    <w:rsid w:val="001D5537"/>
    <w:rsid w:val="001D5A36"/>
    <w:rsid w:val="001D6B32"/>
    <w:rsid w:val="001E1AE7"/>
    <w:rsid w:val="001E2064"/>
    <w:rsid w:val="001E2C89"/>
    <w:rsid w:val="001E5F52"/>
    <w:rsid w:val="001E6013"/>
    <w:rsid w:val="001F0C24"/>
    <w:rsid w:val="001F0E04"/>
    <w:rsid w:val="001F348A"/>
    <w:rsid w:val="001F4FFE"/>
    <w:rsid w:val="001F56E6"/>
    <w:rsid w:val="001F5BA6"/>
    <w:rsid w:val="001F7B87"/>
    <w:rsid w:val="002025D1"/>
    <w:rsid w:val="00202D82"/>
    <w:rsid w:val="002034E6"/>
    <w:rsid w:val="0020449A"/>
    <w:rsid w:val="00205BF1"/>
    <w:rsid w:val="002079DD"/>
    <w:rsid w:val="00207CF3"/>
    <w:rsid w:val="00215BD2"/>
    <w:rsid w:val="00217879"/>
    <w:rsid w:val="002241DC"/>
    <w:rsid w:val="00226D3A"/>
    <w:rsid w:val="002307DB"/>
    <w:rsid w:val="00230829"/>
    <w:rsid w:val="002346D5"/>
    <w:rsid w:val="0023520C"/>
    <w:rsid w:val="00235BCD"/>
    <w:rsid w:val="00240D17"/>
    <w:rsid w:val="00242069"/>
    <w:rsid w:val="00242A10"/>
    <w:rsid w:val="0024696C"/>
    <w:rsid w:val="002504DD"/>
    <w:rsid w:val="00251046"/>
    <w:rsid w:val="0025136C"/>
    <w:rsid w:val="00253800"/>
    <w:rsid w:val="00255B5D"/>
    <w:rsid w:val="00255D16"/>
    <w:rsid w:val="002601B0"/>
    <w:rsid w:val="00261EAB"/>
    <w:rsid w:val="0026650C"/>
    <w:rsid w:val="00267DF3"/>
    <w:rsid w:val="00271602"/>
    <w:rsid w:val="00272609"/>
    <w:rsid w:val="00275FB5"/>
    <w:rsid w:val="0028005E"/>
    <w:rsid w:val="002839B6"/>
    <w:rsid w:val="00283AF5"/>
    <w:rsid w:val="00283FE1"/>
    <w:rsid w:val="00284DAD"/>
    <w:rsid w:val="0028665F"/>
    <w:rsid w:val="00287E96"/>
    <w:rsid w:val="00290CE9"/>
    <w:rsid w:val="00293C67"/>
    <w:rsid w:val="00293FB6"/>
    <w:rsid w:val="002948C2"/>
    <w:rsid w:val="00295D5F"/>
    <w:rsid w:val="00295FE2"/>
    <w:rsid w:val="002A1186"/>
    <w:rsid w:val="002A1BA9"/>
    <w:rsid w:val="002A30B1"/>
    <w:rsid w:val="002B0EBC"/>
    <w:rsid w:val="002B21F1"/>
    <w:rsid w:val="002B445E"/>
    <w:rsid w:val="002B5AA6"/>
    <w:rsid w:val="002B5BEA"/>
    <w:rsid w:val="002C0C6F"/>
    <w:rsid w:val="002C0D14"/>
    <w:rsid w:val="002C12CD"/>
    <w:rsid w:val="002C26B8"/>
    <w:rsid w:val="002C403C"/>
    <w:rsid w:val="002C4183"/>
    <w:rsid w:val="002C5F61"/>
    <w:rsid w:val="002C7740"/>
    <w:rsid w:val="002D0D07"/>
    <w:rsid w:val="002D1E2C"/>
    <w:rsid w:val="002D24D4"/>
    <w:rsid w:val="002D3524"/>
    <w:rsid w:val="002D40E9"/>
    <w:rsid w:val="002D4186"/>
    <w:rsid w:val="002D44CC"/>
    <w:rsid w:val="002D6C97"/>
    <w:rsid w:val="002E14B5"/>
    <w:rsid w:val="002E17CE"/>
    <w:rsid w:val="002E62E6"/>
    <w:rsid w:val="002E785E"/>
    <w:rsid w:val="002E7A1F"/>
    <w:rsid w:val="002F0548"/>
    <w:rsid w:val="002F3B71"/>
    <w:rsid w:val="002F5158"/>
    <w:rsid w:val="002F7193"/>
    <w:rsid w:val="00304CB3"/>
    <w:rsid w:val="00305FDA"/>
    <w:rsid w:val="00307087"/>
    <w:rsid w:val="00307625"/>
    <w:rsid w:val="0031286F"/>
    <w:rsid w:val="00312938"/>
    <w:rsid w:val="00312F9A"/>
    <w:rsid w:val="00313340"/>
    <w:rsid w:val="00314B50"/>
    <w:rsid w:val="00314D51"/>
    <w:rsid w:val="00321CB2"/>
    <w:rsid w:val="00322582"/>
    <w:rsid w:val="00323527"/>
    <w:rsid w:val="00323629"/>
    <w:rsid w:val="00324E43"/>
    <w:rsid w:val="00331F9F"/>
    <w:rsid w:val="00332228"/>
    <w:rsid w:val="00334839"/>
    <w:rsid w:val="00335558"/>
    <w:rsid w:val="00337551"/>
    <w:rsid w:val="00337C5E"/>
    <w:rsid w:val="00337D6C"/>
    <w:rsid w:val="00340BD7"/>
    <w:rsid w:val="00341CBE"/>
    <w:rsid w:val="003425D7"/>
    <w:rsid w:val="00343009"/>
    <w:rsid w:val="003435BD"/>
    <w:rsid w:val="00343961"/>
    <w:rsid w:val="00345E57"/>
    <w:rsid w:val="003530F7"/>
    <w:rsid w:val="00355AE3"/>
    <w:rsid w:val="00355E06"/>
    <w:rsid w:val="00356465"/>
    <w:rsid w:val="003602A8"/>
    <w:rsid w:val="003621AF"/>
    <w:rsid w:val="00362692"/>
    <w:rsid w:val="00362E31"/>
    <w:rsid w:val="00363357"/>
    <w:rsid w:val="00366D3E"/>
    <w:rsid w:val="003678FF"/>
    <w:rsid w:val="00375611"/>
    <w:rsid w:val="00381745"/>
    <w:rsid w:val="00383E91"/>
    <w:rsid w:val="003852E1"/>
    <w:rsid w:val="0038755D"/>
    <w:rsid w:val="00390304"/>
    <w:rsid w:val="00392056"/>
    <w:rsid w:val="003923BF"/>
    <w:rsid w:val="00392B40"/>
    <w:rsid w:val="003935B4"/>
    <w:rsid w:val="00393FAD"/>
    <w:rsid w:val="003941A2"/>
    <w:rsid w:val="00395EDE"/>
    <w:rsid w:val="00396B48"/>
    <w:rsid w:val="00397BBF"/>
    <w:rsid w:val="003A01C9"/>
    <w:rsid w:val="003A3BC5"/>
    <w:rsid w:val="003A3F19"/>
    <w:rsid w:val="003A46AC"/>
    <w:rsid w:val="003A4843"/>
    <w:rsid w:val="003B0E7A"/>
    <w:rsid w:val="003B3A1A"/>
    <w:rsid w:val="003B4374"/>
    <w:rsid w:val="003B448A"/>
    <w:rsid w:val="003B4D83"/>
    <w:rsid w:val="003B6133"/>
    <w:rsid w:val="003B61CB"/>
    <w:rsid w:val="003C1117"/>
    <w:rsid w:val="003C1510"/>
    <w:rsid w:val="003C1633"/>
    <w:rsid w:val="003C1796"/>
    <w:rsid w:val="003C376A"/>
    <w:rsid w:val="003C546E"/>
    <w:rsid w:val="003D157A"/>
    <w:rsid w:val="003D2808"/>
    <w:rsid w:val="003D3804"/>
    <w:rsid w:val="003E1DC9"/>
    <w:rsid w:val="003E5CB5"/>
    <w:rsid w:val="003F1108"/>
    <w:rsid w:val="003F2A6E"/>
    <w:rsid w:val="003F53D5"/>
    <w:rsid w:val="003F7844"/>
    <w:rsid w:val="0040123F"/>
    <w:rsid w:val="0040129E"/>
    <w:rsid w:val="00402CB6"/>
    <w:rsid w:val="00406638"/>
    <w:rsid w:val="004070F0"/>
    <w:rsid w:val="00411775"/>
    <w:rsid w:val="004145C3"/>
    <w:rsid w:val="00414A1A"/>
    <w:rsid w:val="0042239E"/>
    <w:rsid w:val="00423B74"/>
    <w:rsid w:val="004267D8"/>
    <w:rsid w:val="00426843"/>
    <w:rsid w:val="00427295"/>
    <w:rsid w:val="00430298"/>
    <w:rsid w:val="00431296"/>
    <w:rsid w:val="004345C5"/>
    <w:rsid w:val="004346F7"/>
    <w:rsid w:val="004364D6"/>
    <w:rsid w:val="00436F0E"/>
    <w:rsid w:val="00443147"/>
    <w:rsid w:val="004441E7"/>
    <w:rsid w:val="00444670"/>
    <w:rsid w:val="0044613A"/>
    <w:rsid w:val="0045047F"/>
    <w:rsid w:val="004505AF"/>
    <w:rsid w:val="00452881"/>
    <w:rsid w:val="00454A62"/>
    <w:rsid w:val="00454D46"/>
    <w:rsid w:val="00457701"/>
    <w:rsid w:val="00460762"/>
    <w:rsid w:val="004609C0"/>
    <w:rsid w:val="00462408"/>
    <w:rsid w:val="0046247A"/>
    <w:rsid w:val="00462A46"/>
    <w:rsid w:val="00464030"/>
    <w:rsid w:val="004669FA"/>
    <w:rsid w:val="0047173A"/>
    <w:rsid w:val="0047321A"/>
    <w:rsid w:val="00473D2E"/>
    <w:rsid w:val="00474636"/>
    <w:rsid w:val="004748F2"/>
    <w:rsid w:val="004816CE"/>
    <w:rsid w:val="00486143"/>
    <w:rsid w:val="004874A1"/>
    <w:rsid w:val="00487797"/>
    <w:rsid w:val="00487D47"/>
    <w:rsid w:val="00490A89"/>
    <w:rsid w:val="00493409"/>
    <w:rsid w:val="00494F60"/>
    <w:rsid w:val="004A03F2"/>
    <w:rsid w:val="004A1297"/>
    <w:rsid w:val="004A20EB"/>
    <w:rsid w:val="004A22BE"/>
    <w:rsid w:val="004A45BF"/>
    <w:rsid w:val="004A6F10"/>
    <w:rsid w:val="004B0463"/>
    <w:rsid w:val="004B30BF"/>
    <w:rsid w:val="004B4053"/>
    <w:rsid w:val="004B5F28"/>
    <w:rsid w:val="004B751D"/>
    <w:rsid w:val="004B79D5"/>
    <w:rsid w:val="004C0428"/>
    <w:rsid w:val="004C089B"/>
    <w:rsid w:val="004C14A1"/>
    <w:rsid w:val="004C19EC"/>
    <w:rsid w:val="004C28E7"/>
    <w:rsid w:val="004C2F97"/>
    <w:rsid w:val="004C43B3"/>
    <w:rsid w:val="004C4FB1"/>
    <w:rsid w:val="004C50E3"/>
    <w:rsid w:val="004C5A62"/>
    <w:rsid w:val="004C7101"/>
    <w:rsid w:val="004D13ED"/>
    <w:rsid w:val="004D3AF6"/>
    <w:rsid w:val="004D46AF"/>
    <w:rsid w:val="004D5516"/>
    <w:rsid w:val="004D5568"/>
    <w:rsid w:val="004D64BD"/>
    <w:rsid w:val="004D7147"/>
    <w:rsid w:val="004D7B5E"/>
    <w:rsid w:val="004E0CA2"/>
    <w:rsid w:val="004E5350"/>
    <w:rsid w:val="004E5973"/>
    <w:rsid w:val="004E5D1A"/>
    <w:rsid w:val="004E5E06"/>
    <w:rsid w:val="004E73E8"/>
    <w:rsid w:val="004F16E2"/>
    <w:rsid w:val="004F2C7C"/>
    <w:rsid w:val="004F4A00"/>
    <w:rsid w:val="004F63C4"/>
    <w:rsid w:val="0050783D"/>
    <w:rsid w:val="0051090F"/>
    <w:rsid w:val="00512D56"/>
    <w:rsid w:val="00514C1F"/>
    <w:rsid w:val="0051563C"/>
    <w:rsid w:val="00516246"/>
    <w:rsid w:val="00521F9F"/>
    <w:rsid w:val="00522FC8"/>
    <w:rsid w:val="00523602"/>
    <w:rsid w:val="00524A9A"/>
    <w:rsid w:val="00524D4E"/>
    <w:rsid w:val="0053046D"/>
    <w:rsid w:val="005347C3"/>
    <w:rsid w:val="0054066A"/>
    <w:rsid w:val="005430CC"/>
    <w:rsid w:val="005448C2"/>
    <w:rsid w:val="00545110"/>
    <w:rsid w:val="005459F7"/>
    <w:rsid w:val="00545E73"/>
    <w:rsid w:val="00546748"/>
    <w:rsid w:val="00546A14"/>
    <w:rsid w:val="005473E4"/>
    <w:rsid w:val="00547D20"/>
    <w:rsid w:val="00551F27"/>
    <w:rsid w:val="00553A0C"/>
    <w:rsid w:val="0055471D"/>
    <w:rsid w:val="005547B1"/>
    <w:rsid w:val="00554E35"/>
    <w:rsid w:val="00555B76"/>
    <w:rsid w:val="00556C70"/>
    <w:rsid w:val="00561697"/>
    <w:rsid w:val="0056654F"/>
    <w:rsid w:val="00566DD6"/>
    <w:rsid w:val="00567AFA"/>
    <w:rsid w:val="005723C5"/>
    <w:rsid w:val="005738FA"/>
    <w:rsid w:val="0057400C"/>
    <w:rsid w:val="0057419E"/>
    <w:rsid w:val="005805E7"/>
    <w:rsid w:val="00583130"/>
    <w:rsid w:val="005845A1"/>
    <w:rsid w:val="0059222E"/>
    <w:rsid w:val="00593444"/>
    <w:rsid w:val="0059372E"/>
    <w:rsid w:val="0059411B"/>
    <w:rsid w:val="00594B5F"/>
    <w:rsid w:val="00595C51"/>
    <w:rsid w:val="0059695B"/>
    <w:rsid w:val="005A1BA4"/>
    <w:rsid w:val="005A2736"/>
    <w:rsid w:val="005A47F7"/>
    <w:rsid w:val="005A50EC"/>
    <w:rsid w:val="005B11B1"/>
    <w:rsid w:val="005B1325"/>
    <w:rsid w:val="005B2F39"/>
    <w:rsid w:val="005C0087"/>
    <w:rsid w:val="005C105F"/>
    <w:rsid w:val="005C2170"/>
    <w:rsid w:val="005C7EC8"/>
    <w:rsid w:val="005D3612"/>
    <w:rsid w:val="005D4806"/>
    <w:rsid w:val="005D50D1"/>
    <w:rsid w:val="005E15C9"/>
    <w:rsid w:val="005E1695"/>
    <w:rsid w:val="005E1F9C"/>
    <w:rsid w:val="005E2CCE"/>
    <w:rsid w:val="005E3221"/>
    <w:rsid w:val="005E578F"/>
    <w:rsid w:val="005E6513"/>
    <w:rsid w:val="005E7099"/>
    <w:rsid w:val="005F06FC"/>
    <w:rsid w:val="005F0AF4"/>
    <w:rsid w:val="005F0E75"/>
    <w:rsid w:val="005F236F"/>
    <w:rsid w:val="005F7DE6"/>
    <w:rsid w:val="00601B6B"/>
    <w:rsid w:val="0060299F"/>
    <w:rsid w:val="00603646"/>
    <w:rsid w:val="00612C18"/>
    <w:rsid w:val="006144E3"/>
    <w:rsid w:val="00621FF7"/>
    <w:rsid w:val="0062254A"/>
    <w:rsid w:val="00626725"/>
    <w:rsid w:val="00627EB7"/>
    <w:rsid w:val="00630845"/>
    <w:rsid w:val="006310D4"/>
    <w:rsid w:val="006345E9"/>
    <w:rsid w:val="006358CB"/>
    <w:rsid w:val="006363D7"/>
    <w:rsid w:val="00636FE0"/>
    <w:rsid w:val="00637426"/>
    <w:rsid w:val="006374B0"/>
    <w:rsid w:val="00637525"/>
    <w:rsid w:val="0064162F"/>
    <w:rsid w:val="00644A44"/>
    <w:rsid w:val="00645A0C"/>
    <w:rsid w:val="00645F5B"/>
    <w:rsid w:val="0064602E"/>
    <w:rsid w:val="00650895"/>
    <w:rsid w:val="006508A1"/>
    <w:rsid w:val="00652309"/>
    <w:rsid w:val="006560AA"/>
    <w:rsid w:val="0066014B"/>
    <w:rsid w:val="00660972"/>
    <w:rsid w:val="00661064"/>
    <w:rsid w:val="00662072"/>
    <w:rsid w:val="00664183"/>
    <w:rsid w:val="0066440E"/>
    <w:rsid w:val="00664689"/>
    <w:rsid w:val="006667CE"/>
    <w:rsid w:val="006675F0"/>
    <w:rsid w:val="00667E80"/>
    <w:rsid w:val="00671042"/>
    <w:rsid w:val="00682396"/>
    <w:rsid w:val="006838D5"/>
    <w:rsid w:val="00687089"/>
    <w:rsid w:val="006873D2"/>
    <w:rsid w:val="00690627"/>
    <w:rsid w:val="006913D1"/>
    <w:rsid w:val="0069603F"/>
    <w:rsid w:val="006964BD"/>
    <w:rsid w:val="00696563"/>
    <w:rsid w:val="006A08CD"/>
    <w:rsid w:val="006A28AA"/>
    <w:rsid w:val="006A4F7D"/>
    <w:rsid w:val="006A6B06"/>
    <w:rsid w:val="006A706C"/>
    <w:rsid w:val="006A7736"/>
    <w:rsid w:val="006B065E"/>
    <w:rsid w:val="006B744A"/>
    <w:rsid w:val="006C541A"/>
    <w:rsid w:val="006C6227"/>
    <w:rsid w:val="006C644F"/>
    <w:rsid w:val="006D0877"/>
    <w:rsid w:val="006D1103"/>
    <w:rsid w:val="006D261B"/>
    <w:rsid w:val="006D4067"/>
    <w:rsid w:val="006D6E29"/>
    <w:rsid w:val="006D6E37"/>
    <w:rsid w:val="006D71B6"/>
    <w:rsid w:val="006E1930"/>
    <w:rsid w:val="006E45A4"/>
    <w:rsid w:val="006E578F"/>
    <w:rsid w:val="006E6045"/>
    <w:rsid w:val="006E6242"/>
    <w:rsid w:val="006E6EC2"/>
    <w:rsid w:val="006E76E0"/>
    <w:rsid w:val="006F2356"/>
    <w:rsid w:val="006F2F0A"/>
    <w:rsid w:val="006F41BD"/>
    <w:rsid w:val="006F6DA4"/>
    <w:rsid w:val="006F7016"/>
    <w:rsid w:val="00701B0D"/>
    <w:rsid w:val="00703E6F"/>
    <w:rsid w:val="00704E58"/>
    <w:rsid w:val="00710F13"/>
    <w:rsid w:val="00712300"/>
    <w:rsid w:val="007130BD"/>
    <w:rsid w:val="007239E8"/>
    <w:rsid w:val="00724656"/>
    <w:rsid w:val="0072565F"/>
    <w:rsid w:val="00733143"/>
    <w:rsid w:val="00737791"/>
    <w:rsid w:val="00737C1C"/>
    <w:rsid w:val="00743431"/>
    <w:rsid w:val="0074425E"/>
    <w:rsid w:val="00750362"/>
    <w:rsid w:val="007513AE"/>
    <w:rsid w:val="007538C2"/>
    <w:rsid w:val="0075471F"/>
    <w:rsid w:val="007562DD"/>
    <w:rsid w:val="0075731F"/>
    <w:rsid w:val="0075733E"/>
    <w:rsid w:val="00762D76"/>
    <w:rsid w:val="00763F79"/>
    <w:rsid w:val="007650D8"/>
    <w:rsid w:val="00777BD7"/>
    <w:rsid w:val="0078058D"/>
    <w:rsid w:val="00782D92"/>
    <w:rsid w:val="00783EB0"/>
    <w:rsid w:val="00784E00"/>
    <w:rsid w:val="007857BB"/>
    <w:rsid w:val="00786671"/>
    <w:rsid w:val="00787A1C"/>
    <w:rsid w:val="007902AB"/>
    <w:rsid w:val="00792374"/>
    <w:rsid w:val="007937C2"/>
    <w:rsid w:val="00793E57"/>
    <w:rsid w:val="00793EEC"/>
    <w:rsid w:val="00795037"/>
    <w:rsid w:val="007A025B"/>
    <w:rsid w:val="007A097E"/>
    <w:rsid w:val="007A14BE"/>
    <w:rsid w:val="007A1A5D"/>
    <w:rsid w:val="007A5AAD"/>
    <w:rsid w:val="007A7E71"/>
    <w:rsid w:val="007B0A61"/>
    <w:rsid w:val="007B40F6"/>
    <w:rsid w:val="007B4A4E"/>
    <w:rsid w:val="007B51A8"/>
    <w:rsid w:val="007C098B"/>
    <w:rsid w:val="007C43D4"/>
    <w:rsid w:val="007C46DC"/>
    <w:rsid w:val="007C5510"/>
    <w:rsid w:val="007D243A"/>
    <w:rsid w:val="007D27E5"/>
    <w:rsid w:val="007D2A43"/>
    <w:rsid w:val="007D2D3A"/>
    <w:rsid w:val="007D45FF"/>
    <w:rsid w:val="007D47B4"/>
    <w:rsid w:val="007D4873"/>
    <w:rsid w:val="007D504E"/>
    <w:rsid w:val="007D6108"/>
    <w:rsid w:val="007D731A"/>
    <w:rsid w:val="007D7C98"/>
    <w:rsid w:val="007D7E47"/>
    <w:rsid w:val="007E0060"/>
    <w:rsid w:val="007E0DA1"/>
    <w:rsid w:val="007E166F"/>
    <w:rsid w:val="007E50C3"/>
    <w:rsid w:val="007E69A5"/>
    <w:rsid w:val="007E7AE5"/>
    <w:rsid w:val="007F131D"/>
    <w:rsid w:val="007F2D87"/>
    <w:rsid w:val="007F4424"/>
    <w:rsid w:val="007F6F56"/>
    <w:rsid w:val="007F7F4D"/>
    <w:rsid w:val="008002FF"/>
    <w:rsid w:val="008019F7"/>
    <w:rsid w:val="0080723E"/>
    <w:rsid w:val="00807321"/>
    <w:rsid w:val="0081123C"/>
    <w:rsid w:val="00815AFB"/>
    <w:rsid w:val="00815B90"/>
    <w:rsid w:val="00816348"/>
    <w:rsid w:val="00816E3B"/>
    <w:rsid w:val="008238A4"/>
    <w:rsid w:val="00825083"/>
    <w:rsid w:val="008269E4"/>
    <w:rsid w:val="00826FA1"/>
    <w:rsid w:val="0083143F"/>
    <w:rsid w:val="00834101"/>
    <w:rsid w:val="008350A7"/>
    <w:rsid w:val="00846BC3"/>
    <w:rsid w:val="00846D67"/>
    <w:rsid w:val="0085138D"/>
    <w:rsid w:val="00854958"/>
    <w:rsid w:val="00855782"/>
    <w:rsid w:val="00856E82"/>
    <w:rsid w:val="0085783D"/>
    <w:rsid w:val="00860520"/>
    <w:rsid w:val="008624F0"/>
    <w:rsid w:val="00863BBB"/>
    <w:rsid w:val="00870216"/>
    <w:rsid w:val="00873043"/>
    <w:rsid w:val="00874BC2"/>
    <w:rsid w:val="00881776"/>
    <w:rsid w:val="008817F1"/>
    <w:rsid w:val="0088721C"/>
    <w:rsid w:val="00887230"/>
    <w:rsid w:val="00891F7B"/>
    <w:rsid w:val="00893EC2"/>
    <w:rsid w:val="008940E9"/>
    <w:rsid w:val="0089456B"/>
    <w:rsid w:val="008960BD"/>
    <w:rsid w:val="0089621F"/>
    <w:rsid w:val="00896E32"/>
    <w:rsid w:val="008A06C1"/>
    <w:rsid w:val="008A237A"/>
    <w:rsid w:val="008A2417"/>
    <w:rsid w:val="008B08E0"/>
    <w:rsid w:val="008B0BE7"/>
    <w:rsid w:val="008B4602"/>
    <w:rsid w:val="008C5C6F"/>
    <w:rsid w:val="008D15D1"/>
    <w:rsid w:val="008D34F6"/>
    <w:rsid w:val="008D44CA"/>
    <w:rsid w:val="008D51AA"/>
    <w:rsid w:val="008D5674"/>
    <w:rsid w:val="008D58CD"/>
    <w:rsid w:val="008D59CB"/>
    <w:rsid w:val="008E1B67"/>
    <w:rsid w:val="008E2AE7"/>
    <w:rsid w:val="008E68A9"/>
    <w:rsid w:val="008E6AD1"/>
    <w:rsid w:val="008E6D1D"/>
    <w:rsid w:val="008F2DD7"/>
    <w:rsid w:val="008F45FB"/>
    <w:rsid w:val="00900483"/>
    <w:rsid w:val="009005B1"/>
    <w:rsid w:val="00900A61"/>
    <w:rsid w:val="00901340"/>
    <w:rsid w:val="0090363C"/>
    <w:rsid w:val="00910249"/>
    <w:rsid w:val="00911438"/>
    <w:rsid w:val="00913B9C"/>
    <w:rsid w:val="00916556"/>
    <w:rsid w:val="00921773"/>
    <w:rsid w:val="00922817"/>
    <w:rsid w:val="009237F5"/>
    <w:rsid w:val="00923CC9"/>
    <w:rsid w:val="00924C10"/>
    <w:rsid w:val="00925540"/>
    <w:rsid w:val="00925A73"/>
    <w:rsid w:val="00927409"/>
    <w:rsid w:val="0093372E"/>
    <w:rsid w:val="00934AAF"/>
    <w:rsid w:val="00935104"/>
    <w:rsid w:val="009366B3"/>
    <w:rsid w:val="009411AA"/>
    <w:rsid w:val="009414B6"/>
    <w:rsid w:val="0094184A"/>
    <w:rsid w:val="00942DB6"/>
    <w:rsid w:val="0094694F"/>
    <w:rsid w:val="00946BA2"/>
    <w:rsid w:val="0094778C"/>
    <w:rsid w:val="00947B2D"/>
    <w:rsid w:val="00950D29"/>
    <w:rsid w:val="00951198"/>
    <w:rsid w:val="0095292F"/>
    <w:rsid w:val="00956987"/>
    <w:rsid w:val="0095716E"/>
    <w:rsid w:val="009645AC"/>
    <w:rsid w:val="00965B18"/>
    <w:rsid w:val="00966E5D"/>
    <w:rsid w:val="0097196D"/>
    <w:rsid w:val="0097210A"/>
    <w:rsid w:val="0097382C"/>
    <w:rsid w:val="00975345"/>
    <w:rsid w:val="0097670F"/>
    <w:rsid w:val="009805E1"/>
    <w:rsid w:val="00981B07"/>
    <w:rsid w:val="00984AFD"/>
    <w:rsid w:val="00985571"/>
    <w:rsid w:val="00986E54"/>
    <w:rsid w:val="0098776D"/>
    <w:rsid w:val="009877CF"/>
    <w:rsid w:val="00990536"/>
    <w:rsid w:val="0099118D"/>
    <w:rsid w:val="009942C1"/>
    <w:rsid w:val="00995DB3"/>
    <w:rsid w:val="009A0656"/>
    <w:rsid w:val="009A1CD2"/>
    <w:rsid w:val="009A31B6"/>
    <w:rsid w:val="009A55B3"/>
    <w:rsid w:val="009A76D5"/>
    <w:rsid w:val="009A7BFE"/>
    <w:rsid w:val="009B072C"/>
    <w:rsid w:val="009B21AD"/>
    <w:rsid w:val="009B2651"/>
    <w:rsid w:val="009B2946"/>
    <w:rsid w:val="009B2A53"/>
    <w:rsid w:val="009B2D6C"/>
    <w:rsid w:val="009B3DAE"/>
    <w:rsid w:val="009B4870"/>
    <w:rsid w:val="009B62B5"/>
    <w:rsid w:val="009C5455"/>
    <w:rsid w:val="009D065B"/>
    <w:rsid w:val="009D18F4"/>
    <w:rsid w:val="009D3FEF"/>
    <w:rsid w:val="009D69F1"/>
    <w:rsid w:val="009E0749"/>
    <w:rsid w:val="009E172B"/>
    <w:rsid w:val="009E3888"/>
    <w:rsid w:val="009E3993"/>
    <w:rsid w:val="009E3A90"/>
    <w:rsid w:val="009E426D"/>
    <w:rsid w:val="009E4BF2"/>
    <w:rsid w:val="009F146D"/>
    <w:rsid w:val="009F533B"/>
    <w:rsid w:val="009F7D43"/>
    <w:rsid w:val="00A0243E"/>
    <w:rsid w:val="00A02F8C"/>
    <w:rsid w:val="00A043F7"/>
    <w:rsid w:val="00A06D04"/>
    <w:rsid w:val="00A07BD7"/>
    <w:rsid w:val="00A100E6"/>
    <w:rsid w:val="00A10714"/>
    <w:rsid w:val="00A108D6"/>
    <w:rsid w:val="00A10C3A"/>
    <w:rsid w:val="00A11406"/>
    <w:rsid w:val="00A133B8"/>
    <w:rsid w:val="00A1373B"/>
    <w:rsid w:val="00A23737"/>
    <w:rsid w:val="00A23C38"/>
    <w:rsid w:val="00A2415D"/>
    <w:rsid w:val="00A2563B"/>
    <w:rsid w:val="00A27083"/>
    <w:rsid w:val="00A307C7"/>
    <w:rsid w:val="00A30F97"/>
    <w:rsid w:val="00A34504"/>
    <w:rsid w:val="00A36034"/>
    <w:rsid w:val="00A363D0"/>
    <w:rsid w:val="00A43BC2"/>
    <w:rsid w:val="00A46DFA"/>
    <w:rsid w:val="00A479AB"/>
    <w:rsid w:val="00A5055B"/>
    <w:rsid w:val="00A51765"/>
    <w:rsid w:val="00A52C01"/>
    <w:rsid w:val="00A542FC"/>
    <w:rsid w:val="00A54E0A"/>
    <w:rsid w:val="00A55599"/>
    <w:rsid w:val="00A56303"/>
    <w:rsid w:val="00A56418"/>
    <w:rsid w:val="00A56CC3"/>
    <w:rsid w:val="00A6149B"/>
    <w:rsid w:val="00A616F0"/>
    <w:rsid w:val="00A6302C"/>
    <w:rsid w:val="00A6385D"/>
    <w:rsid w:val="00A729D5"/>
    <w:rsid w:val="00A73E49"/>
    <w:rsid w:val="00A74438"/>
    <w:rsid w:val="00A759D6"/>
    <w:rsid w:val="00A75A25"/>
    <w:rsid w:val="00A82BC2"/>
    <w:rsid w:val="00A85D28"/>
    <w:rsid w:val="00A86784"/>
    <w:rsid w:val="00A87AC7"/>
    <w:rsid w:val="00A91F7A"/>
    <w:rsid w:val="00A923CC"/>
    <w:rsid w:val="00A9296D"/>
    <w:rsid w:val="00A92BB3"/>
    <w:rsid w:val="00A944CD"/>
    <w:rsid w:val="00A95290"/>
    <w:rsid w:val="00A97A29"/>
    <w:rsid w:val="00AA15AA"/>
    <w:rsid w:val="00AA32CF"/>
    <w:rsid w:val="00AB4883"/>
    <w:rsid w:val="00AB58CC"/>
    <w:rsid w:val="00AC1DD7"/>
    <w:rsid w:val="00AC1F4F"/>
    <w:rsid w:val="00AC4120"/>
    <w:rsid w:val="00AC67D5"/>
    <w:rsid w:val="00AC7275"/>
    <w:rsid w:val="00AD1146"/>
    <w:rsid w:val="00AD2A30"/>
    <w:rsid w:val="00AD4455"/>
    <w:rsid w:val="00AD4BF2"/>
    <w:rsid w:val="00AE0171"/>
    <w:rsid w:val="00AE0319"/>
    <w:rsid w:val="00AE28C3"/>
    <w:rsid w:val="00AE32D8"/>
    <w:rsid w:val="00AE471B"/>
    <w:rsid w:val="00AE4D8C"/>
    <w:rsid w:val="00AE50E8"/>
    <w:rsid w:val="00AE588E"/>
    <w:rsid w:val="00AE5F3E"/>
    <w:rsid w:val="00AE7ABD"/>
    <w:rsid w:val="00AF1744"/>
    <w:rsid w:val="00B00B57"/>
    <w:rsid w:val="00B02244"/>
    <w:rsid w:val="00B0538A"/>
    <w:rsid w:val="00B059E9"/>
    <w:rsid w:val="00B0603F"/>
    <w:rsid w:val="00B077FE"/>
    <w:rsid w:val="00B118E9"/>
    <w:rsid w:val="00B118EB"/>
    <w:rsid w:val="00B12328"/>
    <w:rsid w:val="00B12A69"/>
    <w:rsid w:val="00B12D57"/>
    <w:rsid w:val="00B134F1"/>
    <w:rsid w:val="00B13FB9"/>
    <w:rsid w:val="00B1497C"/>
    <w:rsid w:val="00B20259"/>
    <w:rsid w:val="00B2608F"/>
    <w:rsid w:val="00B267B8"/>
    <w:rsid w:val="00B3166D"/>
    <w:rsid w:val="00B32349"/>
    <w:rsid w:val="00B32509"/>
    <w:rsid w:val="00B330C4"/>
    <w:rsid w:val="00B330C5"/>
    <w:rsid w:val="00B3331F"/>
    <w:rsid w:val="00B3340E"/>
    <w:rsid w:val="00B36072"/>
    <w:rsid w:val="00B36838"/>
    <w:rsid w:val="00B36DAD"/>
    <w:rsid w:val="00B41869"/>
    <w:rsid w:val="00B438A0"/>
    <w:rsid w:val="00B47798"/>
    <w:rsid w:val="00B47DAA"/>
    <w:rsid w:val="00B5268F"/>
    <w:rsid w:val="00B53786"/>
    <w:rsid w:val="00B53C18"/>
    <w:rsid w:val="00B66010"/>
    <w:rsid w:val="00B6737F"/>
    <w:rsid w:val="00B67796"/>
    <w:rsid w:val="00B744FD"/>
    <w:rsid w:val="00B745F9"/>
    <w:rsid w:val="00B75994"/>
    <w:rsid w:val="00B7682C"/>
    <w:rsid w:val="00B76F72"/>
    <w:rsid w:val="00B77251"/>
    <w:rsid w:val="00B816FE"/>
    <w:rsid w:val="00B82B34"/>
    <w:rsid w:val="00B855C3"/>
    <w:rsid w:val="00B857BC"/>
    <w:rsid w:val="00B86348"/>
    <w:rsid w:val="00B90A00"/>
    <w:rsid w:val="00B92A96"/>
    <w:rsid w:val="00B92CCC"/>
    <w:rsid w:val="00B9340D"/>
    <w:rsid w:val="00B958A9"/>
    <w:rsid w:val="00B97067"/>
    <w:rsid w:val="00B975DE"/>
    <w:rsid w:val="00BA2C7E"/>
    <w:rsid w:val="00BA397B"/>
    <w:rsid w:val="00BB1055"/>
    <w:rsid w:val="00BB134F"/>
    <w:rsid w:val="00BB2426"/>
    <w:rsid w:val="00BB39CB"/>
    <w:rsid w:val="00BB3E6A"/>
    <w:rsid w:val="00BB4248"/>
    <w:rsid w:val="00BB4BFB"/>
    <w:rsid w:val="00BB4E3B"/>
    <w:rsid w:val="00BB61E9"/>
    <w:rsid w:val="00BC07B2"/>
    <w:rsid w:val="00BC0F82"/>
    <w:rsid w:val="00BC3B8D"/>
    <w:rsid w:val="00BC46D7"/>
    <w:rsid w:val="00BC68A9"/>
    <w:rsid w:val="00BC7499"/>
    <w:rsid w:val="00BD30FC"/>
    <w:rsid w:val="00BD377E"/>
    <w:rsid w:val="00BD420E"/>
    <w:rsid w:val="00BD488F"/>
    <w:rsid w:val="00BD4AD2"/>
    <w:rsid w:val="00BD79CF"/>
    <w:rsid w:val="00BD7FBE"/>
    <w:rsid w:val="00BE0EC7"/>
    <w:rsid w:val="00BE13BC"/>
    <w:rsid w:val="00BE2B72"/>
    <w:rsid w:val="00BE540F"/>
    <w:rsid w:val="00BE57C8"/>
    <w:rsid w:val="00BE5FC0"/>
    <w:rsid w:val="00BE6987"/>
    <w:rsid w:val="00BE6DD4"/>
    <w:rsid w:val="00BF04E4"/>
    <w:rsid w:val="00BF1490"/>
    <w:rsid w:val="00BF3998"/>
    <w:rsid w:val="00BF6C91"/>
    <w:rsid w:val="00BF7EBF"/>
    <w:rsid w:val="00C0001A"/>
    <w:rsid w:val="00C030DD"/>
    <w:rsid w:val="00C0398C"/>
    <w:rsid w:val="00C03B8E"/>
    <w:rsid w:val="00C03E10"/>
    <w:rsid w:val="00C04992"/>
    <w:rsid w:val="00C05B05"/>
    <w:rsid w:val="00C05D60"/>
    <w:rsid w:val="00C06CE7"/>
    <w:rsid w:val="00C1041E"/>
    <w:rsid w:val="00C121D2"/>
    <w:rsid w:val="00C176D1"/>
    <w:rsid w:val="00C202D2"/>
    <w:rsid w:val="00C20DF5"/>
    <w:rsid w:val="00C231ED"/>
    <w:rsid w:val="00C23B17"/>
    <w:rsid w:val="00C24ED9"/>
    <w:rsid w:val="00C31463"/>
    <w:rsid w:val="00C32AC9"/>
    <w:rsid w:val="00C3330E"/>
    <w:rsid w:val="00C366D5"/>
    <w:rsid w:val="00C36DCF"/>
    <w:rsid w:val="00C40B3C"/>
    <w:rsid w:val="00C41EFF"/>
    <w:rsid w:val="00C43157"/>
    <w:rsid w:val="00C43F00"/>
    <w:rsid w:val="00C44A5C"/>
    <w:rsid w:val="00C4664F"/>
    <w:rsid w:val="00C469B4"/>
    <w:rsid w:val="00C46B58"/>
    <w:rsid w:val="00C51081"/>
    <w:rsid w:val="00C51128"/>
    <w:rsid w:val="00C51574"/>
    <w:rsid w:val="00C52544"/>
    <w:rsid w:val="00C52728"/>
    <w:rsid w:val="00C53451"/>
    <w:rsid w:val="00C562FE"/>
    <w:rsid w:val="00C60E04"/>
    <w:rsid w:val="00C63008"/>
    <w:rsid w:val="00C63B26"/>
    <w:rsid w:val="00C708F7"/>
    <w:rsid w:val="00C738B7"/>
    <w:rsid w:val="00C740A4"/>
    <w:rsid w:val="00C7450D"/>
    <w:rsid w:val="00C80B31"/>
    <w:rsid w:val="00C81F97"/>
    <w:rsid w:val="00C82508"/>
    <w:rsid w:val="00C85EAC"/>
    <w:rsid w:val="00C9180C"/>
    <w:rsid w:val="00C93BD4"/>
    <w:rsid w:val="00C9426B"/>
    <w:rsid w:val="00C942B3"/>
    <w:rsid w:val="00C94494"/>
    <w:rsid w:val="00C9497A"/>
    <w:rsid w:val="00C9717F"/>
    <w:rsid w:val="00CA2B16"/>
    <w:rsid w:val="00CA334E"/>
    <w:rsid w:val="00CA45CC"/>
    <w:rsid w:val="00CA746B"/>
    <w:rsid w:val="00CB11F4"/>
    <w:rsid w:val="00CB4E91"/>
    <w:rsid w:val="00CB65E6"/>
    <w:rsid w:val="00CB7A5C"/>
    <w:rsid w:val="00CC15F0"/>
    <w:rsid w:val="00CC3F7A"/>
    <w:rsid w:val="00CC4E1D"/>
    <w:rsid w:val="00CD018F"/>
    <w:rsid w:val="00CD1372"/>
    <w:rsid w:val="00CD18D0"/>
    <w:rsid w:val="00CD5FAF"/>
    <w:rsid w:val="00CE0944"/>
    <w:rsid w:val="00CE38FB"/>
    <w:rsid w:val="00CF17D3"/>
    <w:rsid w:val="00CF1C85"/>
    <w:rsid w:val="00CF3051"/>
    <w:rsid w:val="00CF41F8"/>
    <w:rsid w:val="00D00EE4"/>
    <w:rsid w:val="00D041F9"/>
    <w:rsid w:val="00D045CC"/>
    <w:rsid w:val="00D04A05"/>
    <w:rsid w:val="00D0508D"/>
    <w:rsid w:val="00D0614C"/>
    <w:rsid w:val="00D07593"/>
    <w:rsid w:val="00D1086F"/>
    <w:rsid w:val="00D11243"/>
    <w:rsid w:val="00D120D3"/>
    <w:rsid w:val="00D1293A"/>
    <w:rsid w:val="00D12BC5"/>
    <w:rsid w:val="00D152EA"/>
    <w:rsid w:val="00D153C4"/>
    <w:rsid w:val="00D173FB"/>
    <w:rsid w:val="00D1753F"/>
    <w:rsid w:val="00D20667"/>
    <w:rsid w:val="00D24952"/>
    <w:rsid w:val="00D25177"/>
    <w:rsid w:val="00D2537D"/>
    <w:rsid w:val="00D262A0"/>
    <w:rsid w:val="00D26FB5"/>
    <w:rsid w:val="00D27317"/>
    <w:rsid w:val="00D3064F"/>
    <w:rsid w:val="00D33854"/>
    <w:rsid w:val="00D34924"/>
    <w:rsid w:val="00D34DED"/>
    <w:rsid w:val="00D374C2"/>
    <w:rsid w:val="00D40257"/>
    <w:rsid w:val="00D421DE"/>
    <w:rsid w:val="00D4266E"/>
    <w:rsid w:val="00D446F7"/>
    <w:rsid w:val="00D456DB"/>
    <w:rsid w:val="00D45A3B"/>
    <w:rsid w:val="00D45EAC"/>
    <w:rsid w:val="00D5110C"/>
    <w:rsid w:val="00D51580"/>
    <w:rsid w:val="00D51EEA"/>
    <w:rsid w:val="00D53575"/>
    <w:rsid w:val="00D5562B"/>
    <w:rsid w:val="00D55DCE"/>
    <w:rsid w:val="00D611AF"/>
    <w:rsid w:val="00D65E66"/>
    <w:rsid w:val="00D70390"/>
    <w:rsid w:val="00D7059B"/>
    <w:rsid w:val="00D74E03"/>
    <w:rsid w:val="00D76E0F"/>
    <w:rsid w:val="00D82AC6"/>
    <w:rsid w:val="00D85DEF"/>
    <w:rsid w:val="00D86FF1"/>
    <w:rsid w:val="00D8718F"/>
    <w:rsid w:val="00D87447"/>
    <w:rsid w:val="00D91308"/>
    <w:rsid w:val="00D92718"/>
    <w:rsid w:val="00D92E73"/>
    <w:rsid w:val="00D94326"/>
    <w:rsid w:val="00D95DD6"/>
    <w:rsid w:val="00D9608E"/>
    <w:rsid w:val="00D969B2"/>
    <w:rsid w:val="00D96D1C"/>
    <w:rsid w:val="00DA0002"/>
    <w:rsid w:val="00DA1C8E"/>
    <w:rsid w:val="00DA280D"/>
    <w:rsid w:val="00DA54B5"/>
    <w:rsid w:val="00DA7213"/>
    <w:rsid w:val="00DA7C5A"/>
    <w:rsid w:val="00DB4201"/>
    <w:rsid w:val="00DB4461"/>
    <w:rsid w:val="00DB4A1A"/>
    <w:rsid w:val="00DB5F95"/>
    <w:rsid w:val="00DB5FFF"/>
    <w:rsid w:val="00DB668B"/>
    <w:rsid w:val="00DC1894"/>
    <w:rsid w:val="00DC2069"/>
    <w:rsid w:val="00DC2912"/>
    <w:rsid w:val="00DC3A7A"/>
    <w:rsid w:val="00DC3DAA"/>
    <w:rsid w:val="00DC680D"/>
    <w:rsid w:val="00DC69B0"/>
    <w:rsid w:val="00DC70C3"/>
    <w:rsid w:val="00DC7BD2"/>
    <w:rsid w:val="00DD102D"/>
    <w:rsid w:val="00DE1A3F"/>
    <w:rsid w:val="00DE2AE9"/>
    <w:rsid w:val="00DE420B"/>
    <w:rsid w:val="00DE4B72"/>
    <w:rsid w:val="00DE6D21"/>
    <w:rsid w:val="00DE7AC2"/>
    <w:rsid w:val="00DF1F8C"/>
    <w:rsid w:val="00DF7259"/>
    <w:rsid w:val="00DF74F0"/>
    <w:rsid w:val="00E01F1C"/>
    <w:rsid w:val="00E021A6"/>
    <w:rsid w:val="00E02EDA"/>
    <w:rsid w:val="00E03231"/>
    <w:rsid w:val="00E07645"/>
    <w:rsid w:val="00E15C99"/>
    <w:rsid w:val="00E15D9E"/>
    <w:rsid w:val="00E17F61"/>
    <w:rsid w:val="00E20CE0"/>
    <w:rsid w:val="00E22C43"/>
    <w:rsid w:val="00E23995"/>
    <w:rsid w:val="00E23FDB"/>
    <w:rsid w:val="00E27F02"/>
    <w:rsid w:val="00E32171"/>
    <w:rsid w:val="00E33360"/>
    <w:rsid w:val="00E33FB6"/>
    <w:rsid w:val="00E40E34"/>
    <w:rsid w:val="00E418CC"/>
    <w:rsid w:val="00E41B71"/>
    <w:rsid w:val="00E41CC3"/>
    <w:rsid w:val="00E426CD"/>
    <w:rsid w:val="00E50078"/>
    <w:rsid w:val="00E56FFA"/>
    <w:rsid w:val="00E63309"/>
    <w:rsid w:val="00E6709F"/>
    <w:rsid w:val="00E7002A"/>
    <w:rsid w:val="00E70B0A"/>
    <w:rsid w:val="00E70E7F"/>
    <w:rsid w:val="00E720C7"/>
    <w:rsid w:val="00E73FD5"/>
    <w:rsid w:val="00E7495D"/>
    <w:rsid w:val="00E7603D"/>
    <w:rsid w:val="00E81440"/>
    <w:rsid w:val="00E81F3F"/>
    <w:rsid w:val="00E83368"/>
    <w:rsid w:val="00E84714"/>
    <w:rsid w:val="00E878DB"/>
    <w:rsid w:val="00E91C0C"/>
    <w:rsid w:val="00E91D7E"/>
    <w:rsid w:val="00E94BF9"/>
    <w:rsid w:val="00E95333"/>
    <w:rsid w:val="00E97E4E"/>
    <w:rsid w:val="00EA0165"/>
    <w:rsid w:val="00EA172A"/>
    <w:rsid w:val="00EA3554"/>
    <w:rsid w:val="00EA3A8E"/>
    <w:rsid w:val="00EA5EC9"/>
    <w:rsid w:val="00EB0527"/>
    <w:rsid w:val="00EB0F00"/>
    <w:rsid w:val="00EB1006"/>
    <w:rsid w:val="00EB1FC3"/>
    <w:rsid w:val="00EB3670"/>
    <w:rsid w:val="00EB5534"/>
    <w:rsid w:val="00EB6277"/>
    <w:rsid w:val="00EB6A53"/>
    <w:rsid w:val="00EB6D7A"/>
    <w:rsid w:val="00EC1E37"/>
    <w:rsid w:val="00EC22B1"/>
    <w:rsid w:val="00EC23A6"/>
    <w:rsid w:val="00EC54FA"/>
    <w:rsid w:val="00EC5A65"/>
    <w:rsid w:val="00EC5D1F"/>
    <w:rsid w:val="00EC64FC"/>
    <w:rsid w:val="00EC660C"/>
    <w:rsid w:val="00EC78B6"/>
    <w:rsid w:val="00EC7D34"/>
    <w:rsid w:val="00ED0B57"/>
    <w:rsid w:val="00ED117F"/>
    <w:rsid w:val="00ED15AC"/>
    <w:rsid w:val="00ED1FE3"/>
    <w:rsid w:val="00ED21D7"/>
    <w:rsid w:val="00ED2DBC"/>
    <w:rsid w:val="00ED2E8F"/>
    <w:rsid w:val="00ED3BCA"/>
    <w:rsid w:val="00ED5612"/>
    <w:rsid w:val="00ED59C8"/>
    <w:rsid w:val="00ED6074"/>
    <w:rsid w:val="00ED6388"/>
    <w:rsid w:val="00ED712B"/>
    <w:rsid w:val="00ED713B"/>
    <w:rsid w:val="00EE04B6"/>
    <w:rsid w:val="00EE1B6B"/>
    <w:rsid w:val="00EE2CD3"/>
    <w:rsid w:val="00EE4C16"/>
    <w:rsid w:val="00EE52AB"/>
    <w:rsid w:val="00EE5373"/>
    <w:rsid w:val="00EE56F8"/>
    <w:rsid w:val="00EE6798"/>
    <w:rsid w:val="00EE7BAB"/>
    <w:rsid w:val="00EF36F5"/>
    <w:rsid w:val="00EF4DC9"/>
    <w:rsid w:val="00EF5723"/>
    <w:rsid w:val="00F002C7"/>
    <w:rsid w:val="00F0202A"/>
    <w:rsid w:val="00F029B8"/>
    <w:rsid w:val="00F03E15"/>
    <w:rsid w:val="00F04A7F"/>
    <w:rsid w:val="00F058DF"/>
    <w:rsid w:val="00F05988"/>
    <w:rsid w:val="00F0772E"/>
    <w:rsid w:val="00F11FA2"/>
    <w:rsid w:val="00F13445"/>
    <w:rsid w:val="00F17302"/>
    <w:rsid w:val="00F17AF7"/>
    <w:rsid w:val="00F253CC"/>
    <w:rsid w:val="00F26B52"/>
    <w:rsid w:val="00F272BD"/>
    <w:rsid w:val="00F27E58"/>
    <w:rsid w:val="00F31E63"/>
    <w:rsid w:val="00F34E6B"/>
    <w:rsid w:val="00F35020"/>
    <w:rsid w:val="00F37098"/>
    <w:rsid w:val="00F376A6"/>
    <w:rsid w:val="00F419A1"/>
    <w:rsid w:val="00F45833"/>
    <w:rsid w:val="00F53DCC"/>
    <w:rsid w:val="00F53F68"/>
    <w:rsid w:val="00F5727B"/>
    <w:rsid w:val="00F612E2"/>
    <w:rsid w:val="00F6246A"/>
    <w:rsid w:val="00F65487"/>
    <w:rsid w:val="00F70302"/>
    <w:rsid w:val="00F71397"/>
    <w:rsid w:val="00F71F05"/>
    <w:rsid w:val="00F75227"/>
    <w:rsid w:val="00F764E7"/>
    <w:rsid w:val="00F803E3"/>
    <w:rsid w:val="00F8128D"/>
    <w:rsid w:val="00F81451"/>
    <w:rsid w:val="00F85A70"/>
    <w:rsid w:val="00F8687B"/>
    <w:rsid w:val="00F90BA3"/>
    <w:rsid w:val="00F91A76"/>
    <w:rsid w:val="00F91D74"/>
    <w:rsid w:val="00F91E8A"/>
    <w:rsid w:val="00F936EB"/>
    <w:rsid w:val="00F97BEB"/>
    <w:rsid w:val="00FA3EF8"/>
    <w:rsid w:val="00FA4C4F"/>
    <w:rsid w:val="00FA4DF9"/>
    <w:rsid w:val="00FA4EB5"/>
    <w:rsid w:val="00FA7C52"/>
    <w:rsid w:val="00FB00E4"/>
    <w:rsid w:val="00FB1E99"/>
    <w:rsid w:val="00FB1F54"/>
    <w:rsid w:val="00FC237F"/>
    <w:rsid w:val="00FC5568"/>
    <w:rsid w:val="00FC5D05"/>
    <w:rsid w:val="00FC64F8"/>
    <w:rsid w:val="00FC6E32"/>
    <w:rsid w:val="00FC7A1A"/>
    <w:rsid w:val="00FD2700"/>
    <w:rsid w:val="00FD4157"/>
    <w:rsid w:val="00FD4CAE"/>
    <w:rsid w:val="00FD6397"/>
    <w:rsid w:val="00FD6DC5"/>
    <w:rsid w:val="00FE66A2"/>
    <w:rsid w:val="00FF2FCE"/>
    <w:rsid w:val="00FF3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C5A65"/>
    <w:rPr>
      <w:lang w:eastAsia="en-US"/>
    </w:rPr>
  </w:style>
  <w:style w:type="paragraph" w:styleId="Antrat1">
    <w:name w:val="heading 1"/>
    <w:basedOn w:val="prastasis"/>
    <w:next w:val="prastasis"/>
    <w:qFormat/>
    <w:rsid w:val="00EC5A65"/>
    <w:pPr>
      <w:keepNext/>
      <w:ind w:left="7200" w:firstLine="720"/>
      <w:outlineLvl w:val="0"/>
    </w:pPr>
    <w:rPr>
      <w:rFonts w:ascii="HelveticaLT" w:hAnsi="HelveticaLT"/>
      <w:sz w:val="24"/>
    </w:rPr>
  </w:style>
  <w:style w:type="paragraph" w:styleId="Antrat2">
    <w:name w:val="heading 2"/>
    <w:basedOn w:val="prastasis"/>
    <w:next w:val="prastasis"/>
    <w:qFormat/>
    <w:rsid w:val="00EC5A65"/>
    <w:pPr>
      <w:keepNext/>
      <w:jc w:val="center"/>
      <w:outlineLvl w:val="1"/>
    </w:pPr>
    <w:rPr>
      <w:b/>
      <w:sz w:val="24"/>
    </w:rPr>
  </w:style>
  <w:style w:type="paragraph" w:styleId="Antrat4">
    <w:name w:val="heading 4"/>
    <w:basedOn w:val="prastasis"/>
    <w:next w:val="prastasis"/>
    <w:qFormat/>
    <w:rsid w:val="00EC5A65"/>
    <w:pPr>
      <w:keepNext/>
      <w:spacing w:line="360" w:lineRule="auto"/>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C5A65"/>
    <w:pPr>
      <w:tabs>
        <w:tab w:val="center" w:pos="4320"/>
        <w:tab w:val="right" w:pos="8640"/>
      </w:tabs>
    </w:pPr>
  </w:style>
  <w:style w:type="paragraph" w:styleId="Porat">
    <w:name w:val="footer"/>
    <w:basedOn w:val="prastasis"/>
    <w:rsid w:val="00EC5A65"/>
    <w:pPr>
      <w:tabs>
        <w:tab w:val="center" w:pos="4320"/>
        <w:tab w:val="right" w:pos="8640"/>
      </w:tabs>
    </w:pPr>
  </w:style>
  <w:style w:type="character" w:styleId="Puslapionumeris">
    <w:name w:val="page number"/>
    <w:basedOn w:val="Numatytasispastraiposriftas"/>
    <w:rsid w:val="00EC5A65"/>
  </w:style>
  <w:style w:type="paragraph" w:styleId="Pagrindinistekstas">
    <w:name w:val="Body Text"/>
    <w:basedOn w:val="prastasis"/>
    <w:link w:val="PagrindinistekstasDiagrama"/>
    <w:rsid w:val="00EC5A65"/>
    <w:rPr>
      <w:rFonts w:ascii="TimesLT" w:hAnsi="TimesLT"/>
      <w:sz w:val="22"/>
    </w:rPr>
  </w:style>
  <w:style w:type="paragraph" w:styleId="Pavadinimas">
    <w:name w:val="Title"/>
    <w:basedOn w:val="prastasis"/>
    <w:qFormat/>
    <w:rsid w:val="00EC5A65"/>
    <w:pPr>
      <w:jc w:val="center"/>
    </w:pPr>
    <w:rPr>
      <w:b/>
      <w:sz w:val="28"/>
    </w:rPr>
  </w:style>
  <w:style w:type="paragraph" w:styleId="Antrinispavadinimas">
    <w:name w:val="Subtitle"/>
    <w:basedOn w:val="prastasis"/>
    <w:qFormat/>
    <w:rsid w:val="00EC5A65"/>
    <w:pPr>
      <w:jc w:val="center"/>
    </w:pPr>
    <w:rPr>
      <w:b/>
      <w:sz w:val="28"/>
    </w:rPr>
  </w:style>
  <w:style w:type="paragraph" w:styleId="Pagrindiniotekstotrauka">
    <w:name w:val="Body Text Indent"/>
    <w:basedOn w:val="prastasis"/>
    <w:rsid w:val="00EC5A65"/>
    <w:pPr>
      <w:spacing w:before="120"/>
      <w:ind w:left="4536"/>
      <w:jc w:val="center"/>
    </w:pPr>
    <w:rPr>
      <w:sz w:val="24"/>
    </w:rPr>
  </w:style>
  <w:style w:type="paragraph" w:styleId="Pagrindinistekstas2">
    <w:name w:val="Body Text 2"/>
    <w:basedOn w:val="prastasis"/>
    <w:rsid w:val="00EC5A65"/>
    <w:pPr>
      <w:spacing w:line="360" w:lineRule="auto"/>
      <w:jc w:val="both"/>
    </w:pPr>
    <w:rPr>
      <w:sz w:val="24"/>
    </w:rPr>
  </w:style>
  <w:style w:type="paragraph" w:styleId="Pagrindinistekstas3">
    <w:name w:val="Body Text 3"/>
    <w:basedOn w:val="prastasis"/>
    <w:rsid w:val="00EC5A65"/>
    <w:pPr>
      <w:jc w:val="both"/>
    </w:pPr>
    <w:rPr>
      <w:b/>
      <w:sz w:val="24"/>
    </w:rPr>
  </w:style>
  <w:style w:type="paragraph" w:styleId="Debesliotekstas">
    <w:name w:val="Balloon Text"/>
    <w:basedOn w:val="prastasis"/>
    <w:semiHidden/>
    <w:rsid w:val="00EB0F00"/>
    <w:rPr>
      <w:rFonts w:ascii="Tahoma" w:hAnsi="Tahoma" w:cs="Tahoma"/>
      <w:sz w:val="16"/>
      <w:szCs w:val="16"/>
    </w:rPr>
  </w:style>
  <w:style w:type="paragraph" w:styleId="prastasistinklapis">
    <w:name w:val="Normal (Web)"/>
    <w:basedOn w:val="prastasis"/>
    <w:rsid w:val="006E6EC2"/>
    <w:pPr>
      <w:spacing w:before="100" w:beforeAutospacing="1" w:after="100" w:afterAutospacing="1"/>
    </w:pPr>
    <w:rPr>
      <w:sz w:val="24"/>
      <w:szCs w:val="24"/>
      <w:lang w:eastAsia="lt-LT"/>
    </w:rPr>
  </w:style>
  <w:style w:type="character" w:styleId="Grietas">
    <w:name w:val="Strong"/>
    <w:qFormat/>
    <w:rsid w:val="004070F0"/>
    <w:rPr>
      <w:b/>
      <w:bCs/>
    </w:rPr>
  </w:style>
  <w:style w:type="table" w:styleId="Lentelstinklelis">
    <w:name w:val="Table Grid"/>
    <w:basedOn w:val="prastojilentel"/>
    <w:rsid w:val="0055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763F79"/>
    <w:pPr>
      <w:ind w:left="-540" w:right="-1234" w:firstLine="1080"/>
      <w:jc w:val="both"/>
    </w:pPr>
    <w:rPr>
      <w:sz w:val="24"/>
      <w:szCs w:val="24"/>
    </w:rPr>
  </w:style>
  <w:style w:type="character" w:styleId="Komentaronuoroda">
    <w:name w:val="annotation reference"/>
    <w:semiHidden/>
    <w:rsid w:val="00763F79"/>
    <w:rPr>
      <w:sz w:val="16"/>
    </w:rPr>
  </w:style>
  <w:style w:type="paragraph" w:customStyle="1" w:styleId="DiagramaDiagrama2">
    <w:name w:val="Diagrama Diagrama2"/>
    <w:basedOn w:val="prastasis"/>
    <w:rsid w:val="00763F79"/>
    <w:pPr>
      <w:spacing w:after="160" w:line="240" w:lineRule="exact"/>
    </w:pPr>
    <w:rPr>
      <w:rFonts w:ascii="Tahoma" w:hAnsi="Tahoma"/>
      <w:lang w:val="en-US"/>
    </w:rPr>
  </w:style>
  <w:style w:type="character" w:customStyle="1" w:styleId="PagrindinistekstasDiagrama">
    <w:name w:val="Pagrindinis tekstas Diagrama"/>
    <w:link w:val="Pagrindinistekstas"/>
    <w:rsid w:val="00561697"/>
    <w:rPr>
      <w:rFonts w:ascii="TimesLT" w:hAnsi="TimesLT"/>
      <w:sz w:val="22"/>
      <w:lang w:val="lt-LT" w:eastAsia="en-US" w:bidi="ar-SA"/>
    </w:rPr>
  </w:style>
  <w:style w:type="character" w:customStyle="1" w:styleId="AntratsDiagrama">
    <w:name w:val="Antraštės Diagrama"/>
    <w:link w:val="Antrats"/>
    <w:uiPriority w:val="99"/>
    <w:rsid w:val="00CA45CC"/>
    <w:rPr>
      <w:lang w:eastAsia="en-US"/>
    </w:rPr>
  </w:style>
  <w:style w:type="paragraph" w:styleId="Sraopastraipa">
    <w:name w:val="List Paragraph"/>
    <w:basedOn w:val="prastasis"/>
    <w:uiPriority w:val="34"/>
    <w:qFormat/>
    <w:rsid w:val="00345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C5A65"/>
    <w:rPr>
      <w:lang w:eastAsia="en-US"/>
    </w:rPr>
  </w:style>
  <w:style w:type="paragraph" w:styleId="Antrat1">
    <w:name w:val="heading 1"/>
    <w:basedOn w:val="prastasis"/>
    <w:next w:val="prastasis"/>
    <w:qFormat/>
    <w:rsid w:val="00EC5A65"/>
    <w:pPr>
      <w:keepNext/>
      <w:ind w:left="7200" w:firstLine="720"/>
      <w:outlineLvl w:val="0"/>
    </w:pPr>
    <w:rPr>
      <w:rFonts w:ascii="HelveticaLT" w:hAnsi="HelveticaLT"/>
      <w:sz w:val="24"/>
    </w:rPr>
  </w:style>
  <w:style w:type="paragraph" w:styleId="Antrat2">
    <w:name w:val="heading 2"/>
    <w:basedOn w:val="prastasis"/>
    <w:next w:val="prastasis"/>
    <w:qFormat/>
    <w:rsid w:val="00EC5A65"/>
    <w:pPr>
      <w:keepNext/>
      <w:jc w:val="center"/>
      <w:outlineLvl w:val="1"/>
    </w:pPr>
    <w:rPr>
      <w:b/>
      <w:sz w:val="24"/>
    </w:rPr>
  </w:style>
  <w:style w:type="paragraph" w:styleId="Antrat4">
    <w:name w:val="heading 4"/>
    <w:basedOn w:val="prastasis"/>
    <w:next w:val="prastasis"/>
    <w:qFormat/>
    <w:rsid w:val="00EC5A65"/>
    <w:pPr>
      <w:keepNext/>
      <w:spacing w:line="360" w:lineRule="auto"/>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C5A65"/>
    <w:pPr>
      <w:tabs>
        <w:tab w:val="center" w:pos="4320"/>
        <w:tab w:val="right" w:pos="8640"/>
      </w:tabs>
    </w:pPr>
  </w:style>
  <w:style w:type="paragraph" w:styleId="Porat">
    <w:name w:val="footer"/>
    <w:basedOn w:val="prastasis"/>
    <w:rsid w:val="00EC5A65"/>
    <w:pPr>
      <w:tabs>
        <w:tab w:val="center" w:pos="4320"/>
        <w:tab w:val="right" w:pos="8640"/>
      </w:tabs>
    </w:pPr>
  </w:style>
  <w:style w:type="character" w:styleId="Puslapionumeris">
    <w:name w:val="page number"/>
    <w:basedOn w:val="Numatytasispastraiposriftas"/>
    <w:rsid w:val="00EC5A65"/>
  </w:style>
  <w:style w:type="paragraph" w:styleId="Pagrindinistekstas">
    <w:name w:val="Body Text"/>
    <w:basedOn w:val="prastasis"/>
    <w:link w:val="PagrindinistekstasDiagrama"/>
    <w:rsid w:val="00EC5A65"/>
    <w:rPr>
      <w:rFonts w:ascii="TimesLT" w:hAnsi="TimesLT"/>
      <w:sz w:val="22"/>
    </w:rPr>
  </w:style>
  <w:style w:type="paragraph" w:styleId="Pavadinimas">
    <w:name w:val="Title"/>
    <w:basedOn w:val="prastasis"/>
    <w:qFormat/>
    <w:rsid w:val="00EC5A65"/>
    <w:pPr>
      <w:jc w:val="center"/>
    </w:pPr>
    <w:rPr>
      <w:b/>
      <w:sz w:val="28"/>
    </w:rPr>
  </w:style>
  <w:style w:type="paragraph" w:styleId="Antrinispavadinimas">
    <w:name w:val="Subtitle"/>
    <w:basedOn w:val="prastasis"/>
    <w:qFormat/>
    <w:rsid w:val="00EC5A65"/>
    <w:pPr>
      <w:jc w:val="center"/>
    </w:pPr>
    <w:rPr>
      <w:b/>
      <w:sz w:val="28"/>
    </w:rPr>
  </w:style>
  <w:style w:type="paragraph" w:styleId="Pagrindiniotekstotrauka">
    <w:name w:val="Body Text Indent"/>
    <w:basedOn w:val="prastasis"/>
    <w:rsid w:val="00EC5A65"/>
    <w:pPr>
      <w:spacing w:before="120"/>
      <w:ind w:left="4536"/>
      <w:jc w:val="center"/>
    </w:pPr>
    <w:rPr>
      <w:sz w:val="24"/>
    </w:rPr>
  </w:style>
  <w:style w:type="paragraph" w:styleId="Pagrindinistekstas2">
    <w:name w:val="Body Text 2"/>
    <w:basedOn w:val="prastasis"/>
    <w:rsid w:val="00EC5A65"/>
    <w:pPr>
      <w:spacing w:line="360" w:lineRule="auto"/>
      <w:jc w:val="both"/>
    </w:pPr>
    <w:rPr>
      <w:sz w:val="24"/>
    </w:rPr>
  </w:style>
  <w:style w:type="paragraph" w:styleId="Pagrindinistekstas3">
    <w:name w:val="Body Text 3"/>
    <w:basedOn w:val="prastasis"/>
    <w:rsid w:val="00EC5A65"/>
    <w:pPr>
      <w:jc w:val="both"/>
    </w:pPr>
    <w:rPr>
      <w:b/>
      <w:sz w:val="24"/>
    </w:rPr>
  </w:style>
  <w:style w:type="paragraph" w:styleId="Debesliotekstas">
    <w:name w:val="Balloon Text"/>
    <w:basedOn w:val="prastasis"/>
    <w:semiHidden/>
    <w:rsid w:val="00EB0F00"/>
    <w:rPr>
      <w:rFonts w:ascii="Tahoma" w:hAnsi="Tahoma" w:cs="Tahoma"/>
      <w:sz w:val="16"/>
      <w:szCs w:val="16"/>
    </w:rPr>
  </w:style>
  <w:style w:type="paragraph" w:styleId="prastasistinklapis">
    <w:name w:val="Normal (Web)"/>
    <w:basedOn w:val="prastasis"/>
    <w:rsid w:val="006E6EC2"/>
    <w:pPr>
      <w:spacing w:before="100" w:beforeAutospacing="1" w:after="100" w:afterAutospacing="1"/>
    </w:pPr>
    <w:rPr>
      <w:sz w:val="24"/>
      <w:szCs w:val="24"/>
      <w:lang w:eastAsia="lt-LT"/>
    </w:rPr>
  </w:style>
  <w:style w:type="character" w:styleId="Grietas">
    <w:name w:val="Strong"/>
    <w:qFormat/>
    <w:rsid w:val="004070F0"/>
    <w:rPr>
      <w:b/>
      <w:bCs/>
    </w:rPr>
  </w:style>
  <w:style w:type="table" w:styleId="Lentelstinklelis">
    <w:name w:val="Table Grid"/>
    <w:basedOn w:val="prastojilentel"/>
    <w:rsid w:val="0055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763F79"/>
    <w:pPr>
      <w:ind w:left="-540" w:right="-1234" w:firstLine="1080"/>
      <w:jc w:val="both"/>
    </w:pPr>
    <w:rPr>
      <w:sz w:val="24"/>
      <w:szCs w:val="24"/>
    </w:rPr>
  </w:style>
  <w:style w:type="character" w:styleId="Komentaronuoroda">
    <w:name w:val="annotation reference"/>
    <w:semiHidden/>
    <w:rsid w:val="00763F79"/>
    <w:rPr>
      <w:sz w:val="16"/>
    </w:rPr>
  </w:style>
  <w:style w:type="paragraph" w:customStyle="1" w:styleId="DiagramaDiagrama2">
    <w:name w:val="Diagrama Diagrama2"/>
    <w:basedOn w:val="prastasis"/>
    <w:rsid w:val="00763F79"/>
    <w:pPr>
      <w:spacing w:after="160" w:line="240" w:lineRule="exact"/>
    </w:pPr>
    <w:rPr>
      <w:rFonts w:ascii="Tahoma" w:hAnsi="Tahoma"/>
      <w:lang w:val="en-US"/>
    </w:rPr>
  </w:style>
  <w:style w:type="character" w:customStyle="1" w:styleId="PagrindinistekstasDiagrama">
    <w:name w:val="Pagrindinis tekstas Diagrama"/>
    <w:link w:val="Pagrindinistekstas"/>
    <w:rsid w:val="00561697"/>
    <w:rPr>
      <w:rFonts w:ascii="TimesLT" w:hAnsi="TimesLT"/>
      <w:sz w:val="22"/>
      <w:lang w:val="lt-LT" w:eastAsia="en-US" w:bidi="ar-SA"/>
    </w:rPr>
  </w:style>
  <w:style w:type="character" w:customStyle="1" w:styleId="AntratsDiagrama">
    <w:name w:val="Antraštės Diagrama"/>
    <w:link w:val="Antrats"/>
    <w:uiPriority w:val="99"/>
    <w:rsid w:val="00CA45CC"/>
    <w:rPr>
      <w:lang w:eastAsia="en-US"/>
    </w:rPr>
  </w:style>
  <w:style w:type="paragraph" w:styleId="Sraopastraipa">
    <w:name w:val="List Paragraph"/>
    <w:basedOn w:val="prastasis"/>
    <w:uiPriority w:val="34"/>
    <w:qFormat/>
    <w:rsid w:val="0034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545">
      <w:bodyDiv w:val="1"/>
      <w:marLeft w:val="0"/>
      <w:marRight w:val="0"/>
      <w:marTop w:val="0"/>
      <w:marBottom w:val="0"/>
      <w:divBdr>
        <w:top w:val="none" w:sz="0" w:space="0" w:color="auto"/>
        <w:left w:val="none" w:sz="0" w:space="0" w:color="auto"/>
        <w:bottom w:val="none" w:sz="0" w:space="0" w:color="auto"/>
        <w:right w:val="none" w:sz="0" w:space="0" w:color="auto"/>
      </w:divBdr>
    </w:div>
    <w:div w:id="30231496">
      <w:bodyDiv w:val="1"/>
      <w:marLeft w:val="0"/>
      <w:marRight w:val="0"/>
      <w:marTop w:val="0"/>
      <w:marBottom w:val="0"/>
      <w:divBdr>
        <w:top w:val="none" w:sz="0" w:space="0" w:color="auto"/>
        <w:left w:val="none" w:sz="0" w:space="0" w:color="auto"/>
        <w:bottom w:val="none" w:sz="0" w:space="0" w:color="auto"/>
        <w:right w:val="none" w:sz="0" w:space="0" w:color="auto"/>
      </w:divBdr>
    </w:div>
    <w:div w:id="120000810">
      <w:bodyDiv w:val="1"/>
      <w:marLeft w:val="0"/>
      <w:marRight w:val="0"/>
      <w:marTop w:val="0"/>
      <w:marBottom w:val="0"/>
      <w:divBdr>
        <w:top w:val="none" w:sz="0" w:space="0" w:color="auto"/>
        <w:left w:val="none" w:sz="0" w:space="0" w:color="auto"/>
        <w:bottom w:val="none" w:sz="0" w:space="0" w:color="auto"/>
        <w:right w:val="none" w:sz="0" w:space="0" w:color="auto"/>
      </w:divBdr>
    </w:div>
    <w:div w:id="123545978">
      <w:bodyDiv w:val="1"/>
      <w:marLeft w:val="0"/>
      <w:marRight w:val="0"/>
      <w:marTop w:val="0"/>
      <w:marBottom w:val="0"/>
      <w:divBdr>
        <w:top w:val="none" w:sz="0" w:space="0" w:color="auto"/>
        <w:left w:val="none" w:sz="0" w:space="0" w:color="auto"/>
        <w:bottom w:val="none" w:sz="0" w:space="0" w:color="auto"/>
        <w:right w:val="none" w:sz="0" w:space="0" w:color="auto"/>
      </w:divBdr>
    </w:div>
    <w:div w:id="162204843">
      <w:bodyDiv w:val="1"/>
      <w:marLeft w:val="0"/>
      <w:marRight w:val="0"/>
      <w:marTop w:val="0"/>
      <w:marBottom w:val="0"/>
      <w:divBdr>
        <w:top w:val="none" w:sz="0" w:space="0" w:color="auto"/>
        <w:left w:val="none" w:sz="0" w:space="0" w:color="auto"/>
        <w:bottom w:val="none" w:sz="0" w:space="0" w:color="auto"/>
        <w:right w:val="none" w:sz="0" w:space="0" w:color="auto"/>
      </w:divBdr>
    </w:div>
    <w:div w:id="191234259">
      <w:bodyDiv w:val="1"/>
      <w:marLeft w:val="0"/>
      <w:marRight w:val="0"/>
      <w:marTop w:val="0"/>
      <w:marBottom w:val="0"/>
      <w:divBdr>
        <w:top w:val="none" w:sz="0" w:space="0" w:color="auto"/>
        <w:left w:val="none" w:sz="0" w:space="0" w:color="auto"/>
        <w:bottom w:val="none" w:sz="0" w:space="0" w:color="auto"/>
        <w:right w:val="none" w:sz="0" w:space="0" w:color="auto"/>
      </w:divBdr>
    </w:div>
    <w:div w:id="209920199">
      <w:bodyDiv w:val="1"/>
      <w:marLeft w:val="0"/>
      <w:marRight w:val="0"/>
      <w:marTop w:val="0"/>
      <w:marBottom w:val="0"/>
      <w:divBdr>
        <w:top w:val="none" w:sz="0" w:space="0" w:color="auto"/>
        <w:left w:val="none" w:sz="0" w:space="0" w:color="auto"/>
        <w:bottom w:val="none" w:sz="0" w:space="0" w:color="auto"/>
        <w:right w:val="none" w:sz="0" w:space="0" w:color="auto"/>
      </w:divBdr>
    </w:div>
    <w:div w:id="295112397">
      <w:bodyDiv w:val="1"/>
      <w:marLeft w:val="0"/>
      <w:marRight w:val="0"/>
      <w:marTop w:val="0"/>
      <w:marBottom w:val="0"/>
      <w:divBdr>
        <w:top w:val="none" w:sz="0" w:space="0" w:color="auto"/>
        <w:left w:val="none" w:sz="0" w:space="0" w:color="auto"/>
        <w:bottom w:val="none" w:sz="0" w:space="0" w:color="auto"/>
        <w:right w:val="none" w:sz="0" w:space="0" w:color="auto"/>
      </w:divBdr>
    </w:div>
    <w:div w:id="300891699">
      <w:bodyDiv w:val="1"/>
      <w:marLeft w:val="0"/>
      <w:marRight w:val="0"/>
      <w:marTop w:val="0"/>
      <w:marBottom w:val="0"/>
      <w:divBdr>
        <w:top w:val="none" w:sz="0" w:space="0" w:color="auto"/>
        <w:left w:val="none" w:sz="0" w:space="0" w:color="auto"/>
        <w:bottom w:val="none" w:sz="0" w:space="0" w:color="auto"/>
        <w:right w:val="none" w:sz="0" w:space="0" w:color="auto"/>
      </w:divBdr>
    </w:div>
    <w:div w:id="323357447">
      <w:bodyDiv w:val="1"/>
      <w:marLeft w:val="0"/>
      <w:marRight w:val="0"/>
      <w:marTop w:val="0"/>
      <w:marBottom w:val="0"/>
      <w:divBdr>
        <w:top w:val="none" w:sz="0" w:space="0" w:color="auto"/>
        <w:left w:val="none" w:sz="0" w:space="0" w:color="auto"/>
        <w:bottom w:val="none" w:sz="0" w:space="0" w:color="auto"/>
        <w:right w:val="none" w:sz="0" w:space="0" w:color="auto"/>
      </w:divBdr>
      <w:divsChild>
        <w:div w:id="1637493920">
          <w:marLeft w:val="0"/>
          <w:marRight w:val="0"/>
          <w:marTop w:val="0"/>
          <w:marBottom w:val="0"/>
          <w:divBdr>
            <w:top w:val="none" w:sz="0" w:space="0" w:color="auto"/>
            <w:left w:val="none" w:sz="0" w:space="0" w:color="auto"/>
            <w:bottom w:val="none" w:sz="0" w:space="0" w:color="auto"/>
            <w:right w:val="none" w:sz="0" w:space="0" w:color="auto"/>
          </w:divBdr>
          <w:divsChild>
            <w:div w:id="1849058947">
              <w:marLeft w:val="0"/>
              <w:marRight w:val="0"/>
              <w:marTop w:val="0"/>
              <w:marBottom w:val="0"/>
              <w:divBdr>
                <w:top w:val="none" w:sz="0" w:space="0" w:color="auto"/>
                <w:left w:val="none" w:sz="0" w:space="0" w:color="auto"/>
                <w:bottom w:val="none" w:sz="0" w:space="0" w:color="auto"/>
                <w:right w:val="none" w:sz="0" w:space="0" w:color="auto"/>
              </w:divBdr>
              <w:divsChild>
                <w:div w:id="11078663">
                  <w:marLeft w:val="0"/>
                  <w:marRight w:val="0"/>
                  <w:marTop w:val="0"/>
                  <w:marBottom w:val="0"/>
                  <w:divBdr>
                    <w:top w:val="none" w:sz="0" w:space="0" w:color="auto"/>
                    <w:left w:val="none" w:sz="0" w:space="0" w:color="auto"/>
                    <w:bottom w:val="none" w:sz="0" w:space="0" w:color="auto"/>
                    <w:right w:val="none" w:sz="0" w:space="0" w:color="auto"/>
                  </w:divBdr>
                  <w:divsChild>
                    <w:div w:id="1634868119">
                      <w:marLeft w:val="0"/>
                      <w:marRight w:val="0"/>
                      <w:marTop w:val="0"/>
                      <w:marBottom w:val="0"/>
                      <w:divBdr>
                        <w:top w:val="none" w:sz="0" w:space="0" w:color="auto"/>
                        <w:left w:val="none" w:sz="0" w:space="0" w:color="auto"/>
                        <w:bottom w:val="none" w:sz="0" w:space="0" w:color="auto"/>
                        <w:right w:val="none" w:sz="0" w:space="0" w:color="auto"/>
                      </w:divBdr>
                      <w:divsChild>
                        <w:div w:id="488592612">
                          <w:marLeft w:val="0"/>
                          <w:marRight w:val="0"/>
                          <w:marTop w:val="0"/>
                          <w:marBottom w:val="0"/>
                          <w:divBdr>
                            <w:top w:val="none" w:sz="0" w:space="0" w:color="auto"/>
                            <w:left w:val="none" w:sz="0" w:space="0" w:color="auto"/>
                            <w:bottom w:val="none" w:sz="0" w:space="0" w:color="auto"/>
                            <w:right w:val="none" w:sz="0" w:space="0" w:color="auto"/>
                          </w:divBdr>
                          <w:divsChild>
                            <w:div w:id="605620262">
                              <w:marLeft w:val="0"/>
                              <w:marRight w:val="0"/>
                              <w:marTop w:val="240"/>
                              <w:marBottom w:val="0"/>
                              <w:divBdr>
                                <w:top w:val="none" w:sz="0" w:space="0" w:color="auto"/>
                                <w:left w:val="none" w:sz="0" w:space="0" w:color="auto"/>
                                <w:bottom w:val="none" w:sz="0" w:space="0" w:color="auto"/>
                                <w:right w:val="none" w:sz="0" w:space="0" w:color="auto"/>
                              </w:divBdr>
                              <w:divsChild>
                                <w:div w:id="1225137448">
                                  <w:marLeft w:val="0"/>
                                  <w:marRight w:val="0"/>
                                  <w:marTop w:val="0"/>
                                  <w:marBottom w:val="0"/>
                                  <w:divBdr>
                                    <w:top w:val="none" w:sz="0" w:space="0" w:color="auto"/>
                                    <w:left w:val="none" w:sz="0" w:space="0" w:color="auto"/>
                                    <w:bottom w:val="none" w:sz="0" w:space="0" w:color="auto"/>
                                    <w:right w:val="none" w:sz="0" w:space="0" w:color="auto"/>
                                  </w:divBdr>
                                  <w:divsChild>
                                    <w:div w:id="1790198974">
                                      <w:marLeft w:val="0"/>
                                      <w:marRight w:val="0"/>
                                      <w:marTop w:val="0"/>
                                      <w:marBottom w:val="0"/>
                                      <w:divBdr>
                                        <w:top w:val="none" w:sz="0" w:space="0" w:color="auto"/>
                                        <w:left w:val="none" w:sz="0" w:space="0" w:color="auto"/>
                                        <w:bottom w:val="none" w:sz="0" w:space="0" w:color="auto"/>
                                        <w:right w:val="none" w:sz="0" w:space="0" w:color="auto"/>
                                      </w:divBdr>
                                      <w:divsChild>
                                        <w:div w:id="633215788">
                                          <w:marLeft w:val="0"/>
                                          <w:marRight w:val="0"/>
                                          <w:marTop w:val="0"/>
                                          <w:marBottom w:val="0"/>
                                          <w:divBdr>
                                            <w:top w:val="none" w:sz="0" w:space="0" w:color="auto"/>
                                            <w:left w:val="none" w:sz="0" w:space="0" w:color="auto"/>
                                            <w:bottom w:val="none" w:sz="0" w:space="0" w:color="auto"/>
                                            <w:right w:val="none" w:sz="0" w:space="0" w:color="auto"/>
                                          </w:divBdr>
                                          <w:divsChild>
                                            <w:div w:id="1507940149">
                                              <w:marLeft w:val="0"/>
                                              <w:marRight w:val="0"/>
                                              <w:marTop w:val="0"/>
                                              <w:marBottom w:val="0"/>
                                              <w:divBdr>
                                                <w:top w:val="none" w:sz="0" w:space="0" w:color="auto"/>
                                                <w:left w:val="none" w:sz="0" w:space="0" w:color="auto"/>
                                                <w:bottom w:val="none" w:sz="0" w:space="0" w:color="auto"/>
                                                <w:right w:val="none" w:sz="0" w:space="0" w:color="auto"/>
                                              </w:divBdr>
                                              <w:divsChild>
                                                <w:div w:id="1301307965">
                                                  <w:marLeft w:val="0"/>
                                                  <w:marRight w:val="0"/>
                                                  <w:marTop w:val="0"/>
                                                  <w:marBottom w:val="0"/>
                                                  <w:divBdr>
                                                    <w:top w:val="none" w:sz="0" w:space="0" w:color="auto"/>
                                                    <w:left w:val="none" w:sz="0" w:space="0" w:color="auto"/>
                                                    <w:bottom w:val="none" w:sz="0" w:space="0" w:color="auto"/>
                                                    <w:right w:val="none" w:sz="0" w:space="0" w:color="auto"/>
                                                  </w:divBdr>
                                                  <w:divsChild>
                                                    <w:div w:id="1229271672">
                                                      <w:marLeft w:val="0"/>
                                                      <w:marRight w:val="0"/>
                                                      <w:marTop w:val="0"/>
                                                      <w:marBottom w:val="0"/>
                                                      <w:divBdr>
                                                        <w:top w:val="none" w:sz="0" w:space="0" w:color="auto"/>
                                                        <w:left w:val="none" w:sz="0" w:space="0" w:color="auto"/>
                                                        <w:bottom w:val="none" w:sz="0" w:space="0" w:color="auto"/>
                                                        <w:right w:val="none" w:sz="0" w:space="0" w:color="auto"/>
                                                      </w:divBdr>
                                                      <w:divsChild>
                                                        <w:div w:id="2515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097060">
      <w:bodyDiv w:val="1"/>
      <w:marLeft w:val="0"/>
      <w:marRight w:val="0"/>
      <w:marTop w:val="0"/>
      <w:marBottom w:val="0"/>
      <w:divBdr>
        <w:top w:val="none" w:sz="0" w:space="0" w:color="auto"/>
        <w:left w:val="none" w:sz="0" w:space="0" w:color="auto"/>
        <w:bottom w:val="none" w:sz="0" w:space="0" w:color="auto"/>
        <w:right w:val="none" w:sz="0" w:space="0" w:color="auto"/>
      </w:divBdr>
    </w:div>
    <w:div w:id="395207524">
      <w:bodyDiv w:val="1"/>
      <w:marLeft w:val="0"/>
      <w:marRight w:val="0"/>
      <w:marTop w:val="0"/>
      <w:marBottom w:val="0"/>
      <w:divBdr>
        <w:top w:val="none" w:sz="0" w:space="0" w:color="auto"/>
        <w:left w:val="none" w:sz="0" w:space="0" w:color="auto"/>
        <w:bottom w:val="none" w:sz="0" w:space="0" w:color="auto"/>
        <w:right w:val="none" w:sz="0" w:space="0" w:color="auto"/>
      </w:divBdr>
    </w:div>
    <w:div w:id="413817963">
      <w:bodyDiv w:val="1"/>
      <w:marLeft w:val="0"/>
      <w:marRight w:val="0"/>
      <w:marTop w:val="0"/>
      <w:marBottom w:val="0"/>
      <w:divBdr>
        <w:top w:val="none" w:sz="0" w:space="0" w:color="auto"/>
        <w:left w:val="none" w:sz="0" w:space="0" w:color="auto"/>
        <w:bottom w:val="none" w:sz="0" w:space="0" w:color="auto"/>
        <w:right w:val="none" w:sz="0" w:space="0" w:color="auto"/>
      </w:divBdr>
    </w:div>
    <w:div w:id="435059798">
      <w:bodyDiv w:val="1"/>
      <w:marLeft w:val="0"/>
      <w:marRight w:val="0"/>
      <w:marTop w:val="0"/>
      <w:marBottom w:val="0"/>
      <w:divBdr>
        <w:top w:val="none" w:sz="0" w:space="0" w:color="auto"/>
        <w:left w:val="none" w:sz="0" w:space="0" w:color="auto"/>
        <w:bottom w:val="none" w:sz="0" w:space="0" w:color="auto"/>
        <w:right w:val="none" w:sz="0" w:space="0" w:color="auto"/>
      </w:divBdr>
    </w:div>
    <w:div w:id="438180027">
      <w:bodyDiv w:val="1"/>
      <w:marLeft w:val="0"/>
      <w:marRight w:val="0"/>
      <w:marTop w:val="0"/>
      <w:marBottom w:val="0"/>
      <w:divBdr>
        <w:top w:val="none" w:sz="0" w:space="0" w:color="auto"/>
        <w:left w:val="none" w:sz="0" w:space="0" w:color="auto"/>
        <w:bottom w:val="none" w:sz="0" w:space="0" w:color="auto"/>
        <w:right w:val="none" w:sz="0" w:space="0" w:color="auto"/>
      </w:divBdr>
    </w:div>
    <w:div w:id="471138602">
      <w:bodyDiv w:val="1"/>
      <w:marLeft w:val="0"/>
      <w:marRight w:val="0"/>
      <w:marTop w:val="0"/>
      <w:marBottom w:val="0"/>
      <w:divBdr>
        <w:top w:val="none" w:sz="0" w:space="0" w:color="auto"/>
        <w:left w:val="none" w:sz="0" w:space="0" w:color="auto"/>
        <w:bottom w:val="none" w:sz="0" w:space="0" w:color="auto"/>
        <w:right w:val="none" w:sz="0" w:space="0" w:color="auto"/>
      </w:divBdr>
    </w:div>
    <w:div w:id="484013673">
      <w:bodyDiv w:val="1"/>
      <w:marLeft w:val="0"/>
      <w:marRight w:val="0"/>
      <w:marTop w:val="0"/>
      <w:marBottom w:val="0"/>
      <w:divBdr>
        <w:top w:val="none" w:sz="0" w:space="0" w:color="auto"/>
        <w:left w:val="none" w:sz="0" w:space="0" w:color="auto"/>
        <w:bottom w:val="none" w:sz="0" w:space="0" w:color="auto"/>
        <w:right w:val="none" w:sz="0" w:space="0" w:color="auto"/>
      </w:divBdr>
    </w:div>
    <w:div w:id="508064199">
      <w:bodyDiv w:val="1"/>
      <w:marLeft w:val="0"/>
      <w:marRight w:val="0"/>
      <w:marTop w:val="0"/>
      <w:marBottom w:val="0"/>
      <w:divBdr>
        <w:top w:val="none" w:sz="0" w:space="0" w:color="auto"/>
        <w:left w:val="none" w:sz="0" w:space="0" w:color="auto"/>
        <w:bottom w:val="none" w:sz="0" w:space="0" w:color="auto"/>
        <w:right w:val="none" w:sz="0" w:space="0" w:color="auto"/>
      </w:divBdr>
    </w:div>
    <w:div w:id="593704217">
      <w:bodyDiv w:val="1"/>
      <w:marLeft w:val="0"/>
      <w:marRight w:val="0"/>
      <w:marTop w:val="0"/>
      <w:marBottom w:val="0"/>
      <w:divBdr>
        <w:top w:val="none" w:sz="0" w:space="0" w:color="auto"/>
        <w:left w:val="none" w:sz="0" w:space="0" w:color="auto"/>
        <w:bottom w:val="none" w:sz="0" w:space="0" w:color="auto"/>
        <w:right w:val="none" w:sz="0" w:space="0" w:color="auto"/>
      </w:divBdr>
    </w:div>
    <w:div w:id="678430936">
      <w:bodyDiv w:val="1"/>
      <w:marLeft w:val="0"/>
      <w:marRight w:val="0"/>
      <w:marTop w:val="0"/>
      <w:marBottom w:val="0"/>
      <w:divBdr>
        <w:top w:val="none" w:sz="0" w:space="0" w:color="auto"/>
        <w:left w:val="none" w:sz="0" w:space="0" w:color="auto"/>
        <w:bottom w:val="none" w:sz="0" w:space="0" w:color="auto"/>
        <w:right w:val="none" w:sz="0" w:space="0" w:color="auto"/>
      </w:divBdr>
    </w:div>
    <w:div w:id="681586660">
      <w:bodyDiv w:val="1"/>
      <w:marLeft w:val="0"/>
      <w:marRight w:val="0"/>
      <w:marTop w:val="0"/>
      <w:marBottom w:val="0"/>
      <w:divBdr>
        <w:top w:val="none" w:sz="0" w:space="0" w:color="auto"/>
        <w:left w:val="none" w:sz="0" w:space="0" w:color="auto"/>
        <w:bottom w:val="none" w:sz="0" w:space="0" w:color="auto"/>
        <w:right w:val="none" w:sz="0" w:space="0" w:color="auto"/>
      </w:divBdr>
    </w:div>
    <w:div w:id="790439215">
      <w:bodyDiv w:val="1"/>
      <w:marLeft w:val="0"/>
      <w:marRight w:val="0"/>
      <w:marTop w:val="0"/>
      <w:marBottom w:val="0"/>
      <w:divBdr>
        <w:top w:val="none" w:sz="0" w:space="0" w:color="auto"/>
        <w:left w:val="none" w:sz="0" w:space="0" w:color="auto"/>
        <w:bottom w:val="none" w:sz="0" w:space="0" w:color="auto"/>
        <w:right w:val="none" w:sz="0" w:space="0" w:color="auto"/>
      </w:divBdr>
    </w:div>
    <w:div w:id="795299483">
      <w:bodyDiv w:val="1"/>
      <w:marLeft w:val="0"/>
      <w:marRight w:val="0"/>
      <w:marTop w:val="0"/>
      <w:marBottom w:val="0"/>
      <w:divBdr>
        <w:top w:val="none" w:sz="0" w:space="0" w:color="auto"/>
        <w:left w:val="none" w:sz="0" w:space="0" w:color="auto"/>
        <w:bottom w:val="none" w:sz="0" w:space="0" w:color="auto"/>
        <w:right w:val="none" w:sz="0" w:space="0" w:color="auto"/>
      </w:divBdr>
    </w:div>
    <w:div w:id="859392260">
      <w:bodyDiv w:val="1"/>
      <w:marLeft w:val="0"/>
      <w:marRight w:val="0"/>
      <w:marTop w:val="0"/>
      <w:marBottom w:val="0"/>
      <w:divBdr>
        <w:top w:val="none" w:sz="0" w:space="0" w:color="auto"/>
        <w:left w:val="none" w:sz="0" w:space="0" w:color="auto"/>
        <w:bottom w:val="none" w:sz="0" w:space="0" w:color="auto"/>
        <w:right w:val="none" w:sz="0" w:space="0" w:color="auto"/>
      </w:divBdr>
    </w:div>
    <w:div w:id="862399903">
      <w:bodyDiv w:val="1"/>
      <w:marLeft w:val="0"/>
      <w:marRight w:val="0"/>
      <w:marTop w:val="0"/>
      <w:marBottom w:val="0"/>
      <w:divBdr>
        <w:top w:val="none" w:sz="0" w:space="0" w:color="auto"/>
        <w:left w:val="none" w:sz="0" w:space="0" w:color="auto"/>
        <w:bottom w:val="none" w:sz="0" w:space="0" w:color="auto"/>
        <w:right w:val="none" w:sz="0" w:space="0" w:color="auto"/>
      </w:divBdr>
    </w:div>
    <w:div w:id="865605225">
      <w:bodyDiv w:val="1"/>
      <w:marLeft w:val="0"/>
      <w:marRight w:val="0"/>
      <w:marTop w:val="0"/>
      <w:marBottom w:val="0"/>
      <w:divBdr>
        <w:top w:val="none" w:sz="0" w:space="0" w:color="auto"/>
        <w:left w:val="none" w:sz="0" w:space="0" w:color="auto"/>
        <w:bottom w:val="none" w:sz="0" w:space="0" w:color="auto"/>
        <w:right w:val="none" w:sz="0" w:space="0" w:color="auto"/>
      </w:divBdr>
    </w:div>
    <w:div w:id="883058154">
      <w:bodyDiv w:val="1"/>
      <w:marLeft w:val="0"/>
      <w:marRight w:val="0"/>
      <w:marTop w:val="0"/>
      <w:marBottom w:val="0"/>
      <w:divBdr>
        <w:top w:val="none" w:sz="0" w:space="0" w:color="auto"/>
        <w:left w:val="none" w:sz="0" w:space="0" w:color="auto"/>
        <w:bottom w:val="none" w:sz="0" w:space="0" w:color="auto"/>
        <w:right w:val="none" w:sz="0" w:space="0" w:color="auto"/>
      </w:divBdr>
    </w:div>
    <w:div w:id="906694242">
      <w:bodyDiv w:val="1"/>
      <w:marLeft w:val="0"/>
      <w:marRight w:val="0"/>
      <w:marTop w:val="0"/>
      <w:marBottom w:val="0"/>
      <w:divBdr>
        <w:top w:val="none" w:sz="0" w:space="0" w:color="auto"/>
        <w:left w:val="none" w:sz="0" w:space="0" w:color="auto"/>
        <w:bottom w:val="none" w:sz="0" w:space="0" w:color="auto"/>
        <w:right w:val="none" w:sz="0" w:space="0" w:color="auto"/>
      </w:divBdr>
    </w:div>
    <w:div w:id="947808807">
      <w:bodyDiv w:val="1"/>
      <w:marLeft w:val="0"/>
      <w:marRight w:val="0"/>
      <w:marTop w:val="0"/>
      <w:marBottom w:val="0"/>
      <w:divBdr>
        <w:top w:val="none" w:sz="0" w:space="0" w:color="auto"/>
        <w:left w:val="none" w:sz="0" w:space="0" w:color="auto"/>
        <w:bottom w:val="none" w:sz="0" w:space="0" w:color="auto"/>
        <w:right w:val="none" w:sz="0" w:space="0" w:color="auto"/>
      </w:divBdr>
    </w:div>
    <w:div w:id="971517153">
      <w:bodyDiv w:val="1"/>
      <w:marLeft w:val="0"/>
      <w:marRight w:val="0"/>
      <w:marTop w:val="0"/>
      <w:marBottom w:val="0"/>
      <w:divBdr>
        <w:top w:val="none" w:sz="0" w:space="0" w:color="auto"/>
        <w:left w:val="none" w:sz="0" w:space="0" w:color="auto"/>
        <w:bottom w:val="none" w:sz="0" w:space="0" w:color="auto"/>
        <w:right w:val="none" w:sz="0" w:space="0" w:color="auto"/>
      </w:divBdr>
      <w:divsChild>
        <w:div w:id="1199852327">
          <w:marLeft w:val="0"/>
          <w:marRight w:val="0"/>
          <w:marTop w:val="0"/>
          <w:marBottom w:val="0"/>
          <w:divBdr>
            <w:top w:val="none" w:sz="0" w:space="0" w:color="auto"/>
            <w:left w:val="none" w:sz="0" w:space="0" w:color="auto"/>
            <w:bottom w:val="none" w:sz="0" w:space="0" w:color="auto"/>
            <w:right w:val="none" w:sz="0" w:space="0" w:color="auto"/>
          </w:divBdr>
          <w:divsChild>
            <w:div w:id="1860740">
              <w:marLeft w:val="0"/>
              <w:marRight w:val="450"/>
              <w:marTop w:val="0"/>
              <w:marBottom w:val="0"/>
              <w:divBdr>
                <w:top w:val="none" w:sz="0" w:space="0" w:color="auto"/>
                <w:left w:val="none" w:sz="0" w:space="0" w:color="auto"/>
                <w:bottom w:val="none" w:sz="0" w:space="0" w:color="auto"/>
                <w:right w:val="none" w:sz="0" w:space="0" w:color="auto"/>
              </w:divBdr>
              <w:divsChild>
                <w:div w:id="118913790">
                  <w:marLeft w:val="0"/>
                  <w:marRight w:val="0"/>
                  <w:marTop w:val="0"/>
                  <w:marBottom w:val="0"/>
                  <w:divBdr>
                    <w:top w:val="none" w:sz="0" w:space="0" w:color="auto"/>
                    <w:left w:val="none" w:sz="0" w:space="0" w:color="auto"/>
                    <w:bottom w:val="none" w:sz="0" w:space="0" w:color="auto"/>
                    <w:right w:val="none" w:sz="0" w:space="0" w:color="auto"/>
                  </w:divBdr>
                  <w:divsChild>
                    <w:div w:id="19683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7164">
      <w:bodyDiv w:val="1"/>
      <w:marLeft w:val="0"/>
      <w:marRight w:val="0"/>
      <w:marTop w:val="0"/>
      <w:marBottom w:val="0"/>
      <w:divBdr>
        <w:top w:val="none" w:sz="0" w:space="0" w:color="auto"/>
        <w:left w:val="none" w:sz="0" w:space="0" w:color="auto"/>
        <w:bottom w:val="none" w:sz="0" w:space="0" w:color="auto"/>
        <w:right w:val="none" w:sz="0" w:space="0" w:color="auto"/>
      </w:divBdr>
    </w:div>
    <w:div w:id="991442409">
      <w:bodyDiv w:val="1"/>
      <w:marLeft w:val="0"/>
      <w:marRight w:val="0"/>
      <w:marTop w:val="0"/>
      <w:marBottom w:val="0"/>
      <w:divBdr>
        <w:top w:val="none" w:sz="0" w:space="0" w:color="auto"/>
        <w:left w:val="none" w:sz="0" w:space="0" w:color="auto"/>
        <w:bottom w:val="none" w:sz="0" w:space="0" w:color="auto"/>
        <w:right w:val="none" w:sz="0" w:space="0" w:color="auto"/>
      </w:divBdr>
    </w:div>
    <w:div w:id="1000738093">
      <w:bodyDiv w:val="1"/>
      <w:marLeft w:val="0"/>
      <w:marRight w:val="0"/>
      <w:marTop w:val="0"/>
      <w:marBottom w:val="0"/>
      <w:divBdr>
        <w:top w:val="none" w:sz="0" w:space="0" w:color="auto"/>
        <w:left w:val="none" w:sz="0" w:space="0" w:color="auto"/>
        <w:bottom w:val="none" w:sz="0" w:space="0" w:color="auto"/>
        <w:right w:val="none" w:sz="0" w:space="0" w:color="auto"/>
      </w:divBdr>
    </w:div>
    <w:div w:id="1082871819">
      <w:bodyDiv w:val="1"/>
      <w:marLeft w:val="0"/>
      <w:marRight w:val="0"/>
      <w:marTop w:val="0"/>
      <w:marBottom w:val="0"/>
      <w:divBdr>
        <w:top w:val="none" w:sz="0" w:space="0" w:color="auto"/>
        <w:left w:val="none" w:sz="0" w:space="0" w:color="auto"/>
        <w:bottom w:val="none" w:sz="0" w:space="0" w:color="auto"/>
        <w:right w:val="none" w:sz="0" w:space="0" w:color="auto"/>
      </w:divBdr>
    </w:div>
    <w:div w:id="1108738113">
      <w:bodyDiv w:val="1"/>
      <w:marLeft w:val="0"/>
      <w:marRight w:val="0"/>
      <w:marTop w:val="0"/>
      <w:marBottom w:val="0"/>
      <w:divBdr>
        <w:top w:val="none" w:sz="0" w:space="0" w:color="auto"/>
        <w:left w:val="none" w:sz="0" w:space="0" w:color="auto"/>
        <w:bottom w:val="none" w:sz="0" w:space="0" w:color="auto"/>
        <w:right w:val="none" w:sz="0" w:space="0" w:color="auto"/>
      </w:divBdr>
    </w:div>
    <w:div w:id="1135443356">
      <w:bodyDiv w:val="1"/>
      <w:marLeft w:val="0"/>
      <w:marRight w:val="0"/>
      <w:marTop w:val="0"/>
      <w:marBottom w:val="0"/>
      <w:divBdr>
        <w:top w:val="none" w:sz="0" w:space="0" w:color="auto"/>
        <w:left w:val="none" w:sz="0" w:space="0" w:color="auto"/>
        <w:bottom w:val="none" w:sz="0" w:space="0" w:color="auto"/>
        <w:right w:val="none" w:sz="0" w:space="0" w:color="auto"/>
      </w:divBdr>
    </w:div>
    <w:div w:id="1161002653">
      <w:bodyDiv w:val="1"/>
      <w:marLeft w:val="0"/>
      <w:marRight w:val="0"/>
      <w:marTop w:val="0"/>
      <w:marBottom w:val="0"/>
      <w:divBdr>
        <w:top w:val="none" w:sz="0" w:space="0" w:color="auto"/>
        <w:left w:val="none" w:sz="0" w:space="0" w:color="auto"/>
        <w:bottom w:val="none" w:sz="0" w:space="0" w:color="auto"/>
        <w:right w:val="none" w:sz="0" w:space="0" w:color="auto"/>
      </w:divBdr>
    </w:div>
    <w:div w:id="1176841269">
      <w:bodyDiv w:val="1"/>
      <w:marLeft w:val="0"/>
      <w:marRight w:val="0"/>
      <w:marTop w:val="0"/>
      <w:marBottom w:val="0"/>
      <w:divBdr>
        <w:top w:val="none" w:sz="0" w:space="0" w:color="auto"/>
        <w:left w:val="none" w:sz="0" w:space="0" w:color="auto"/>
        <w:bottom w:val="none" w:sz="0" w:space="0" w:color="auto"/>
        <w:right w:val="none" w:sz="0" w:space="0" w:color="auto"/>
      </w:divBdr>
    </w:div>
    <w:div w:id="1251112831">
      <w:bodyDiv w:val="1"/>
      <w:marLeft w:val="0"/>
      <w:marRight w:val="0"/>
      <w:marTop w:val="0"/>
      <w:marBottom w:val="0"/>
      <w:divBdr>
        <w:top w:val="none" w:sz="0" w:space="0" w:color="auto"/>
        <w:left w:val="none" w:sz="0" w:space="0" w:color="auto"/>
        <w:bottom w:val="none" w:sz="0" w:space="0" w:color="auto"/>
        <w:right w:val="none" w:sz="0" w:space="0" w:color="auto"/>
      </w:divBdr>
    </w:div>
    <w:div w:id="1344547182">
      <w:bodyDiv w:val="1"/>
      <w:marLeft w:val="0"/>
      <w:marRight w:val="0"/>
      <w:marTop w:val="0"/>
      <w:marBottom w:val="0"/>
      <w:divBdr>
        <w:top w:val="none" w:sz="0" w:space="0" w:color="auto"/>
        <w:left w:val="none" w:sz="0" w:space="0" w:color="auto"/>
        <w:bottom w:val="none" w:sz="0" w:space="0" w:color="auto"/>
        <w:right w:val="none" w:sz="0" w:space="0" w:color="auto"/>
      </w:divBdr>
    </w:div>
    <w:div w:id="1373766130">
      <w:bodyDiv w:val="1"/>
      <w:marLeft w:val="0"/>
      <w:marRight w:val="0"/>
      <w:marTop w:val="0"/>
      <w:marBottom w:val="0"/>
      <w:divBdr>
        <w:top w:val="none" w:sz="0" w:space="0" w:color="auto"/>
        <w:left w:val="none" w:sz="0" w:space="0" w:color="auto"/>
        <w:bottom w:val="none" w:sz="0" w:space="0" w:color="auto"/>
        <w:right w:val="none" w:sz="0" w:space="0" w:color="auto"/>
      </w:divBdr>
    </w:div>
    <w:div w:id="1403870408">
      <w:bodyDiv w:val="1"/>
      <w:marLeft w:val="0"/>
      <w:marRight w:val="0"/>
      <w:marTop w:val="0"/>
      <w:marBottom w:val="0"/>
      <w:divBdr>
        <w:top w:val="none" w:sz="0" w:space="0" w:color="auto"/>
        <w:left w:val="none" w:sz="0" w:space="0" w:color="auto"/>
        <w:bottom w:val="none" w:sz="0" w:space="0" w:color="auto"/>
        <w:right w:val="none" w:sz="0" w:space="0" w:color="auto"/>
      </w:divBdr>
    </w:div>
    <w:div w:id="1426076187">
      <w:bodyDiv w:val="1"/>
      <w:marLeft w:val="0"/>
      <w:marRight w:val="0"/>
      <w:marTop w:val="0"/>
      <w:marBottom w:val="0"/>
      <w:divBdr>
        <w:top w:val="none" w:sz="0" w:space="0" w:color="auto"/>
        <w:left w:val="none" w:sz="0" w:space="0" w:color="auto"/>
        <w:bottom w:val="none" w:sz="0" w:space="0" w:color="auto"/>
        <w:right w:val="none" w:sz="0" w:space="0" w:color="auto"/>
      </w:divBdr>
      <w:divsChild>
        <w:div w:id="222644134">
          <w:marLeft w:val="0"/>
          <w:marRight w:val="0"/>
          <w:marTop w:val="0"/>
          <w:marBottom w:val="0"/>
          <w:divBdr>
            <w:top w:val="none" w:sz="0" w:space="0" w:color="auto"/>
            <w:left w:val="none" w:sz="0" w:space="0" w:color="auto"/>
            <w:bottom w:val="none" w:sz="0" w:space="0" w:color="auto"/>
            <w:right w:val="none" w:sz="0" w:space="0" w:color="auto"/>
          </w:divBdr>
        </w:div>
      </w:divsChild>
    </w:div>
    <w:div w:id="1452935295">
      <w:bodyDiv w:val="1"/>
      <w:marLeft w:val="0"/>
      <w:marRight w:val="0"/>
      <w:marTop w:val="0"/>
      <w:marBottom w:val="0"/>
      <w:divBdr>
        <w:top w:val="none" w:sz="0" w:space="0" w:color="auto"/>
        <w:left w:val="none" w:sz="0" w:space="0" w:color="auto"/>
        <w:bottom w:val="none" w:sz="0" w:space="0" w:color="auto"/>
        <w:right w:val="none" w:sz="0" w:space="0" w:color="auto"/>
      </w:divBdr>
    </w:div>
    <w:div w:id="1490291424">
      <w:bodyDiv w:val="1"/>
      <w:marLeft w:val="0"/>
      <w:marRight w:val="0"/>
      <w:marTop w:val="0"/>
      <w:marBottom w:val="0"/>
      <w:divBdr>
        <w:top w:val="none" w:sz="0" w:space="0" w:color="auto"/>
        <w:left w:val="none" w:sz="0" w:space="0" w:color="auto"/>
        <w:bottom w:val="none" w:sz="0" w:space="0" w:color="auto"/>
        <w:right w:val="none" w:sz="0" w:space="0" w:color="auto"/>
      </w:divBdr>
      <w:divsChild>
        <w:div w:id="1676375808">
          <w:marLeft w:val="0"/>
          <w:marRight w:val="0"/>
          <w:marTop w:val="0"/>
          <w:marBottom w:val="0"/>
          <w:divBdr>
            <w:top w:val="none" w:sz="0" w:space="0" w:color="auto"/>
            <w:left w:val="none" w:sz="0" w:space="0" w:color="auto"/>
            <w:bottom w:val="none" w:sz="0" w:space="0" w:color="auto"/>
            <w:right w:val="none" w:sz="0" w:space="0" w:color="auto"/>
          </w:divBdr>
        </w:div>
      </w:divsChild>
    </w:div>
    <w:div w:id="1500609506">
      <w:bodyDiv w:val="1"/>
      <w:marLeft w:val="0"/>
      <w:marRight w:val="0"/>
      <w:marTop w:val="0"/>
      <w:marBottom w:val="0"/>
      <w:divBdr>
        <w:top w:val="none" w:sz="0" w:space="0" w:color="auto"/>
        <w:left w:val="none" w:sz="0" w:space="0" w:color="auto"/>
        <w:bottom w:val="none" w:sz="0" w:space="0" w:color="auto"/>
        <w:right w:val="none" w:sz="0" w:space="0" w:color="auto"/>
      </w:divBdr>
    </w:div>
    <w:div w:id="1508866728">
      <w:bodyDiv w:val="1"/>
      <w:marLeft w:val="0"/>
      <w:marRight w:val="0"/>
      <w:marTop w:val="0"/>
      <w:marBottom w:val="0"/>
      <w:divBdr>
        <w:top w:val="none" w:sz="0" w:space="0" w:color="auto"/>
        <w:left w:val="none" w:sz="0" w:space="0" w:color="auto"/>
        <w:bottom w:val="none" w:sz="0" w:space="0" w:color="auto"/>
        <w:right w:val="none" w:sz="0" w:space="0" w:color="auto"/>
      </w:divBdr>
    </w:div>
    <w:div w:id="1512913774">
      <w:bodyDiv w:val="1"/>
      <w:marLeft w:val="0"/>
      <w:marRight w:val="0"/>
      <w:marTop w:val="0"/>
      <w:marBottom w:val="0"/>
      <w:divBdr>
        <w:top w:val="none" w:sz="0" w:space="0" w:color="auto"/>
        <w:left w:val="none" w:sz="0" w:space="0" w:color="auto"/>
        <w:bottom w:val="none" w:sz="0" w:space="0" w:color="auto"/>
        <w:right w:val="none" w:sz="0" w:space="0" w:color="auto"/>
      </w:divBdr>
    </w:div>
    <w:div w:id="1524057773">
      <w:bodyDiv w:val="1"/>
      <w:marLeft w:val="0"/>
      <w:marRight w:val="0"/>
      <w:marTop w:val="0"/>
      <w:marBottom w:val="0"/>
      <w:divBdr>
        <w:top w:val="none" w:sz="0" w:space="0" w:color="auto"/>
        <w:left w:val="none" w:sz="0" w:space="0" w:color="auto"/>
        <w:bottom w:val="none" w:sz="0" w:space="0" w:color="auto"/>
        <w:right w:val="none" w:sz="0" w:space="0" w:color="auto"/>
      </w:divBdr>
    </w:div>
    <w:div w:id="1703902573">
      <w:bodyDiv w:val="1"/>
      <w:marLeft w:val="0"/>
      <w:marRight w:val="0"/>
      <w:marTop w:val="0"/>
      <w:marBottom w:val="0"/>
      <w:divBdr>
        <w:top w:val="none" w:sz="0" w:space="0" w:color="auto"/>
        <w:left w:val="none" w:sz="0" w:space="0" w:color="auto"/>
        <w:bottom w:val="none" w:sz="0" w:space="0" w:color="auto"/>
        <w:right w:val="none" w:sz="0" w:space="0" w:color="auto"/>
      </w:divBdr>
    </w:div>
    <w:div w:id="1716000079">
      <w:bodyDiv w:val="1"/>
      <w:marLeft w:val="0"/>
      <w:marRight w:val="0"/>
      <w:marTop w:val="0"/>
      <w:marBottom w:val="0"/>
      <w:divBdr>
        <w:top w:val="none" w:sz="0" w:space="0" w:color="auto"/>
        <w:left w:val="none" w:sz="0" w:space="0" w:color="auto"/>
        <w:bottom w:val="none" w:sz="0" w:space="0" w:color="auto"/>
        <w:right w:val="none" w:sz="0" w:space="0" w:color="auto"/>
      </w:divBdr>
    </w:div>
    <w:div w:id="1746220223">
      <w:bodyDiv w:val="1"/>
      <w:marLeft w:val="0"/>
      <w:marRight w:val="0"/>
      <w:marTop w:val="0"/>
      <w:marBottom w:val="0"/>
      <w:divBdr>
        <w:top w:val="none" w:sz="0" w:space="0" w:color="auto"/>
        <w:left w:val="none" w:sz="0" w:space="0" w:color="auto"/>
        <w:bottom w:val="none" w:sz="0" w:space="0" w:color="auto"/>
        <w:right w:val="none" w:sz="0" w:space="0" w:color="auto"/>
      </w:divBdr>
    </w:div>
    <w:div w:id="1746225816">
      <w:bodyDiv w:val="1"/>
      <w:marLeft w:val="0"/>
      <w:marRight w:val="0"/>
      <w:marTop w:val="0"/>
      <w:marBottom w:val="0"/>
      <w:divBdr>
        <w:top w:val="none" w:sz="0" w:space="0" w:color="auto"/>
        <w:left w:val="none" w:sz="0" w:space="0" w:color="auto"/>
        <w:bottom w:val="none" w:sz="0" w:space="0" w:color="auto"/>
        <w:right w:val="none" w:sz="0" w:space="0" w:color="auto"/>
      </w:divBdr>
    </w:div>
    <w:div w:id="1746493104">
      <w:bodyDiv w:val="1"/>
      <w:marLeft w:val="0"/>
      <w:marRight w:val="0"/>
      <w:marTop w:val="0"/>
      <w:marBottom w:val="0"/>
      <w:divBdr>
        <w:top w:val="none" w:sz="0" w:space="0" w:color="auto"/>
        <w:left w:val="none" w:sz="0" w:space="0" w:color="auto"/>
        <w:bottom w:val="none" w:sz="0" w:space="0" w:color="auto"/>
        <w:right w:val="none" w:sz="0" w:space="0" w:color="auto"/>
      </w:divBdr>
    </w:div>
    <w:div w:id="1824614895">
      <w:bodyDiv w:val="1"/>
      <w:marLeft w:val="0"/>
      <w:marRight w:val="0"/>
      <w:marTop w:val="0"/>
      <w:marBottom w:val="0"/>
      <w:divBdr>
        <w:top w:val="none" w:sz="0" w:space="0" w:color="auto"/>
        <w:left w:val="none" w:sz="0" w:space="0" w:color="auto"/>
        <w:bottom w:val="none" w:sz="0" w:space="0" w:color="auto"/>
        <w:right w:val="none" w:sz="0" w:space="0" w:color="auto"/>
      </w:divBdr>
    </w:div>
    <w:div w:id="1850631929">
      <w:bodyDiv w:val="1"/>
      <w:marLeft w:val="0"/>
      <w:marRight w:val="0"/>
      <w:marTop w:val="0"/>
      <w:marBottom w:val="0"/>
      <w:divBdr>
        <w:top w:val="none" w:sz="0" w:space="0" w:color="auto"/>
        <w:left w:val="none" w:sz="0" w:space="0" w:color="auto"/>
        <w:bottom w:val="none" w:sz="0" w:space="0" w:color="auto"/>
        <w:right w:val="none" w:sz="0" w:space="0" w:color="auto"/>
      </w:divBdr>
    </w:div>
    <w:div w:id="1853295019">
      <w:bodyDiv w:val="1"/>
      <w:marLeft w:val="0"/>
      <w:marRight w:val="0"/>
      <w:marTop w:val="0"/>
      <w:marBottom w:val="0"/>
      <w:divBdr>
        <w:top w:val="none" w:sz="0" w:space="0" w:color="auto"/>
        <w:left w:val="none" w:sz="0" w:space="0" w:color="auto"/>
        <w:bottom w:val="none" w:sz="0" w:space="0" w:color="auto"/>
        <w:right w:val="none" w:sz="0" w:space="0" w:color="auto"/>
      </w:divBdr>
    </w:div>
    <w:div w:id="1854145825">
      <w:bodyDiv w:val="1"/>
      <w:marLeft w:val="0"/>
      <w:marRight w:val="0"/>
      <w:marTop w:val="0"/>
      <w:marBottom w:val="0"/>
      <w:divBdr>
        <w:top w:val="none" w:sz="0" w:space="0" w:color="auto"/>
        <w:left w:val="none" w:sz="0" w:space="0" w:color="auto"/>
        <w:bottom w:val="none" w:sz="0" w:space="0" w:color="auto"/>
        <w:right w:val="none" w:sz="0" w:space="0" w:color="auto"/>
      </w:divBdr>
    </w:div>
    <w:div w:id="1861048835">
      <w:bodyDiv w:val="1"/>
      <w:marLeft w:val="0"/>
      <w:marRight w:val="0"/>
      <w:marTop w:val="0"/>
      <w:marBottom w:val="0"/>
      <w:divBdr>
        <w:top w:val="none" w:sz="0" w:space="0" w:color="auto"/>
        <w:left w:val="none" w:sz="0" w:space="0" w:color="auto"/>
        <w:bottom w:val="none" w:sz="0" w:space="0" w:color="auto"/>
        <w:right w:val="none" w:sz="0" w:space="0" w:color="auto"/>
      </w:divBdr>
    </w:div>
    <w:div w:id="1956787037">
      <w:bodyDiv w:val="1"/>
      <w:marLeft w:val="0"/>
      <w:marRight w:val="0"/>
      <w:marTop w:val="0"/>
      <w:marBottom w:val="0"/>
      <w:divBdr>
        <w:top w:val="none" w:sz="0" w:space="0" w:color="auto"/>
        <w:left w:val="none" w:sz="0" w:space="0" w:color="auto"/>
        <w:bottom w:val="none" w:sz="0" w:space="0" w:color="auto"/>
        <w:right w:val="none" w:sz="0" w:space="0" w:color="auto"/>
      </w:divBdr>
      <w:divsChild>
        <w:div w:id="1488092172">
          <w:marLeft w:val="0"/>
          <w:marRight w:val="0"/>
          <w:marTop w:val="0"/>
          <w:marBottom w:val="0"/>
          <w:divBdr>
            <w:top w:val="none" w:sz="0" w:space="0" w:color="auto"/>
            <w:left w:val="none" w:sz="0" w:space="0" w:color="auto"/>
            <w:bottom w:val="none" w:sz="0" w:space="0" w:color="auto"/>
            <w:right w:val="none" w:sz="0" w:space="0" w:color="auto"/>
          </w:divBdr>
          <w:divsChild>
            <w:div w:id="1090852911">
              <w:marLeft w:val="0"/>
              <w:marRight w:val="0"/>
              <w:marTop w:val="0"/>
              <w:marBottom w:val="0"/>
              <w:divBdr>
                <w:top w:val="none" w:sz="0" w:space="0" w:color="auto"/>
                <w:left w:val="none" w:sz="0" w:space="0" w:color="auto"/>
                <w:bottom w:val="none" w:sz="0" w:space="0" w:color="auto"/>
                <w:right w:val="none" w:sz="0" w:space="0" w:color="auto"/>
              </w:divBdr>
              <w:divsChild>
                <w:div w:id="1547185350">
                  <w:marLeft w:val="0"/>
                  <w:marRight w:val="0"/>
                  <w:marTop w:val="0"/>
                  <w:marBottom w:val="0"/>
                  <w:divBdr>
                    <w:top w:val="none" w:sz="0" w:space="0" w:color="auto"/>
                    <w:left w:val="none" w:sz="0" w:space="0" w:color="auto"/>
                    <w:bottom w:val="none" w:sz="0" w:space="0" w:color="auto"/>
                    <w:right w:val="none" w:sz="0" w:space="0" w:color="auto"/>
                  </w:divBdr>
                  <w:divsChild>
                    <w:div w:id="2055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8657">
      <w:bodyDiv w:val="1"/>
      <w:marLeft w:val="0"/>
      <w:marRight w:val="0"/>
      <w:marTop w:val="0"/>
      <w:marBottom w:val="0"/>
      <w:divBdr>
        <w:top w:val="none" w:sz="0" w:space="0" w:color="auto"/>
        <w:left w:val="none" w:sz="0" w:space="0" w:color="auto"/>
        <w:bottom w:val="none" w:sz="0" w:space="0" w:color="auto"/>
        <w:right w:val="none" w:sz="0" w:space="0" w:color="auto"/>
      </w:divBdr>
    </w:div>
    <w:div w:id="21423372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773">
          <w:marLeft w:val="0"/>
          <w:marRight w:val="0"/>
          <w:marTop w:val="0"/>
          <w:marBottom w:val="0"/>
          <w:divBdr>
            <w:top w:val="none" w:sz="0" w:space="0" w:color="auto"/>
            <w:left w:val="none" w:sz="0" w:space="0" w:color="auto"/>
            <w:bottom w:val="none" w:sz="0" w:space="0" w:color="auto"/>
            <w:right w:val="none" w:sz="0" w:space="0" w:color="auto"/>
          </w:divBdr>
          <w:divsChild>
            <w:div w:id="502866179">
              <w:marLeft w:val="0"/>
              <w:marRight w:val="0"/>
              <w:marTop w:val="0"/>
              <w:marBottom w:val="0"/>
              <w:divBdr>
                <w:top w:val="none" w:sz="0" w:space="0" w:color="auto"/>
                <w:left w:val="none" w:sz="0" w:space="0" w:color="auto"/>
                <w:bottom w:val="none" w:sz="0" w:space="0" w:color="auto"/>
                <w:right w:val="none" w:sz="0" w:space="0" w:color="auto"/>
              </w:divBdr>
              <w:divsChild>
                <w:div w:id="647708747">
                  <w:marLeft w:val="0"/>
                  <w:marRight w:val="0"/>
                  <w:marTop w:val="0"/>
                  <w:marBottom w:val="0"/>
                  <w:divBdr>
                    <w:top w:val="none" w:sz="0" w:space="0" w:color="auto"/>
                    <w:left w:val="none" w:sz="0" w:space="0" w:color="auto"/>
                    <w:bottom w:val="none" w:sz="0" w:space="0" w:color="auto"/>
                    <w:right w:val="none" w:sz="0" w:space="0" w:color="auto"/>
                  </w:divBdr>
                  <w:divsChild>
                    <w:div w:id="401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hart" Target="charts/chart6.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5.emf"/><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BSERVERIS\tamosauskiene_m\Ritos-fin\biudzeto%20vykdymo%20sprendimai%20ir%20medziaga\2017%20m.%20biudzeto%20vykdymas\grafikai%202017%20analizei%20.xls"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BSERVERIS\tamosauskiene_m\Ritos-fin\biudzeto%20vykdymo%20sprendimai%20ir%20medziaga\2018%20m.%20biudzeto%20vykdymas\grafikai%202017%20analizei%20.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file:///\\BSERVERIS\tamosauskiene_m\Ritos-fin\biudzeto%20vykdymo%20sprendimai%20ir%20medziaga\2018%20m.%20biudzeto%20vykdymas\grafikai%202017%20analizei%20.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3542289771918"/>
          <c:y val="3.9156626506024098E-2"/>
          <c:w val="0.46314171193717063"/>
          <c:h val="0.89977832590203333"/>
        </c:manualLayout>
      </c:layout>
      <c:pieChart>
        <c:varyColors val="1"/>
        <c:ser>
          <c:idx val="0"/>
          <c:order val="0"/>
          <c:explosion val="17"/>
          <c:dPt>
            <c:idx val="0"/>
            <c:bubble3D val="0"/>
          </c:dPt>
          <c:dPt>
            <c:idx val="1"/>
            <c:bubble3D val="0"/>
          </c:dPt>
          <c:dPt>
            <c:idx val="2"/>
            <c:bubble3D val="0"/>
          </c:dPt>
          <c:dPt>
            <c:idx val="3"/>
            <c:bubble3D val="0"/>
          </c:dPt>
          <c:dLbls>
            <c:dLbl>
              <c:idx val="0"/>
              <c:layout>
                <c:manualLayout>
                  <c:x val="1.0520346847761521E-2"/>
                  <c:y val="6.3001928975745497E-2"/>
                </c:manualLayout>
              </c:layout>
              <c:tx>
                <c:rich>
                  <a:bodyPr/>
                  <a:lstStyle/>
                  <a:p>
                    <a:r>
                      <a:rPr lang="lt-LT" sz="1200" b="0">
                        <a:latin typeface="Times New Roman" panose="02020603050405020304" pitchFamily="18" charset="0"/>
                        <a:cs typeface="Times New Roman" panose="02020603050405020304" pitchFamily="18" charset="0"/>
                      </a:rPr>
                      <a:t>Gyventojų pajamų mokestis 
44,9 %</a:t>
                    </a:r>
                    <a:endParaRPr lang="lt-LT"/>
                  </a:p>
                </c:rich>
              </c:tx>
              <c:dLblPos val="bestFit"/>
              <c:showLegendKey val="0"/>
              <c:showVal val="0"/>
              <c:showCatName val="0"/>
              <c:showSerName val="0"/>
              <c:showPercent val="0"/>
              <c:showBubbleSize val="0"/>
            </c:dLbl>
            <c:dLbl>
              <c:idx val="1"/>
              <c:layout>
                <c:manualLayout>
                  <c:x val="4.8063589274782562E-2"/>
                  <c:y val="-3.5937731464151627E-2"/>
                </c:manualLayout>
              </c:layout>
              <c:dLblPos val="bestFit"/>
              <c:showLegendKey val="0"/>
              <c:showVal val="0"/>
              <c:showCatName val="1"/>
              <c:showSerName val="0"/>
              <c:showPercent val="1"/>
              <c:showBubbleSize val="0"/>
            </c:dLbl>
            <c:dLbl>
              <c:idx val="2"/>
              <c:layout>
                <c:manualLayout>
                  <c:x val="-2.4542517545759153E-2"/>
                  <c:y val="-4.1030460483245455E-2"/>
                </c:manualLayout>
              </c:layout>
              <c:dLblPos val="bestFit"/>
              <c:showLegendKey val="0"/>
              <c:showVal val="0"/>
              <c:showCatName val="1"/>
              <c:showSerName val="0"/>
              <c:showPercent val="1"/>
              <c:showBubbleSize val="0"/>
            </c:dLbl>
            <c:dLbl>
              <c:idx val="3"/>
              <c:layout>
                <c:manualLayout>
                  <c:x val="-7.8394057359873454E-2"/>
                  <c:y val="2.1849738052268482E-2"/>
                </c:manualLayout>
              </c:layout>
              <c:dLblPos val="bestFit"/>
              <c:showLegendKey val="0"/>
              <c:showVal val="0"/>
              <c:showCatName val="1"/>
              <c:showSerName val="0"/>
              <c:showPercent val="1"/>
              <c:showBubbleSize val="0"/>
            </c:dLbl>
            <c:numFmt formatCode="0.0%" sourceLinked="0"/>
            <c:txPr>
              <a:bodyPr/>
              <a:lstStyle/>
              <a:p>
                <a:pPr>
                  <a:defRPr sz="1200" b="0">
                    <a:latin typeface="Times New Roman" panose="02020603050405020304" pitchFamily="18" charset="0"/>
                    <a:cs typeface="Times New Roman" panose="02020603050405020304" pitchFamily="18" charset="0"/>
                  </a:defRPr>
                </a:pPr>
                <a:endParaRPr lang="lt-LT"/>
              </a:p>
            </c:txPr>
            <c:dLblPos val="ctr"/>
            <c:showLegendKey val="0"/>
            <c:showVal val="0"/>
            <c:showCatName val="1"/>
            <c:showSerName val="0"/>
            <c:showPercent val="1"/>
            <c:showBubbleSize val="0"/>
            <c:showLeaderLines val="1"/>
          </c:dLbls>
          <c:cat>
            <c:strRef>
              <c:f>Sheet1!$A$6:$A$9</c:f>
              <c:strCache>
                <c:ptCount val="4"/>
                <c:pt idx="0">
                  <c:v>Gyventojų pajamų mokestis </c:v>
                </c:pt>
                <c:pt idx="1">
                  <c:v>Kiti mokesčiai</c:v>
                </c:pt>
                <c:pt idx="2">
                  <c:v>Dotacijos</c:v>
                </c:pt>
                <c:pt idx="3">
                  <c:v>Kitos pajamos</c:v>
                </c:pt>
              </c:strCache>
            </c:strRef>
          </c:cat>
          <c:val>
            <c:numRef>
              <c:f>Sheet1!$B$6:$B$9</c:f>
              <c:numCache>
                <c:formatCode>0.0</c:formatCode>
                <c:ptCount val="4"/>
                <c:pt idx="0">
                  <c:v>44.897416243240329</c:v>
                </c:pt>
                <c:pt idx="1">
                  <c:v>2.2194652316267209</c:v>
                </c:pt>
                <c:pt idx="2">
                  <c:v>46.246058776581044</c:v>
                </c:pt>
                <c:pt idx="3">
                  <c:v>6.6370597485519207</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pattFill prst="pct25">
          <a:fgClr>
            <a:srgbClr val="4F81BD"/>
          </a:fgClr>
          <a:bgClr>
            <a:sysClr val="window" lastClr="FFFFFF"/>
          </a:bgClr>
        </a:pattFill>
      </c:spPr>
    </c:sideWall>
    <c:backWall>
      <c:thickness val="0"/>
      <c:spPr>
        <a:pattFill prst="pct25">
          <a:fgClr>
            <a:srgbClr val="4F81BD"/>
          </a:fgClr>
          <a:bgClr>
            <a:sysClr val="window" lastClr="FFFFFF"/>
          </a:bgClr>
        </a:pattFill>
      </c:spPr>
    </c:backWall>
    <c:plotArea>
      <c:layout/>
      <c:bar3DChart>
        <c:barDir val="col"/>
        <c:grouping val="clustered"/>
        <c:varyColors val="0"/>
        <c:ser>
          <c:idx val="0"/>
          <c:order val="0"/>
          <c:tx>
            <c:strRef>
              <c:f>Sheet4!$B$9</c:f>
              <c:strCache>
                <c:ptCount val="1"/>
                <c:pt idx="0">
                  <c:v>Paskolų likutis metų pabaigoje, tūkst. eurų</c:v>
                </c:pt>
              </c:strCache>
            </c:strRef>
          </c:tx>
          <c:invertIfNegative val="0"/>
          <c:dLbls>
            <c:showLegendKey val="0"/>
            <c:showVal val="1"/>
            <c:showCatName val="0"/>
            <c:showSerName val="0"/>
            <c:showPercent val="0"/>
            <c:showBubbleSize val="0"/>
            <c:showLeaderLines val="0"/>
          </c:dLbls>
          <c:cat>
            <c:numRef>
              <c:f>Sheet4!$C$8:$G$8</c:f>
              <c:numCache>
                <c:formatCode>General</c:formatCode>
                <c:ptCount val="5"/>
                <c:pt idx="0">
                  <c:v>2014</c:v>
                </c:pt>
                <c:pt idx="1">
                  <c:v>2015</c:v>
                </c:pt>
                <c:pt idx="2">
                  <c:v>2016</c:v>
                </c:pt>
                <c:pt idx="3">
                  <c:v>2017</c:v>
                </c:pt>
                <c:pt idx="4">
                  <c:v>2018</c:v>
                </c:pt>
              </c:numCache>
            </c:numRef>
          </c:cat>
          <c:val>
            <c:numRef>
              <c:f>Sheet4!$C$9:$G$9</c:f>
              <c:numCache>
                <c:formatCode>General</c:formatCode>
                <c:ptCount val="5"/>
                <c:pt idx="0">
                  <c:v>5598.3</c:v>
                </c:pt>
                <c:pt idx="1">
                  <c:v>5740.1</c:v>
                </c:pt>
                <c:pt idx="2">
                  <c:v>5721</c:v>
                </c:pt>
                <c:pt idx="3">
                  <c:v>5680.7</c:v>
                </c:pt>
                <c:pt idx="4">
                  <c:v>5671.1</c:v>
                </c:pt>
              </c:numCache>
            </c:numRef>
          </c:val>
        </c:ser>
        <c:ser>
          <c:idx val="1"/>
          <c:order val="1"/>
          <c:tx>
            <c:strRef>
              <c:f>Sheet4!$B$10</c:f>
              <c:strCache>
                <c:ptCount val="1"/>
              </c:strCache>
            </c:strRef>
          </c:tx>
          <c:invertIfNegative val="0"/>
          <c:dLbls>
            <c:showLegendKey val="0"/>
            <c:showVal val="1"/>
            <c:showCatName val="0"/>
            <c:showSerName val="0"/>
            <c:showPercent val="0"/>
            <c:showBubbleSize val="0"/>
            <c:showLeaderLines val="0"/>
          </c:dLbls>
          <c:cat>
            <c:numRef>
              <c:f>Sheet4!$C$8:$G$8</c:f>
              <c:numCache>
                <c:formatCode>General</c:formatCode>
                <c:ptCount val="5"/>
                <c:pt idx="0">
                  <c:v>2014</c:v>
                </c:pt>
                <c:pt idx="1">
                  <c:v>2015</c:v>
                </c:pt>
                <c:pt idx="2">
                  <c:v>2016</c:v>
                </c:pt>
                <c:pt idx="3">
                  <c:v>2017</c:v>
                </c:pt>
                <c:pt idx="4">
                  <c:v>2018</c:v>
                </c:pt>
              </c:numCache>
            </c:numRef>
          </c:cat>
          <c:val>
            <c:numRef>
              <c:f>Sheet4!$C$10:$G$10</c:f>
              <c:numCache>
                <c:formatCode>General</c:formatCode>
                <c:ptCount val="5"/>
              </c:numCache>
            </c:numRef>
          </c:val>
        </c:ser>
        <c:ser>
          <c:idx val="2"/>
          <c:order val="2"/>
          <c:tx>
            <c:strRef>
              <c:f>Sheet4!$B$11</c:f>
              <c:strCache>
                <c:ptCount val="1"/>
              </c:strCache>
            </c:strRef>
          </c:tx>
          <c:invertIfNegative val="0"/>
          <c:dLbls>
            <c:showLegendKey val="0"/>
            <c:showVal val="1"/>
            <c:showCatName val="0"/>
            <c:showSerName val="0"/>
            <c:showPercent val="0"/>
            <c:showBubbleSize val="0"/>
            <c:showLeaderLines val="0"/>
          </c:dLbls>
          <c:cat>
            <c:numRef>
              <c:f>Sheet4!$C$8:$G$8</c:f>
              <c:numCache>
                <c:formatCode>General</c:formatCode>
                <c:ptCount val="5"/>
                <c:pt idx="0">
                  <c:v>2014</c:v>
                </c:pt>
                <c:pt idx="1">
                  <c:v>2015</c:v>
                </c:pt>
                <c:pt idx="2">
                  <c:v>2016</c:v>
                </c:pt>
                <c:pt idx="3">
                  <c:v>2017</c:v>
                </c:pt>
                <c:pt idx="4">
                  <c:v>2018</c:v>
                </c:pt>
              </c:numCache>
            </c:numRef>
          </c:cat>
          <c:val>
            <c:numRef>
              <c:f>Sheet4!$C$11:$G$11</c:f>
              <c:numCache>
                <c:formatCode>General</c:formatCode>
                <c:ptCount val="5"/>
              </c:numCache>
            </c:numRef>
          </c:val>
        </c:ser>
        <c:ser>
          <c:idx val="3"/>
          <c:order val="3"/>
          <c:tx>
            <c:strRef>
              <c:f>Sheet4!$B$12</c:f>
              <c:strCache>
                <c:ptCount val="1"/>
                <c:pt idx="0">
                  <c:v>Palūkanų mokėjimas per metus, tūkst. eurų</c:v>
                </c:pt>
              </c:strCache>
            </c:strRef>
          </c:tx>
          <c:spPr>
            <a:solidFill>
              <a:schemeClr val="accent2">
                <a:lumMod val="75000"/>
              </a:schemeClr>
            </a:solidFill>
          </c:spPr>
          <c:invertIfNegative val="0"/>
          <c:dLbls>
            <c:showLegendKey val="0"/>
            <c:showVal val="1"/>
            <c:showCatName val="0"/>
            <c:showSerName val="0"/>
            <c:showPercent val="0"/>
            <c:showBubbleSize val="0"/>
            <c:showLeaderLines val="0"/>
          </c:dLbls>
          <c:cat>
            <c:numRef>
              <c:f>Sheet4!$C$8:$G$8</c:f>
              <c:numCache>
                <c:formatCode>General</c:formatCode>
                <c:ptCount val="5"/>
                <c:pt idx="0">
                  <c:v>2014</c:v>
                </c:pt>
                <c:pt idx="1">
                  <c:v>2015</c:v>
                </c:pt>
                <c:pt idx="2">
                  <c:v>2016</c:v>
                </c:pt>
                <c:pt idx="3">
                  <c:v>2017</c:v>
                </c:pt>
                <c:pt idx="4">
                  <c:v>2018</c:v>
                </c:pt>
              </c:numCache>
            </c:numRef>
          </c:cat>
          <c:val>
            <c:numRef>
              <c:f>Sheet4!$C$12:$G$12</c:f>
              <c:numCache>
                <c:formatCode>General</c:formatCode>
                <c:ptCount val="5"/>
                <c:pt idx="0">
                  <c:v>130.6</c:v>
                </c:pt>
                <c:pt idx="1">
                  <c:v>125.4</c:v>
                </c:pt>
                <c:pt idx="2">
                  <c:v>109.3</c:v>
                </c:pt>
                <c:pt idx="3">
                  <c:v>54.1</c:v>
                </c:pt>
                <c:pt idx="4">
                  <c:v>52.8</c:v>
                </c:pt>
              </c:numCache>
            </c:numRef>
          </c:val>
        </c:ser>
        <c:dLbls>
          <c:showLegendKey val="0"/>
          <c:showVal val="0"/>
          <c:showCatName val="0"/>
          <c:showSerName val="0"/>
          <c:showPercent val="0"/>
          <c:showBubbleSize val="0"/>
        </c:dLbls>
        <c:gapWidth val="75"/>
        <c:shape val="cylinder"/>
        <c:axId val="141420544"/>
        <c:axId val="141098304"/>
        <c:axId val="0"/>
      </c:bar3DChart>
      <c:catAx>
        <c:axId val="141420544"/>
        <c:scaling>
          <c:orientation val="minMax"/>
        </c:scaling>
        <c:delete val="0"/>
        <c:axPos val="b"/>
        <c:numFmt formatCode="General" sourceLinked="1"/>
        <c:majorTickMark val="none"/>
        <c:minorTickMark val="none"/>
        <c:tickLblPos val="nextTo"/>
        <c:crossAx val="141098304"/>
        <c:crosses val="autoZero"/>
        <c:auto val="1"/>
        <c:lblAlgn val="ctr"/>
        <c:lblOffset val="100"/>
        <c:noMultiLvlLbl val="0"/>
      </c:catAx>
      <c:valAx>
        <c:axId val="141098304"/>
        <c:scaling>
          <c:orientation val="minMax"/>
        </c:scaling>
        <c:delete val="0"/>
        <c:axPos val="l"/>
        <c:numFmt formatCode="General" sourceLinked="1"/>
        <c:majorTickMark val="none"/>
        <c:minorTickMark val="none"/>
        <c:tickLblPos val="nextTo"/>
        <c:crossAx val="141420544"/>
        <c:crosses val="autoZero"/>
        <c:crossBetween val="between"/>
      </c:valAx>
      <c:spPr>
        <a:noFill/>
        <a:ln w="25400">
          <a:noFill/>
        </a:ln>
      </c:spPr>
    </c:plotArea>
    <c:legend>
      <c:legendPos val="b"/>
      <c:legendEntry>
        <c:idx val="1"/>
        <c:delete val="1"/>
      </c:legendEntry>
      <c:legendEntry>
        <c:idx val="2"/>
        <c:delete val="1"/>
      </c:legendEntry>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95501730103809E-2"/>
          <c:y val="3.0470914127423823E-2"/>
          <c:w val="0.87716262975778547"/>
          <c:h val="0.75346260387811637"/>
        </c:manualLayout>
      </c:layout>
      <c:barChart>
        <c:barDir val="bar"/>
        <c:grouping val="clustered"/>
        <c:varyColors val="0"/>
        <c:ser>
          <c:idx val="0"/>
          <c:order val="0"/>
          <c:tx>
            <c:strRef>
              <c:f>Sheet1!$A$2</c:f>
              <c:strCache>
                <c:ptCount val="1"/>
                <c:pt idx="0">
                  <c:v>Gyventojų pajamų mokestis </c:v>
                </c:pt>
              </c:strCache>
            </c:strRef>
          </c:tx>
          <c:spPr>
            <a:solidFill>
              <a:srgbClr val="99CCFF"/>
            </a:solidFill>
            <a:ln w="12673">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12.3</c:v>
                </c:pt>
                <c:pt idx="1">
                  <c:v>13.5</c:v>
                </c:pt>
                <c:pt idx="2">
                  <c:v>14.6</c:v>
                </c:pt>
                <c:pt idx="3">
                  <c:v>17.100000000000001</c:v>
                </c:pt>
              </c:numCache>
            </c:numRef>
          </c:val>
        </c:ser>
        <c:ser>
          <c:idx val="1"/>
          <c:order val="1"/>
          <c:tx>
            <c:strRef>
              <c:f>Sheet1!$A$3</c:f>
              <c:strCache>
                <c:ptCount val="1"/>
                <c:pt idx="0">
                  <c:v>Kiti mokesčiai</c:v>
                </c:pt>
              </c:strCache>
            </c:strRef>
          </c:tx>
          <c:spPr>
            <a:solidFill>
              <a:srgbClr val="3366FF"/>
            </a:solidFill>
            <a:ln w="12673">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1.9</c:v>
                </c:pt>
                <c:pt idx="1">
                  <c:v>1.8</c:v>
                </c:pt>
                <c:pt idx="2">
                  <c:v>1.9</c:v>
                </c:pt>
                <c:pt idx="3">
                  <c:v>0.8</c:v>
                </c:pt>
              </c:numCache>
            </c:numRef>
          </c:val>
        </c:ser>
        <c:ser>
          <c:idx val="2"/>
          <c:order val="2"/>
          <c:tx>
            <c:strRef>
              <c:f>Sheet1!$A$4</c:f>
              <c:strCache>
                <c:ptCount val="1"/>
                <c:pt idx="0">
                  <c:v>Dotacijos</c:v>
                </c:pt>
              </c:strCache>
            </c:strRef>
          </c:tx>
          <c:spPr>
            <a:solidFill>
              <a:srgbClr val="CCFFCC"/>
            </a:solidFill>
            <a:ln w="12673">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13.3</c:v>
                </c:pt>
                <c:pt idx="1">
                  <c:v>13.8</c:v>
                </c:pt>
                <c:pt idx="2">
                  <c:v>14.9</c:v>
                </c:pt>
                <c:pt idx="3">
                  <c:v>17.600000000000001</c:v>
                </c:pt>
              </c:numCache>
            </c:numRef>
          </c:val>
        </c:ser>
        <c:ser>
          <c:idx val="3"/>
          <c:order val="3"/>
          <c:tx>
            <c:strRef>
              <c:f>Sheet1!$A$5</c:f>
              <c:strCache>
                <c:ptCount val="1"/>
                <c:pt idx="0">
                  <c:v>Kitos pajamos</c:v>
                </c:pt>
              </c:strCache>
            </c:strRef>
          </c:tx>
          <c:spPr>
            <a:solidFill>
              <a:srgbClr val="339966"/>
            </a:solidFill>
            <a:ln w="12673">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Sheet1!$B$5:$E$5</c:f>
              <c:numCache>
                <c:formatCode>General</c:formatCode>
                <c:ptCount val="4"/>
                <c:pt idx="0">
                  <c:v>1</c:v>
                </c:pt>
                <c:pt idx="1">
                  <c:v>1.2</c:v>
                </c:pt>
                <c:pt idx="2">
                  <c:v>1.3</c:v>
                </c:pt>
                <c:pt idx="3">
                  <c:v>2.5</c:v>
                </c:pt>
              </c:numCache>
            </c:numRef>
          </c:val>
        </c:ser>
        <c:dLbls>
          <c:showLegendKey val="0"/>
          <c:showVal val="0"/>
          <c:showCatName val="0"/>
          <c:showSerName val="0"/>
          <c:showPercent val="0"/>
          <c:showBubbleSize val="0"/>
        </c:dLbls>
        <c:gapWidth val="150"/>
        <c:axId val="146948096"/>
        <c:axId val="141086080"/>
      </c:barChart>
      <c:catAx>
        <c:axId val="146948096"/>
        <c:scaling>
          <c:orientation val="minMax"/>
        </c:scaling>
        <c:delete val="0"/>
        <c:axPos val="l"/>
        <c:numFmt formatCode="General" sourceLinked="1"/>
        <c:majorTickMark val="out"/>
        <c:minorTickMark val="none"/>
        <c:tickLblPos val="nextTo"/>
        <c:spPr>
          <a:ln w="3168">
            <a:solidFill>
              <a:srgbClr val="000000"/>
            </a:solidFill>
            <a:prstDash val="solid"/>
          </a:ln>
        </c:spPr>
        <c:txPr>
          <a:bodyPr rot="0" vert="horz"/>
          <a:lstStyle/>
          <a:p>
            <a:pPr>
              <a:defRPr sz="1098" b="0" i="0" u="none" strike="noStrike" baseline="0">
                <a:solidFill>
                  <a:srgbClr val="000000"/>
                </a:solidFill>
                <a:latin typeface="Times New Roman"/>
                <a:ea typeface="Times New Roman"/>
                <a:cs typeface="Times New Roman"/>
              </a:defRPr>
            </a:pPr>
            <a:endParaRPr lang="lt-LT"/>
          </a:p>
        </c:txPr>
        <c:crossAx val="141086080"/>
        <c:crosses val="autoZero"/>
        <c:auto val="1"/>
        <c:lblAlgn val="ctr"/>
        <c:lblOffset val="100"/>
        <c:tickLblSkip val="1"/>
        <c:tickMarkSkip val="1"/>
        <c:noMultiLvlLbl val="0"/>
      </c:catAx>
      <c:valAx>
        <c:axId val="141086080"/>
        <c:scaling>
          <c:orientation val="minMax"/>
        </c:scaling>
        <c:delete val="0"/>
        <c:axPos val="b"/>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098" b="0" i="0" u="none" strike="noStrike" baseline="0">
                <a:solidFill>
                  <a:srgbClr val="000000"/>
                </a:solidFill>
                <a:latin typeface="Times New Roman"/>
                <a:ea typeface="Times New Roman"/>
                <a:cs typeface="Times New Roman"/>
              </a:defRPr>
            </a:pPr>
            <a:endParaRPr lang="lt-LT"/>
          </a:p>
        </c:txPr>
        <c:crossAx val="146948096"/>
        <c:crosses val="autoZero"/>
        <c:crossBetween val="between"/>
      </c:valAx>
      <c:spPr>
        <a:pattFill prst="wdUpDiag">
          <a:fgClr>
            <a:schemeClr val="accent1">
              <a:lumMod val="20000"/>
              <a:lumOff val="80000"/>
            </a:schemeClr>
          </a:fgClr>
          <a:bgClr>
            <a:schemeClr val="bg1"/>
          </a:bgClr>
        </a:pattFill>
        <a:ln w="3168">
          <a:noFill/>
          <a:prstDash val="solid"/>
        </a:ln>
      </c:spPr>
    </c:plotArea>
    <c:legend>
      <c:legendPos val="b"/>
      <c:layout>
        <c:manualLayout>
          <c:xMode val="edge"/>
          <c:yMode val="edge"/>
          <c:x val="0.10207612456747404"/>
          <c:y val="0.91689750692520777"/>
          <c:w val="0.85121107266435991"/>
          <c:h val="7.4792243767313013E-2"/>
        </c:manualLayout>
      </c:layout>
      <c:overlay val="0"/>
      <c:spPr>
        <a:noFill/>
        <a:ln w="3168">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572" b="1" i="0" u="none" strike="noStrike" baseline="0">
          <a:solidFill>
            <a:srgbClr val="000000"/>
          </a:solidFill>
          <a:latin typeface="Calibri"/>
          <a:ea typeface="Calibri"/>
          <a:cs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82495948136148E-2"/>
          <c:y val="3.9568345323741004E-2"/>
          <c:w val="0.55105348460291737"/>
          <c:h val="0.79856115107913672"/>
        </c:manualLayout>
      </c:layout>
      <c:barChart>
        <c:barDir val="bar"/>
        <c:grouping val="clustered"/>
        <c:varyColors val="0"/>
        <c:ser>
          <c:idx val="2"/>
          <c:order val="0"/>
          <c:tx>
            <c:strRef>
              <c:f>Sheet1!$A$2</c:f>
              <c:strCache>
                <c:ptCount val="1"/>
                <c:pt idx="0">
                  <c:v>Savivaldybės biudžeto pajamų planas, tvirtinant biudžetą</c:v>
                </c:pt>
              </c:strCache>
            </c:strRef>
          </c:tx>
          <c:spPr>
            <a:solidFill>
              <a:srgbClr val="CCFFFF"/>
            </a:solidFill>
            <a:ln w="12667">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24.95</c:v>
                </c:pt>
                <c:pt idx="1">
                  <c:v>27.8</c:v>
                </c:pt>
                <c:pt idx="2">
                  <c:v>28.5</c:v>
                </c:pt>
                <c:pt idx="3">
                  <c:v>34.799999999999997</c:v>
                </c:pt>
              </c:numCache>
            </c:numRef>
          </c:val>
        </c:ser>
        <c:ser>
          <c:idx val="3"/>
          <c:order val="1"/>
          <c:tx>
            <c:strRef>
              <c:f>Sheet1!$A$3</c:f>
              <c:strCache>
                <c:ptCount val="1"/>
                <c:pt idx="0">
                  <c:v>Savivaldybės biudžeto pajamų patikslintas planas</c:v>
                </c:pt>
              </c:strCache>
            </c:strRef>
          </c:tx>
          <c:spPr>
            <a:solidFill>
              <a:srgbClr val="FFFF99"/>
            </a:solidFill>
            <a:ln w="12667">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28.24</c:v>
                </c:pt>
                <c:pt idx="1">
                  <c:v>30.03</c:v>
                </c:pt>
                <c:pt idx="2">
                  <c:v>32.799999999999997</c:v>
                </c:pt>
                <c:pt idx="3">
                  <c:v>38.299999999999997</c:v>
                </c:pt>
              </c:numCache>
            </c:numRef>
          </c:val>
        </c:ser>
        <c:ser>
          <c:idx val="4"/>
          <c:order val="2"/>
          <c:tx>
            <c:strRef>
              <c:f>Sheet1!$A$4</c:f>
              <c:strCache>
                <c:ptCount val="1"/>
                <c:pt idx="0">
                  <c:v>Savivaldybės biudžeto pajamų  plano įvykdymas</c:v>
                </c:pt>
              </c:strCache>
            </c:strRef>
          </c:tx>
          <c:spPr>
            <a:solidFill>
              <a:srgbClr val="0066CC"/>
            </a:solidFill>
            <a:ln w="12667">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28.48</c:v>
                </c:pt>
                <c:pt idx="1">
                  <c:v>30.27</c:v>
                </c:pt>
                <c:pt idx="2">
                  <c:v>32.700000000000003</c:v>
                </c:pt>
                <c:pt idx="3" formatCode="0.0">
                  <c:v>38</c:v>
                </c:pt>
              </c:numCache>
            </c:numRef>
          </c:val>
        </c:ser>
        <c:dLbls>
          <c:showLegendKey val="0"/>
          <c:showVal val="0"/>
          <c:showCatName val="0"/>
          <c:showSerName val="0"/>
          <c:showPercent val="0"/>
          <c:showBubbleSize val="0"/>
        </c:dLbls>
        <c:gapWidth val="150"/>
        <c:axId val="146947584"/>
        <c:axId val="141087808"/>
      </c:barChart>
      <c:catAx>
        <c:axId val="146947584"/>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lt-LT"/>
          </a:p>
        </c:txPr>
        <c:crossAx val="141087808"/>
        <c:crosses val="autoZero"/>
        <c:auto val="1"/>
        <c:lblAlgn val="ctr"/>
        <c:lblOffset val="100"/>
        <c:noMultiLvlLbl val="0"/>
      </c:catAx>
      <c:valAx>
        <c:axId val="141087808"/>
        <c:scaling>
          <c:orientation val="minMax"/>
        </c:scaling>
        <c:delete val="0"/>
        <c:axPos val="b"/>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Arial"/>
                <a:ea typeface="Arial"/>
                <a:cs typeface="Arial"/>
              </a:defRPr>
            </a:pPr>
            <a:endParaRPr lang="lt-LT"/>
          </a:p>
        </c:txPr>
        <c:crossAx val="146947584"/>
        <c:crosses val="autoZero"/>
        <c:crossBetween val="between"/>
      </c:valAx>
      <c:spPr>
        <a:pattFill prst="lgCheck">
          <a:fgClr>
            <a:schemeClr val="accent1">
              <a:lumMod val="20000"/>
              <a:lumOff val="80000"/>
            </a:schemeClr>
          </a:fgClr>
          <a:bgClr>
            <a:schemeClr val="bg1"/>
          </a:bgClr>
        </a:pattFill>
        <a:ln w="3167">
          <a:solidFill>
            <a:srgbClr val="000000"/>
          </a:solidFill>
          <a:prstDash val="solid"/>
        </a:ln>
      </c:spPr>
    </c:plotArea>
    <c:legend>
      <c:legendPos val="r"/>
      <c:layout>
        <c:manualLayout>
          <c:xMode val="edge"/>
          <c:yMode val="edge"/>
          <c:x val="0.70826580226904379"/>
          <c:y val="9.7122302158273388E-2"/>
          <c:w val="0.29173420344427492"/>
          <c:h val="0.72017588226179441"/>
        </c:manualLayout>
      </c:layout>
      <c:overlay val="0"/>
      <c:spPr>
        <a:noFill/>
        <a:ln w="3167">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97" b="1" i="0" u="none" strike="noStrike" baseline="0">
          <a:solidFill>
            <a:srgbClr val="000000"/>
          </a:solidFill>
          <a:latin typeface="Arial"/>
          <a:ea typeface="Arial"/>
          <a:cs typeface="Arial"/>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pattFill prst="pct5">
          <a:fgClr>
            <a:schemeClr val="accent1"/>
          </a:fgClr>
          <a:bgClr>
            <a:schemeClr val="bg1"/>
          </a:bgClr>
        </a:pattFill>
      </c:spPr>
    </c:sideWall>
    <c:backWall>
      <c:thickness val="0"/>
      <c:spPr>
        <a:pattFill prst="pct5">
          <a:fgClr>
            <a:schemeClr val="accent1"/>
          </a:fgClr>
          <a:bgClr>
            <a:schemeClr val="bg1"/>
          </a:bgClr>
        </a:pattFill>
      </c:spPr>
    </c:backWall>
    <c:plotArea>
      <c:layout>
        <c:manualLayout>
          <c:layoutTarget val="inner"/>
          <c:xMode val="edge"/>
          <c:yMode val="edge"/>
          <c:x val="0.1664718212306795"/>
          <c:y val="3.9894070014514442E-2"/>
          <c:w val="0.80806521580635748"/>
          <c:h val="0.79104581061851265"/>
        </c:manualLayout>
      </c:layout>
      <c:bar3DChart>
        <c:barDir val="col"/>
        <c:grouping val="stacked"/>
        <c:varyColors val="0"/>
        <c:ser>
          <c:idx val="0"/>
          <c:order val="0"/>
          <c:tx>
            <c:strRef>
              <c:f>Lapas1!$B$1</c:f>
              <c:strCache>
                <c:ptCount val="1"/>
                <c:pt idx="0">
                  <c:v>Stulpelis1</c:v>
                </c:pt>
              </c:strCache>
            </c:strRef>
          </c:tx>
          <c:invertIfNegative val="0"/>
          <c:dLbls>
            <c:dLbl>
              <c:idx val="0"/>
              <c:layout>
                <c:manualLayout>
                  <c:x val="4.3981481481481483E-2"/>
                  <c:y val="-0.30539469328980395"/>
                </c:manualLayout>
              </c:layout>
              <c:showLegendKey val="0"/>
              <c:showVal val="1"/>
              <c:showCatName val="0"/>
              <c:showSerName val="0"/>
              <c:showPercent val="0"/>
              <c:showBubbleSize val="0"/>
            </c:dLbl>
            <c:dLbl>
              <c:idx val="1"/>
              <c:layout>
                <c:manualLayout>
                  <c:x val="4.1666666666666664E-2"/>
                  <c:y val="-0.3269519657573195"/>
                </c:manualLayout>
              </c:layout>
              <c:showLegendKey val="0"/>
              <c:showVal val="1"/>
              <c:showCatName val="0"/>
              <c:showSerName val="0"/>
              <c:showPercent val="0"/>
              <c:showBubbleSize val="0"/>
            </c:dLbl>
            <c:dLbl>
              <c:idx val="2"/>
              <c:layout>
                <c:manualLayout>
                  <c:x val="4.6296296296296384E-2"/>
                  <c:y val="-0.30180181454521793"/>
                </c:manualLayout>
              </c:layout>
              <c:showLegendKey val="0"/>
              <c:showVal val="1"/>
              <c:showCatName val="0"/>
              <c:showSerName val="0"/>
              <c:showPercent val="0"/>
              <c:showBubbleSize val="0"/>
            </c:dLbl>
            <c:dLbl>
              <c:idx val="3"/>
              <c:layout>
                <c:manualLayout>
                  <c:x val="6.25E-2"/>
                  <c:y val="-0.3664736319477646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Lapas1!$A$2:$A$5</c:f>
              <c:numCache>
                <c:formatCode>General</c:formatCode>
                <c:ptCount val="4"/>
                <c:pt idx="0">
                  <c:v>2015</c:v>
                </c:pt>
                <c:pt idx="1">
                  <c:v>2016</c:v>
                </c:pt>
                <c:pt idx="2">
                  <c:v>2017</c:v>
                </c:pt>
                <c:pt idx="3">
                  <c:v>2018</c:v>
                </c:pt>
              </c:numCache>
            </c:numRef>
          </c:cat>
          <c:val>
            <c:numRef>
              <c:f>Lapas1!$B$2:$B$5</c:f>
              <c:numCache>
                <c:formatCode>General</c:formatCode>
                <c:ptCount val="4"/>
                <c:pt idx="0">
                  <c:v>29.3</c:v>
                </c:pt>
                <c:pt idx="1">
                  <c:v>32.700000000000003</c:v>
                </c:pt>
                <c:pt idx="2">
                  <c:v>33.200000000000003</c:v>
                </c:pt>
                <c:pt idx="3">
                  <c:v>38.700000000000003</c:v>
                </c:pt>
              </c:numCache>
            </c:numRef>
          </c:val>
        </c:ser>
        <c:dLbls>
          <c:showLegendKey val="0"/>
          <c:showVal val="0"/>
          <c:showCatName val="0"/>
          <c:showSerName val="0"/>
          <c:showPercent val="0"/>
          <c:showBubbleSize val="0"/>
        </c:dLbls>
        <c:gapWidth val="150"/>
        <c:shape val="cone"/>
        <c:axId val="143331840"/>
        <c:axId val="141089536"/>
        <c:axId val="0"/>
      </c:bar3DChart>
      <c:catAx>
        <c:axId val="143331840"/>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lt-LT" sz="1200" b="0">
                    <a:latin typeface="Times New Roman" panose="02020603050405020304" pitchFamily="18" charset="0"/>
                    <a:cs typeface="Times New Roman" panose="02020603050405020304" pitchFamily="18" charset="0"/>
                  </a:rPr>
                  <a:t>metai</a:t>
                </a:r>
              </a:p>
            </c:rich>
          </c:tx>
          <c:overlay val="0"/>
        </c:title>
        <c:numFmt formatCode="General" sourceLinked="1"/>
        <c:majorTickMark val="out"/>
        <c:minorTickMark val="none"/>
        <c:tickLblPos val="nextTo"/>
        <c:crossAx val="141089536"/>
        <c:crosses val="autoZero"/>
        <c:auto val="1"/>
        <c:lblAlgn val="ctr"/>
        <c:lblOffset val="100"/>
        <c:noMultiLvlLbl val="0"/>
      </c:catAx>
      <c:valAx>
        <c:axId val="141089536"/>
        <c:scaling>
          <c:orientation val="minMax"/>
        </c:scaling>
        <c:delete val="0"/>
        <c:axPos val="l"/>
        <c:majorGridlines/>
        <c:numFmt formatCode="General" sourceLinked="1"/>
        <c:majorTickMark val="out"/>
        <c:minorTickMark val="none"/>
        <c:tickLblPos val="nextTo"/>
        <c:crossAx val="1433318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243"/>
      <c:rotY val="20"/>
      <c:depthPercent val="100"/>
      <c:rAngAx val="1"/>
    </c:view3D>
    <c:floor>
      <c:thickness val="0"/>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148433342383926"/>
          <c:y val="7.3021355285134815E-2"/>
          <c:w val="0.82527620599149243"/>
          <c:h val="0.65970149253731347"/>
        </c:manualLayout>
      </c:layout>
      <c:bar3DChart>
        <c:barDir val="bar"/>
        <c:grouping val="stacked"/>
        <c:varyColors val="0"/>
        <c:ser>
          <c:idx val="0"/>
          <c:order val="0"/>
          <c:tx>
            <c:strRef>
              <c:f>Sheet3!$A$2</c:f>
              <c:strCache>
                <c:ptCount val="1"/>
                <c:pt idx="0">
                  <c:v>Darbo užmokestis(be soc. draudimo įmokų)</c:v>
                </c:pt>
              </c:strCache>
            </c:strRef>
          </c:tx>
          <c:invertIfNegative val="0"/>
          <c:dLbls>
            <c:spPr>
              <a:solidFill>
                <a:srgbClr val="FFFFCC"/>
              </a:solidFill>
              <a:ln w="25400">
                <a:noFill/>
              </a:ln>
            </c:spPr>
            <c:showLegendKey val="0"/>
            <c:showVal val="1"/>
            <c:showCatName val="0"/>
            <c:showSerName val="0"/>
            <c:showPercent val="0"/>
            <c:showBubbleSize val="0"/>
            <c:showLeaderLines val="0"/>
          </c:dLbls>
          <c:cat>
            <c:numRef>
              <c:f>Sheet3!$C$1:$F$1</c:f>
              <c:numCache>
                <c:formatCode>General</c:formatCode>
                <c:ptCount val="4"/>
                <c:pt idx="0">
                  <c:v>2015</c:v>
                </c:pt>
                <c:pt idx="1">
                  <c:v>2016</c:v>
                </c:pt>
                <c:pt idx="2">
                  <c:v>2017</c:v>
                </c:pt>
                <c:pt idx="3">
                  <c:v>2018</c:v>
                </c:pt>
              </c:numCache>
            </c:numRef>
          </c:cat>
          <c:val>
            <c:numRef>
              <c:f>Sheet3!$C$2:$F$2</c:f>
              <c:numCache>
                <c:formatCode>General</c:formatCode>
                <c:ptCount val="4"/>
                <c:pt idx="0">
                  <c:v>12.4</c:v>
                </c:pt>
                <c:pt idx="1">
                  <c:v>13.1</c:v>
                </c:pt>
                <c:pt idx="2">
                  <c:v>13.7</c:v>
                </c:pt>
                <c:pt idx="3">
                  <c:v>14.5</c:v>
                </c:pt>
              </c:numCache>
            </c:numRef>
          </c:val>
        </c:ser>
        <c:ser>
          <c:idx val="1"/>
          <c:order val="1"/>
          <c:tx>
            <c:strRef>
              <c:f>Sheet3!$A$3</c:f>
              <c:strCache>
                <c:ptCount val="1"/>
                <c:pt idx="0">
                  <c:v>Turto įsigijimas</c:v>
                </c:pt>
              </c:strCache>
            </c:strRef>
          </c:tx>
          <c:spPr>
            <a:solidFill>
              <a:srgbClr val="993366"/>
            </a:solidFill>
            <a:ln w="12700">
              <a:solidFill>
                <a:srgbClr val="000000"/>
              </a:solidFill>
              <a:prstDash val="solid"/>
            </a:ln>
          </c:spPr>
          <c:invertIfNegative val="0"/>
          <c:dLbls>
            <c:dLbl>
              <c:idx val="0"/>
              <c:layout>
                <c:manualLayout>
                  <c:x val="7.6408787010506206E-3"/>
                  <c:y val="2.3880597014925373E-2"/>
                </c:manualLayout>
              </c:layout>
              <c:spPr>
                <a:solidFill>
                  <a:srgbClr val="FFFF99"/>
                </a:solidFill>
                <a:ln w="3175">
                  <a:solidFill>
                    <a:srgbClr val="FFFF00"/>
                  </a:solidFill>
                  <a:prstDash val="solid"/>
                </a:ln>
              </c:spPr>
              <c:txPr>
                <a:bodyPr/>
                <a:lstStyle/>
                <a:p>
                  <a:pPr>
                    <a:defRPr/>
                  </a:pPr>
                  <a:endParaRPr lang="lt-LT"/>
                </a:p>
              </c:txPr>
              <c:showLegendKey val="0"/>
              <c:showVal val="1"/>
              <c:showCatName val="0"/>
              <c:showSerName val="0"/>
              <c:showPercent val="0"/>
              <c:showBubbleSize val="0"/>
            </c:dLbl>
            <c:dLbl>
              <c:idx val="3"/>
              <c:layout>
                <c:manualLayout>
                  <c:x val="-2.3534808865224226E-3"/>
                  <c:y val="2.1725388804011439E-2"/>
                </c:manualLayout>
              </c:layout>
              <c:spPr>
                <a:solidFill>
                  <a:srgbClr val="FFFF99"/>
                </a:solidFill>
                <a:ln w="3175">
                  <a:solidFill>
                    <a:srgbClr val="FFFF00"/>
                  </a:solidFill>
                  <a:prstDash val="solid"/>
                </a:ln>
              </c:spPr>
              <c:txPr>
                <a:bodyPr/>
                <a:lstStyle/>
                <a:p>
                  <a:pPr>
                    <a:defRPr/>
                  </a:pPr>
                  <a:endParaRPr lang="lt-LT"/>
                </a:p>
              </c:txPr>
              <c:showLegendKey val="0"/>
              <c:showVal val="1"/>
              <c:showCatName val="0"/>
              <c:showSerName val="0"/>
              <c:showPercent val="0"/>
              <c:showBubbleSize val="0"/>
            </c:dLbl>
            <c:dLbl>
              <c:idx val="4"/>
              <c:layout>
                <c:manualLayout>
                  <c:x val="-2.2793282644826989E-3"/>
                  <c:y val="2.9395385278332745E-2"/>
                </c:manualLayout>
              </c:layout>
              <c:spPr>
                <a:solidFill>
                  <a:srgbClr val="FFFF99"/>
                </a:solidFill>
                <a:ln w="3175">
                  <a:solidFill>
                    <a:srgbClr val="FFFF00"/>
                  </a:solidFill>
                  <a:prstDash val="solid"/>
                </a:ln>
              </c:spPr>
              <c:txPr>
                <a:bodyPr/>
                <a:lstStyle/>
                <a:p>
                  <a:pPr>
                    <a:defRPr/>
                  </a:pPr>
                  <a:endParaRPr lang="lt-LT"/>
                </a:p>
              </c:txPr>
              <c:showLegendKey val="0"/>
              <c:showVal val="1"/>
              <c:showCatName val="0"/>
              <c:showSerName val="0"/>
              <c:showPercent val="0"/>
              <c:showBubbleSize val="0"/>
            </c:dLbl>
            <c:spPr>
              <a:solidFill>
                <a:srgbClr val="FFFF99"/>
              </a:solidFill>
              <a:ln w="3175">
                <a:solidFill>
                  <a:srgbClr val="FFFF00"/>
                </a:solidFill>
                <a:prstDash val="solid"/>
              </a:ln>
            </c:spPr>
            <c:showLegendKey val="0"/>
            <c:showVal val="1"/>
            <c:showCatName val="0"/>
            <c:showSerName val="0"/>
            <c:showPercent val="0"/>
            <c:showBubbleSize val="0"/>
            <c:showLeaderLines val="0"/>
          </c:dLbls>
          <c:cat>
            <c:numRef>
              <c:f>Sheet3!$C$1:$F$1</c:f>
              <c:numCache>
                <c:formatCode>General</c:formatCode>
                <c:ptCount val="4"/>
                <c:pt idx="0">
                  <c:v>2015</c:v>
                </c:pt>
                <c:pt idx="1">
                  <c:v>2016</c:v>
                </c:pt>
                <c:pt idx="2">
                  <c:v>2017</c:v>
                </c:pt>
                <c:pt idx="3">
                  <c:v>2018</c:v>
                </c:pt>
              </c:numCache>
            </c:numRef>
          </c:cat>
          <c:val>
            <c:numRef>
              <c:f>Sheet3!$C$3:$F$3</c:f>
              <c:numCache>
                <c:formatCode>General</c:formatCode>
                <c:ptCount val="4"/>
                <c:pt idx="0">
                  <c:v>3.8</c:v>
                </c:pt>
                <c:pt idx="1">
                  <c:v>6.6</c:v>
                </c:pt>
                <c:pt idx="2" formatCode="0.0">
                  <c:v>6</c:v>
                </c:pt>
                <c:pt idx="3">
                  <c:v>8.5</c:v>
                </c:pt>
              </c:numCache>
            </c:numRef>
          </c:val>
        </c:ser>
        <c:ser>
          <c:idx val="2"/>
          <c:order val="2"/>
          <c:tx>
            <c:strRef>
              <c:f>Sheet3!$A$4</c:f>
              <c:strCache>
                <c:ptCount val="1"/>
                <c:pt idx="0">
                  <c:v>Kitos išlaidos</c:v>
                </c:pt>
              </c:strCache>
            </c:strRef>
          </c:tx>
          <c:spPr>
            <a:solidFill>
              <a:srgbClr val="FFFFCC"/>
            </a:solidFill>
            <a:ln w="12700">
              <a:solidFill>
                <a:srgbClr val="000000"/>
              </a:solidFill>
              <a:prstDash val="solid"/>
            </a:ln>
          </c:spPr>
          <c:invertIfNegative val="0"/>
          <c:dLbls>
            <c:dLbl>
              <c:idx val="0"/>
              <c:layout>
                <c:manualLayout>
                  <c:x val="1.910069264264603E-3"/>
                  <c:y val="-3.9804128961491757E-3"/>
                </c:manualLayout>
              </c:layout>
              <c:spPr>
                <a:noFill/>
                <a:ln w="25400">
                  <a:noFill/>
                </a:ln>
              </c:spPr>
              <c:txPr>
                <a:bodyPr/>
                <a:lstStyle/>
                <a:p>
                  <a:pPr>
                    <a:defRPr/>
                  </a:pPr>
                  <a:endParaRPr lang="lt-LT"/>
                </a:p>
              </c:txPr>
              <c:showLegendKey val="0"/>
              <c:showVal val="1"/>
              <c:showCatName val="0"/>
              <c:showSerName val="0"/>
              <c:showPercent val="0"/>
              <c:showBubbleSize val="0"/>
            </c:dLbl>
            <c:dLbl>
              <c:idx val="1"/>
              <c:layout>
                <c:manualLayout>
                  <c:x val="0"/>
                  <c:y val="-7.9601990049751239E-3"/>
                </c:manualLayout>
              </c:layout>
              <c:spPr>
                <a:noFill/>
                <a:ln w="25400">
                  <a:noFill/>
                </a:ln>
              </c:spPr>
              <c:txPr>
                <a:bodyPr/>
                <a:lstStyle/>
                <a:p>
                  <a:pPr>
                    <a:defRPr/>
                  </a:pPr>
                  <a:endParaRPr lang="lt-LT"/>
                </a:p>
              </c:txPr>
              <c:showLegendKey val="0"/>
              <c:showVal val="1"/>
              <c:showCatName val="0"/>
              <c:showSerName val="0"/>
              <c:showPercent val="0"/>
              <c:showBubbleSize val="0"/>
            </c:dLbl>
            <c:dLbl>
              <c:idx val="2"/>
              <c:layout>
                <c:manualLayout>
                  <c:x val="0"/>
                  <c:y val="-1.1940298507462687E-2"/>
                </c:manualLayout>
              </c:layout>
              <c:spPr>
                <a:noFill/>
                <a:ln w="25400">
                  <a:noFill/>
                </a:ln>
              </c:spPr>
              <c:txPr>
                <a:bodyPr/>
                <a:lstStyle/>
                <a:p>
                  <a:pPr>
                    <a:defRPr/>
                  </a:pPr>
                  <a:endParaRPr lang="lt-LT"/>
                </a:p>
              </c:txPr>
              <c:showLegendKey val="0"/>
              <c:showVal val="1"/>
              <c:showCatName val="0"/>
              <c:showSerName val="0"/>
              <c:showPercent val="0"/>
              <c:showBubbleSize val="0"/>
            </c:dLbl>
            <c:dLbl>
              <c:idx val="3"/>
              <c:layout>
                <c:manualLayout>
                  <c:x val="5.7306590257879654E-3"/>
                  <c:y val="-7.9601990049751239E-3"/>
                </c:manualLayout>
              </c:layout>
              <c:spPr>
                <a:noFill/>
                <a:ln w="25400">
                  <a:noFill/>
                </a:ln>
              </c:spPr>
              <c:txPr>
                <a:bodyPr/>
                <a:lstStyle/>
                <a:p>
                  <a:pPr>
                    <a:defRPr/>
                  </a:pPr>
                  <a:endParaRPr lang="lt-LT"/>
                </a:p>
              </c:txPr>
              <c:showLegendKey val="0"/>
              <c:showVal val="1"/>
              <c:showCatName val="0"/>
              <c:showSerName val="0"/>
              <c:showPercent val="0"/>
              <c:showBubbleSize val="0"/>
            </c:dLbl>
            <c:dLbl>
              <c:idx val="4"/>
              <c:layout>
                <c:manualLayout>
                  <c:x val="0"/>
                  <c:y val="-1.1940298507462687E-2"/>
                </c:manualLayout>
              </c:layout>
              <c:spPr>
                <a:noFill/>
                <a:ln w="25400">
                  <a:noFill/>
                </a:ln>
              </c:spPr>
              <c:txPr>
                <a:bodyPr/>
                <a:lstStyle/>
                <a:p>
                  <a:pPr>
                    <a:defRPr/>
                  </a:pPr>
                  <a:endParaRPr lang="lt-LT"/>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Sheet3!$C$1:$F$1</c:f>
              <c:numCache>
                <c:formatCode>General</c:formatCode>
                <c:ptCount val="4"/>
                <c:pt idx="0">
                  <c:v>2015</c:v>
                </c:pt>
                <c:pt idx="1">
                  <c:v>2016</c:v>
                </c:pt>
                <c:pt idx="2">
                  <c:v>2017</c:v>
                </c:pt>
                <c:pt idx="3">
                  <c:v>2018</c:v>
                </c:pt>
              </c:numCache>
            </c:numRef>
          </c:cat>
          <c:val>
            <c:numRef>
              <c:f>Sheet3!$C$4:$F$4</c:f>
              <c:numCache>
                <c:formatCode>0.0</c:formatCode>
                <c:ptCount val="4"/>
                <c:pt idx="0" formatCode="General">
                  <c:v>13.1</c:v>
                </c:pt>
                <c:pt idx="1">
                  <c:v>13</c:v>
                </c:pt>
                <c:pt idx="2" formatCode="General">
                  <c:v>13.5</c:v>
                </c:pt>
                <c:pt idx="3" formatCode="General">
                  <c:v>14.7</c:v>
                </c:pt>
              </c:numCache>
            </c:numRef>
          </c:val>
        </c:ser>
        <c:dLbls>
          <c:showLegendKey val="0"/>
          <c:showVal val="0"/>
          <c:showCatName val="0"/>
          <c:showSerName val="0"/>
          <c:showPercent val="0"/>
          <c:showBubbleSize val="0"/>
        </c:dLbls>
        <c:gapWidth val="150"/>
        <c:shape val="cylinder"/>
        <c:axId val="143333376"/>
        <c:axId val="141091392"/>
        <c:axId val="0"/>
      </c:bar3DChart>
      <c:catAx>
        <c:axId val="143333376"/>
        <c:scaling>
          <c:orientation val="minMax"/>
        </c:scaling>
        <c:delete val="0"/>
        <c:axPos val="l"/>
        <c:title>
          <c:tx>
            <c:rich>
              <a:bodyPr rot="-5400000" vert="horz"/>
              <a:lstStyle/>
              <a:p>
                <a:pPr>
                  <a:defRPr/>
                </a:pPr>
                <a:r>
                  <a:rPr lang="lt-LT"/>
                  <a:t>metai</a:t>
                </a:r>
              </a:p>
            </c:rich>
          </c:tx>
          <c:layout>
            <c:manualLayout>
              <c:xMode val="edge"/>
              <c:yMode val="edge"/>
              <c:x val="5.1098285738805808E-2"/>
              <c:y val="0.3701489945335780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a:pPr>
            <a:endParaRPr lang="lt-LT"/>
          </a:p>
        </c:txPr>
        <c:crossAx val="141091392"/>
        <c:crosses val="autoZero"/>
        <c:auto val="1"/>
        <c:lblAlgn val="ctr"/>
        <c:lblOffset val="100"/>
        <c:tickLblSkip val="1"/>
        <c:tickMarkSkip val="1"/>
        <c:noMultiLvlLbl val="0"/>
      </c:catAx>
      <c:valAx>
        <c:axId val="141091392"/>
        <c:scaling>
          <c:orientation val="minMax"/>
        </c:scaling>
        <c:delete val="0"/>
        <c:axPos val="b"/>
        <c:majorGridlines>
          <c:spPr>
            <a:ln w="3175">
              <a:solidFill>
                <a:srgbClr val="000000"/>
              </a:solidFill>
              <a:prstDash val="solid"/>
            </a:ln>
          </c:spPr>
        </c:majorGridlines>
        <c:title>
          <c:tx>
            <c:rich>
              <a:bodyPr/>
              <a:lstStyle/>
              <a:p>
                <a:pPr>
                  <a:defRPr/>
                </a:pPr>
                <a:r>
                  <a:rPr lang="lt-LT"/>
                  <a:t>mln. eurų</a:t>
                </a:r>
              </a:p>
            </c:rich>
          </c:tx>
          <c:layout>
            <c:manualLayout>
              <c:xMode val="edge"/>
              <c:yMode val="edge"/>
              <c:x val="0.44393872428071834"/>
              <c:y val="0.778523210914425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lt-LT"/>
          </a:p>
        </c:txPr>
        <c:crossAx val="143333376"/>
        <c:crosses val="autoZero"/>
        <c:crossBetween val="between"/>
      </c:valAx>
      <c:spPr>
        <a:noFill/>
        <a:ln w="25400">
          <a:noFill/>
        </a:ln>
      </c:spPr>
    </c:plotArea>
    <c:legend>
      <c:legendPos val="r"/>
      <c:layout>
        <c:manualLayout>
          <c:xMode val="edge"/>
          <c:yMode val="edge"/>
          <c:x val="0.14469923548384792"/>
          <c:y val="0.84634262822410355"/>
          <c:w val="0.65197751507219637"/>
          <c:h val="0.15365737177589645"/>
        </c:manualLayout>
      </c:layout>
      <c:overlay val="0"/>
      <c:spPr>
        <a:solidFill>
          <a:srgbClr val="FFFFFF"/>
        </a:solidFill>
        <a:ln w="3175">
          <a:solidFill>
            <a:srgbClr val="000000"/>
          </a:solidFill>
          <a:prstDash val="solid"/>
        </a:ln>
      </c:spPr>
    </c:legend>
    <c:plotVisOnly val="1"/>
    <c:dispBlanksAs val="gap"/>
    <c:showDLblsOverMax val="0"/>
  </c:chart>
  <c:spPr>
    <a:pattFill prst="wdDnDiag">
      <a:fgClr>
        <a:schemeClr val="accent2">
          <a:lumMod val="20000"/>
          <a:lumOff val="80000"/>
        </a:schemeClr>
      </a:fgClr>
      <a:bgClr>
        <a:schemeClr val="bg1"/>
      </a:bgClr>
    </a:pattFill>
    <a:ln w="9525">
      <a:solidFill>
        <a:schemeClr val="accent1"/>
      </a:solidFill>
    </a:ln>
  </c:spPr>
  <c:txPr>
    <a:bodyPr/>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72850678733032E-2"/>
          <c:y val="1.9662921348314606E-2"/>
          <c:w val="0.73303167420814475"/>
          <c:h val="0.7556179775280899"/>
        </c:manualLayout>
      </c:layout>
      <c:barChart>
        <c:barDir val="bar"/>
        <c:grouping val="clustered"/>
        <c:varyColors val="0"/>
        <c:ser>
          <c:idx val="0"/>
          <c:order val="0"/>
          <c:tx>
            <c:strRef>
              <c:f>Sheet1!$A$2</c:f>
              <c:strCache>
                <c:ptCount val="1"/>
                <c:pt idx="0">
                  <c:v>Išlaidos, skirtos švietimui </c:v>
                </c:pt>
              </c:strCache>
            </c:strRef>
          </c:tx>
          <c:spPr>
            <a:solidFill>
              <a:srgbClr val="99CCFF"/>
            </a:solidFill>
            <a:ln w="12642">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15.4</c:v>
                </c:pt>
                <c:pt idx="1">
                  <c:v>16.600000000000001</c:v>
                </c:pt>
                <c:pt idx="2">
                  <c:v>16.899999999999999</c:v>
                </c:pt>
                <c:pt idx="3">
                  <c:v>17.7</c:v>
                </c:pt>
              </c:numCache>
            </c:numRef>
          </c:val>
        </c:ser>
        <c:ser>
          <c:idx val="1"/>
          <c:order val="1"/>
          <c:tx>
            <c:strRef>
              <c:f>Sheet1!$A$3</c:f>
              <c:strCache>
                <c:ptCount val="1"/>
                <c:pt idx="0">
                  <c:v>Išlaidos, skirtos soc. apsaugai</c:v>
                </c:pt>
              </c:strCache>
            </c:strRef>
          </c:tx>
          <c:spPr>
            <a:solidFill>
              <a:srgbClr val="FFCC00"/>
            </a:solidFill>
            <a:ln w="12642">
              <a:solidFill>
                <a:srgbClr val="000000"/>
              </a:solidFill>
              <a:prstDash val="solid"/>
            </a:ln>
          </c:spPr>
          <c:invertIfNegative val="0"/>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3.3</c:v>
                </c:pt>
                <c:pt idx="1">
                  <c:v>3.1</c:v>
                </c:pt>
                <c:pt idx="2">
                  <c:v>3.2</c:v>
                </c:pt>
                <c:pt idx="3">
                  <c:v>3.6</c:v>
                </c:pt>
              </c:numCache>
            </c:numRef>
          </c:val>
        </c:ser>
        <c:dLbls>
          <c:showLegendKey val="0"/>
          <c:showVal val="0"/>
          <c:showCatName val="0"/>
          <c:showSerName val="0"/>
          <c:showPercent val="0"/>
          <c:showBubbleSize val="0"/>
        </c:dLbls>
        <c:gapWidth val="150"/>
        <c:axId val="143454720"/>
        <c:axId val="141093120"/>
      </c:barChart>
      <c:catAx>
        <c:axId val="143454720"/>
        <c:scaling>
          <c:orientation val="minMax"/>
        </c:scaling>
        <c:delete val="0"/>
        <c:axPos val="l"/>
        <c:majorGridlines/>
        <c:title>
          <c:tx>
            <c:rich>
              <a:bodyPr/>
              <a:lstStyle/>
              <a:p>
                <a:pPr>
                  <a:defRPr sz="1195" b="0" i="0" u="none" strike="noStrike" baseline="0">
                    <a:solidFill>
                      <a:srgbClr val="000000"/>
                    </a:solidFill>
                    <a:latin typeface="Times New Roman"/>
                    <a:ea typeface="Times New Roman"/>
                    <a:cs typeface="Times New Roman"/>
                  </a:defRPr>
                </a:pPr>
                <a:r>
                  <a:rPr lang="lt-LT"/>
                  <a:t>metai</a:t>
                </a:r>
              </a:p>
            </c:rich>
          </c:tx>
          <c:layout>
            <c:manualLayout>
              <c:xMode val="edge"/>
              <c:yMode val="edge"/>
              <c:x val="7.5414781297134239E-3"/>
              <c:y val="0.3342696629213483"/>
            </c:manualLayout>
          </c:layout>
          <c:overlay val="0"/>
          <c:spPr>
            <a:noFill/>
            <a:ln w="25284">
              <a:noFill/>
            </a:ln>
          </c:spPr>
        </c:title>
        <c:numFmt formatCode="General" sourceLinked="1"/>
        <c:majorTickMark val="out"/>
        <c:minorTickMark val="none"/>
        <c:tickLblPos val="nextTo"/>
        <c:spPr>
          <a:ln w="3161">
            <a:solidFill>
              <a:srgbClr val="000000"/>
            </a:solidFill>
            <a:prstDash val="solid"/>
          </a:ln>
        </c:spPr>
        <c:txPr>
          <a:bodyPr rot="0" vert="horz"/>
          <a:lstStyle/>
          <a:p>
            <a:pPr>
              <a:defRPr sz="1195" b="0" i="0" u="none" strike="noStrike" baseline="0">
                <a:solidFill>
                  <a:srgbClr val="000000"/>
                </a:solidFill>
                <a:latin typeface="Times New Roman"/>
                <a:ea typeface="Times New Roman"/>
                <a:cs typeface="Times New Roman"/>
              </a:defRPr>
            </a:pPr>
            <a:endParaRPr lang="lt-LT"/>
          </a:p>
        </c:txPr>
        <c:crossAx val="141093120"/>
        <c:crosses val="autoZero"/>
        <c:auto val="1"/>
        <c:lblAlgn val="ctr"/>
        <c:lblOffset val="100"/>
        <c:tickLblSkip val="1"/>
        <c:tickMarkSkip val="1"/>
        <c:noMultiLvlLbl val="0"/>
      </c:catAx>
      <c:valAx>
        <c:axId val="141093120"/>
        <c:scaling>
          <c:orientation val="minMax"/>
        </c:scaling>
        <c:delete val="0"/>
        <c:axPos val="b"/>
        <c:minorGridlines/>
        <c:title>
          <c:tx>
            <c:rich>
              <a:bodyPr/>
              <a:lstStyle/>
              <a:p>
                <a:pPr algn="ctr" rtl="1">
                  <a:defRPr sz="1195" b="0" i="0" u="none" strike="noStrike" baseline="0">
                    <a:solidFill>
                      <a:srgbClr val="000000"/>
                    </a:solidFill>
                    <a:latin typeface="Times New Roman"/>
                    <a:ea typeface="Times New Roman"/>
                    <a:cs typeface="Times New Roman"/>
                  </a:defRPr>
                </a:pPr>
                <a:r>
                  <a:rPr lang="lt-LT"/>
                  <a:t>mln.eurų</a:t>
                </a:r>
              </a:p>
            </c:rich>
          </c:tx>
          <c:layout>
            <c:manualLayout>
              <c:xMode val="edge"/>
              <c:yMode val="edge"/>
              <c:x val="0.33182503770739064"/>
              <c:y val="0.8314606741573034"/>
            </c:manualLayout>
          </c:layout>
          <c:overlay val="0"/>
          <c:spPr>
            <a:noFill/>
            <a:ln w="25284">
              <a:noFill/>
            </a:ln>
          </c:spPr>
        </c:title>
        <c:numFmt formatCode="General" sourceLinked="1"/>
        <c:majorTickMark val="out"/>
        <c:minorTickMark val="none"/>
        <c:tickLblPos val="nextTo"/>
        <c:spPr>
          <a:ln w="3161">
            <a:solidFill>
              <a:srgbClr val="000000"/>
            </a:solidFill>
            <a:prstDash val="solid"/>
          </a:ln>
        </c:spPr>
        <c:txPr>
          <a:bodyPr rot="0" vert="horz"/>
          <a:lstStyle/>
          <a:p>
            <a:pPr>
              <a:defRPr sz="1195" b="0" i="0" u="none" strike="noStrike" baseline="0">
                <a:solidFill>
                  <a:srgbClr val="000000"/>
                </a:solidFill>
                <a:latin typeface="Times New Roman"/>
                <a:ea typeface="Times New Roman"/>
                <a:cs typeface="Times New Roman"/>
              </a:defRPr>
            </a:pPr>
            <a:endParaRPr lang="lt-LT"/>
          </a:p>
        </c:txPr>
        <c:crossAx val="143454720"/>
        <c:crosses val="autoZero"/>
        <c:crossBetween val="between"/>
      </c:valAx>
      <c:spPr>
        <a:pattFill prst="pct10">
          <a:fgClr>
            <a:srgbClr val="4F81BD"/>
          </a:fgClr>
          <a:bgClr>
            <a:schemeClr val="bg1"/>
          </a:bgClr>
        </a:pattFill>
        <a:ln w="12642">
          <a:solidFill>
            <a:srgbClr val="000000"/>
          </a:solidFill>
          <a:prstDash val="solid"/>
        </a:ln>
      </c:spPr>
    </c:plotArea>
    <c:legend>
      <c:legendPos val="b"/>
      <c:layout>
        <c:manualLayout>
          <c:xMode val="edge"/>
          <c:yMode val="edge"/>
          <c:x val="0.21266968325791855"/>
          <c:y val="0.9157303370786517"/>
          <c:w val="0.57164404223227749"/>
          <c:h val="7.5842696629213488E-2"/>
        </c:manualLayout>
      </c:layout>
      <c:overlay val="0"/>
      <c:spPr>
        <a:noFill/>
        <a:ln w="3161">
          <a:solidFill>
            <a:srgbClr val="000000"/>
          </a:solidFill>
          <a:prstDash val="solid"/>
        </a:ln>
      </c:spPr>
      <c:txPr>
        <a:bodyPr/>
        <a:lstStyle/>
        <a:p>
          <a:pPr>
            <a:defRPr sz="109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618"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738794435857804"/>
          <c:y val="1.6094420600858368E-2"/>
          <c:w val="0.70170015455950541"/>
          <c:h val="0.91094420600858372"/>
        </c:manualLayout>
      </c:layout>
      <c:barChart>
        <c:barDir val="bar"/>
        <c:grouping val="clustered"/>
        <c:varyColors val="0"/>
        <c:ser>
          <c:idx val="0"/>
          <c:order val="0"/>
          <c:spPr>
            <a:solidFill>
              <a:srgbClr val="FF99CC"/>
            </a:solidFill>
            <a:ln w="12700">
              <a:solidFill>
                <a:srgbClr val="000000"/>
              </a:solidFill>
              <a:prstDash val="solid"/>
            </a:ln>
          </c:spPr>
          <c:invertIfNegative val="0"/>
          <c:dLbls>
            <c:spPr>
              <a:solidFill>
                <a:srgbClr val="CCFFFF"/>
              </a:solidFill>
              <a:ln w="25400">
                <a:noFill/>
              </a:ln>
            </c:spPr>
            <c:txPr>
              <a:bodyPr/>
              <a:lstStyle/>
              <a:p>
                <a:pPr>
                  <a:defRPr sz="925"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grafikas_visu!$A$1:$A$27</c:f>
              <c:strCache>
                <c:ptCount val="27"/>
                <c:pt idx="0">
                  <c:v>Sporto ir rekreac. centras</c:v>
                </c:pt>
                <c:pt idx="1">
                  <c:v>Platelių meno mok.</c:v>
                </c:pt>
                <c:pt idx="2">
                  <c:v>"Ryto"pagr. mokykla</c:v>
                </c:pt>
                <c:pt idx="3">
                  <c:v>Senamiesčio mok.</c:v>
                </c:pt>
                <c:pt idx="4">
                  <c:v>M.Valančiaus pradinė m.</c:v>
                </c:pt>
                <c:pt idx="5">
                  <c:v>M.Oginskio meno mok.</c:v>
                </c:pt>
                <c:pt idx="6">
                  <c:v>"Saulės" gimnazija</c:v>
                </c:pt>
                <c:pt idx="7">
                  <c:v>Suaugusiųjų šviet. c.(iki rugsėjo 1 d.)</c:v>
                </c:pt>
                <c:pt idx="8">
                  <c:v>Babrungo progimnazija</c:v>
                </c:pt>
                <c:pt idx="9">
                  <c:v>Alsėdžių S.Narutavičiaus gimnazija</c:v>
                </c:pt>
                <c:pt idx="10">
                  <c:v>Lopšel.darž. "Saulutė"</c:v>
                </c:pt>
                <c:pt idx="11">
                  <c:v>Akademiko A.Jucio progimnazija</c:v>
                </c:pt>
                <c:pt idx="12">
                  <c:v>Ž.Kalvarijos M.Valančiaus gimnazija</c:v>
                </c:pt>
                <c:pt idx="13">
                  <c:v>Lopšel.darž. "Vyturėlis"</c:v>
                </c:pt>
                <c:pt idx="14">
                  <c:v>Lopšel.darž."Rūtelė"</c:v>
                </c:pt>
                <c:pt idx="15">
                  <c:v>Lopš.d. "Raudonkepuraitė"</c:v>
                </c:pt>
                <c:pt idx="16">
                  <c:v>Kulių gimnazija</c:v>
                </c:pt>
                <c:pt idx="17">
                  <c:v>Lopšel.darž. "Nykštukas"</c:v>
                </c:pt>
                <c:pt idx="18">
                  <c:v>Platelių gimnazija</c:v>
                </c:pt>
                <c:pt idx="19">
                  <c:v>Lopšel.darž. "Pasaka"</c:v>
                </c:pt>
                <c:pt idx="20">
                  <c:v>Žem.Kalvarijos lopšel.darž. (iki rugsėjo 1 d.)</c:v>
                </c:pt>
                <c:pt idx="21">
                  <c:v>Šateikių pagr.mokykla</c:v>
                </c:pt>
                <c:pt idx="22">
                  <c:v>Alsėdžių lopšel.darž.</c:v>
                </c:pt>
                <c:pt idx="23">
                  <c:v>Prūsalių mokykla-darželis</c:v>
                </c:pt>
                <c:pt idx="24">
                  <c:v>Platelių univ. daugiafunkcis c.</c:v>
                </c:pt>
                <c:pt idx="25">
                  <c:v>Didvyčių daugiafunkcis c.</c:v>
                </c:pt>
                <c:pt idx="26">
                  <c:v>Specialiojo ugdymo centras</c:v>
                </c:pt>
              </c:strCache>
            </c:strRef>
          </c:cat>
          <c:val>
            <c:numRef>
              <c:f>grafikas_visu!$B$1:$B$27</c:f>
              <c:numCache>
                <c:formatCode>0.0</c:formatCode>
                <c:ptCount val="27"/>
                <c:pt idx="0">
                  <c:v>0.9</c:v>
                </c:pt>
                <c:pt idx="1">
                  <c:v>1.1000000000000001</c:v>
                </c:pt>
                <c:pt idx="2">
                  <c:v>1.5</c:v>
                </c:pt>
                <c:pt idx="3">
                  <c:v>1.5</c:v>
                </c:pt>
                <c:pt idx="4">
                  <c:v>1.6</c:v>
                </c:pt>
                <c:pt idx="5">
                  <c:v>1.6</c:v>
                </c:pt>
                <c:pt idx="6">
                  <c:v>1.9</c:v>
                </c:pt>
                <c:pt idx="7">
                  <c:v>2.1</c:v>
                </c:pt>
                <c:pt idx="8">
                  <c:v>2.2000000000000002</c:v>
                </c:pt>
                <c:pt idx="9">
                  <c:v>2.2999999999999998</c:v>
                </c:pt>
                <c:pt idx="10">
                  <c:v>2.5</c:v>
                </c:pt>
                <c:pt idx="11">
                  <c:v>2.5</c:v>
                </c:pt>
                <c:pt idx="12">
                  <c:v>2.6</c:v>
                </c:pt>
                <c:pt idx="13">
                  <c:v>2.6</c:v>
                </c:pt>
                <c:pt idx="14">
                  <c:v>2.6</c:v>
                </c:pt>
                <c:pt idx="15">
                  <c:v>2.6</c:v>
                </c:pt>
                <c:pt idx="16">
                  <c:v>2.6</c:v>
                </c:pt>
                <c:pt idx="17">
                  <c:v>2.7</c:v>
                </c:pt>
                <c:pt idx="18">
                  <c:v>2.9</c:v>
                </c:pt>
                <c:pt idx="19">
                  <c:v>3</c:v>
                </c:pt>
                <c:pt idx="20">
                  <c:v>3</c:v>
                </c:pt>
                <c:pt idx="21">
                  <c:v>3.1</c:v>
                </c:pt>
                <c:pt idx="22">
                  <c:v>3.4</c:v>
                </c:pt>
                <c:pt idx="23">
                  <c:v>3.5</c:v>
                </c:pt>
                <c:pt idx="24">
                  <c:v>4.3</c:v>
                </c:pt>
                <c:pt idx="25">
                  <c:v>6.1</c:v>
                </c:pt>
                <c:pt idx="26">
                  <c:v>9.9</c:v>
                </c:pt>
              </c:numCache>
            </c:numRef>
          </c:val>
        </c:ser>
        <c:dLbls>
          <c:showLegendKey val="0"/>
          <c:showVal val="0"/>
          <c:showCatName val="0"/>
          <c:showSerName val="0"/>
          <c:showPercent val="0"/>
          <c:showBubbleSize val="0"/>
        </c:dLbls>
        <c:gapWidth val="150"/>
        <c:axId val="143456768"/>
        <c:axId val="141097728"/>
      </c:barChart>
      <c:catAx>
        <c:axId val="1434567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41097728"/>
        <c:crosses val="autoZero"/>
        <c:auto val="1"/>
        <c:lblAlgn val="ctr"/>
        <c:lblOffset val="100"/>
        <c:tickLblSkip val="1"/>
        <c:tickMarkSkip val="1"/>
        <c:noMultiLvlLbl val="0"/>
      </c:catAx>
      <c:valAx>
        <c:axId val="141097728"/>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lt-LT"/>
          </a:p>
        </c:txPr>
        <c:crossAx val="143456768"/>
        <c:crosses val="autoZero"/>
        <c:crossBetween val="between"/>
      </c:valAx>
      <c:spPr>
        <a:solidFill>
          <a:srgbClr val="FFFFCC"/>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738794435857804"/>
          <c:y val="1.5923583386809343E-2"/>
          <c:w val="0.70170015455950541"/>
          <c:h val="0.91082896972549443"/>
        </c:manualLayout>
      </c:layout>
      <c:barChart>
        <c:barDir val="bar"/>
        <c:grouping val="clustered"/>
        <c:varyColors val="0"/>
        <c:ser>
          <c:idx val="0"/>
          <c:order val="0"/>
          <c:spPr>
            <a:solidFill>
              <a:srgbClr val="FF99CC"/>
            </a:solidFill>
            <a:ln w="12700">
              <a:solidFill>
                <a:srgbClr val="000000"/>
              </a:solidFill>
              <a:prstDash val="solid"/>
            </a:ln>
          </c:spPr>
          <c:invertIfNegative val="0"/>
          <c:dLbls>
            <c:spPr>
              <a:solidFill>
                <a:srgbClr val="CCFFFF"/>
              </a:solidFill>
              <a:ln w="25400">
                <a:noFill/>
              </a:ln>
            </c:spPr>
            <c:txPr>
              <a:bodyPr/>
              <a:lstStyle/>
              <a:p>
                <a:pPr>
                  <a:defRPr sz="925"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grafikas_biudzeto!$A$2:$A$28</c:f>
              <c:strCache>
                <c:ptCount val="27"/>
                <c:pt idx="0">
                  <c:v>"Ryto"pagr. mokykla</c:v>
                </c:pt>
                <c:pt idx="1">
                  <c:v>Senamiesčio mok.</c:v>
                </c:pt>
                <c:pt idx="2">
                  <c:v>M.Valančiaus pradinė m.</c:v>
                </c:pt>
                <c:pt idx="3">
                  <c:v>"Saulės" gimnazija</c:v>
                </c:pt>
                <c:pt idx="4">
                  <c:v>Alsėdžių S.Narutavičiaus gimn.</c:v>
                </c:pt>
                <c:pt idx="5">
                  <c:v>Babrungo pagr. mokykla</c:v>
                </c:pt>
                <c:pt idx="6">
                  <c:v>Ž.Kalvarijos M.Valančiaus gimnazija</c:v>
                </c:pt>
                <c:pt idx="7">
                  <c:v>Akladem. A.Jucio pagr. mokykla</c:v>
                </c:pt>
                <c:pt idx="8">
                  <c:v>Sporto ir rekreac. centras</c:v>
                </c:pt>
                <c:pt idx="9">
                  <c:v>Kulių gimnazija</c:v>
                </c:pt>
                <c:pt idx="10">
                  <c:v>Platelių gimnazija</c:v>
                </c:pt>
                <c:pt idx="11">
                  <c:v>Šateikių pagr.mokykla</c:v>
                </c:pt>
                <c:pt idx="12">
                  <c:v>Platelių meno mok.</c:v>
                </c:pt>
                <c:pt idx="13">
                  <c:v>Suaugusiųjų šviet. c.(iki rugsėjo 1 d.)</c:v>
                </c:pt>
                <c:pt idx="14">
                  <c:v>Lopšel.darž. "Saulutė"</c:v>
                </c:pt>
                <c:pt idx="15">
                  <c:v>M.Oginskio meno mok.</c:v>
                </c:pt>
                <c:pt idx="16">
                  <c:v>Lopšel.darž."Rūtelė"</c:v>
                </c:pt>
                <c:pt idx="17">
                  <c:v>Lopš.d. "Raudonkepuraitė"</c:v>
                </c:pt>
                <c:pt idx="18">
                  <c:v>Lopšel.darž. "Nykštukas"</c:v>
                </c:pt>
                <c:pt idx="19">
                  <c:v>Lopšel.darž. "Vyturėlis"</c:v>
                </c:pt>
                <c:pt idx="20">
                  <c:v>Prūsalių mokykla-darželis</c:v>
                </c:pt>
                <c:pt idx="21">
                  <c:v>Lopšel.darž. "Pasaka"</c:v>
                </c:pt>
                <c:pt idx="22">
                  <c:v>Žem.Kalvarijos lopšel.darž. (iki rugsėjo 1 d.)</c:v>
                </c:pt>
                <c:pt idx="23">
                  <c:v>Alsėdžių lopšel.darž.</c:v>
                </c:pt>
                <c:pt idx="24">
                  <c:v>Platelių daugiafunkcis c.</c:v>
                </c:pt>
                <c:pt idx="25">
                  <c:v>Didvyčių daugiafunkcis c.</c:v>
                </c:pt>
                <c:pt idx="26">
                  <c:v>Specialiojo ugdymo centras</c:v>
                </c:pt>
              </c:strCache>
            </c:strRef>
          </c:cat>
          <c:val>
            <c:numRef>
              <c:f>grafikas_biudzeto!$B$2:$B$28</c:f>
              <c:numCache>
                <c:formatCode>0.00</c:formatCode>
                <c:ptCount val="27"/>
                <c:pt idx="0">
                  <c:v>0.22</c:v>
                </c:pt>
                <c:pt idx="1">
                  <c:v>0.24</c:v>
                </c:pt>
                <c:pt idx="2">
                  <c:v>0.32</c:v>
                </c:pt>
                <c:pt idx="3">
                  <c:v>0.4</c:v>
                </c:pt>
                <c:pt idx="4">
                  <c:v>0.54</c:v>
                </c:pt>
                <c:pt idx="5">
                  <c:v>0.57999999999999996</c:v>
                </c:pt>
                <c:pt idx="6">
                  <c:v>0.77</c:v>
                </c:pt>
                <c:pt idx="7">
                  <c:v>0.82</c:v>
                </c:pt>
                <c:pt idx="8">
                  <c:v>0.88</c:v>
                </c:pt>
                <c:pt idx="9">
                  <c:v>0.75</c:v>
                </c:pt>
                <c:pt idx="10">
                  <c:v>0.83</c:v>
                </c:pt>
                <c:pt idx="11">
                  <c:v>0.99</c:v>
                </c:pt>
                <c:pt idx="12">
                  <c:v>1.05</c:v>
                </c:pt>
                <c:pt idx="13">
                  <c:v>1.37</c:v>
                </c:pt>
                <c:pt idx="14">
                  <c:v>1.54</c:v>
                </c:pt>
                <c:pt idx="15">
                  <c:v>1.6</c:v>
                </c:pt>
                <c:pt idx="16">
                  <c:v>1.62</c:v>
                </c:pt>
                <c:pt idx="17">
                  <c:v>1.64</c:v>
                </c:pt>
                <c:pt idx="18">
                  <c:v>1.7</c:v>
                </c:pt>
                <c:pt idx="19">
                  <c:v>1.74</c:v>
                </c:pt>
                <c:pt idx="20">
                  <c:v>1.82</c:v>
                </c:pt>
                <c:pt idx="21">
                  <c:v>1.88</c:v>
                </c:pt>
                <c:pt idx="22">
                  <c:v>2.27</c:v>
                </c:pt>
                <c:pt idx="23">
                  <c:v>2.35</c:v>
                </c:pt>
                <c:pt idx="24">
                  <c:v>3.22</c:v>
                </c:pt>
                <c:pt idx="25">
                  <c:v>4.54</c:v>
                </c:pt>
                <c:pt idx="26">
                  <c:v>5.82</c:v>
                </c:pt>
              </c:numCache>
            </c:numRef>
          </c:val>
        </c:ser>
        <c:dLbls>
          <c:showLegendKey val="0"/>
          <c:showVal val="0"/>
          <c:showCatName val="0"/>
          <c:showSerName val="0"/>
          <c:showPercent val="0"/>
          <c:showBubbleSize val="0"/>
        </c:dLbls>
        <c:gapWidth val="150"/>
        <c:axId val="146951168"/>
        <c:axId val="141095424"/>
      </c:barChart>
      <c:catAx>
        <c:axId val="1469511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41095424"/>
        <c:crosses val="autoZero"/>
        <c:auto val="1"/>
        <c:lblAlgn val="ctr"/>
        <c:lblOffset val="100"/>
        <c:tickLblSkip val="1"/>
        <c:tickMarkSkip val="1"/>
        <c:noMultiLvlLbl val="0"/>
      </c:catAx>
      <c:valAx>
        <c:axId val="141095424"/>
        <c:scaling>
          <c:orientation val="minMax"/>
        </c:scaling>
        <c:delete val="0"/>
        <c:axPos val="b"/>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lt-LT"/>
          </a:p>
        </c:txPr>
        <c:crossAx val="146951168"/>
        <c:crosses val="autoZero"/>
        <c:crossBetween val="between"/>
      </c:valAx>
      <c:spPr>
        <a:solidFill>
          <a:srgbClr val="FFFFCC"/>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5208510521550661"/>
          <c:w val="0.63229724895861328"/>
          <c:h val="0.81325459317585302"/>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4.9760377931813642E-2"/>
                  <c:y val="7.1225499505168141E-2"/>
                </c:manualLayout>
              </c:layout>
              <c:dLblPos val="bestFit"/>
              <c:showLegendKey val="0"/>
              <c:showVal val="0"/>
              <c:showCatName val="0"/>
              <c:showSerName val="0"/>
              <c:showPercent val="1"/>
              <c:showBubbleSize val="0"/>
            </c:dLbl>
            <c:dLbl>
              <c:idx val="1"/>
              <c:layout>
                <c:manualLayout>
                  <c:x val="-5.7661292270760077E-2"/>
                  <c:y val="-5.0711067621570134E-2"/>
                </c:manualLayout>
              </c:layout>
              <c:dLblPos val="bestFit"/>
              <c:showLegendKey val="0"/>
              <c:showVal val="0"/>
              <c:showCatName val="0"/>
              <c:showSerName val="0"/>
              <c:showPercent val="1"/>
              <c:showBubbleSize val="0"/>
            </c:dLbl>
            <c:dLbl>
              <c:idx val="2"/>
              <c:layout>
                <c:manualLayout>
                  <c:x val="3.445083839975472E-2"/>
                  <c:y val="-2.5185510847465061E-2"/>
                </c:manualLayout>
              </c:layout>
              <c:dLblPos val="bestFit"/>
              <c:showLegendKey val="0"/>
              <c:showVal val="0"/>
              <c:showCatName val="0"/>
              <c:showSerName val="0"/>
              <c:showPercent val="1"/>
              <c:showBubbleSize val="0"/>
            </c:dLbl>
            <c:dLbl>
              <c:idx val="3"/>
              <c:layout>
                <c:manualLayout>
                  <c:x val="-0.10010836890242111"/>
                  <c:y val="5.4882297655021034E-2"/>
                </c:manualLayout>
              </c:layout>
              <c:dLblPos val="bestFit"/>
              <c:showLegendKey val="0"/>
              <c:showVal val="0"/>
              <c:showCatName val="0"/>
              <c:showSerName val="0"/>
              <c:showPercent val="1"/>
              <c:showBubbleSize val="0"/>
            </c:dLbl>
            <c:dLbl>
              <c:idx val="4"/>
              <c:layout>
                <c:manualLayout>
                  <c:x val="-0.11406705134863068"/>
                  <c:y val="9.0985512556985559E-3"/>
                </c:manualLayout>
              </c:layout>
              <c:dLblPos val="bestFit"/>
              <c:showLegendKey val="0"/>
              <c:showVal val="0"/>
              <c:showCatName val="0"/>
              <c:showSerName val="0"/>
              <c:showPercent val="1"/>
              <c:showBubbleSize val="0"/>
            </c:dLbl>
            <c:dLbl>
              <c:idx val="5"/>
              <c:layout>
                <c:manualLayout>
                  <c:x val="-1.4657093187984855E-2"/>
                  <c:y val="6.8830312622987916E-2"/>
                </c:manualLayout>
              </c:layout>
              <c:dLblPos val="bestFit"/>
              <c:showLegendKey val="0"/>
              <c:showVal val="0"/>
              <c:showCatName val="0"/>
              <c:showSerName val="0"/>
              <c:showPercent val="1"/>
              <c:showBubbleSize val="0"/>
            </c:dLbl>
            <c:dLbl>
              <c:idx val="6"/>
              <c:layout>
                <c:manualLayout>
                  <c:x val="-2.6780660114041326E-2"/>
                  <c:y val="0.13090040073390458"/>
                </c:manualLayout>
              </c:layout>
              <c:dLblPos val="bestFit"/>
              <c:showLegendKey val="0"/>
              <c:showVal val="0"/>
              <c:showCatName val="0"/>
              <c:showSerName val="0"/>
              <c:showPercent val="1"/>
              <c:showBubbleSize val="0"/>
            </c:dLbl>
            <c:dLbl>
              <c:idx val="7"/>
              <c:layout>
                <c:manualLayout>
                  <c:x val="-7.5375344357563323E-2"/>
                  <c:y val="7.2818512471881258E-2"/>
                </c:manualLayout>
              </c:layout>
              <c:tx>
                <c:rich>
                  <a:bodyPr/>
                  <a:lstStyle/>
                  <a:p>
                    <a:r>
                      <a:rPr lang="en-US"/>
                      <a:t>1,</a:t>
                    </a:r>
                    <a:r>
                      <a:rPr lang="lt-LT"/>
                      <a:t>2</a:t>
                    </a:r>
                    <a:r>
                      <a:rPr lang="en-US"/>
                      <a:t>%</a:t>
                    </a:r>
                  </a:p>
                </c:rich>
              </c:tx>
              <c:dLblPos val="bestFit"/>
              <c:showLegendKey val="0"/>
              <c:showVal val="0"/>
              <c:showCatName val="0"/>
              <c:showSerName val="0"/>
              <c:showPercent val="1"/>
              <c:showBubbleSize val="0"/>
            </c:dLbl>
            <c:dLbl>
              <c:idx val="8"/>
              <c:layout>
                <c:manualLayout>
                  <c:x val="-9.9888079303211072E-2"/>
                  <c:y val="-0.14101165707167312"/>
                </c:manualLayout>
              </c:layout>
              <c:dLblPos val="bestFit"/>
              <c:showLegendKey val="0"/>
              <c:showVal val="0"/>
              <c:showCatName val="0"/>
              <c:showSerName val="0"/>
              <c:showPercent val="1"/>
              <c:showBubbleSize val="0"/>
            </c:dLbl>
            <c:dLbl>
              <c:idx val="9"/>
              <c:layout>
                <c:manualLayout>
                  <c:x val="0.1411732490861638"/>
                  <c:y val="-0.12125275892453322"/>
                </c:manualLayout>
              </c:layout>
              <c:dLblPos val="bestFit"/>
              <c:showLegendKey val="0"/>
              <c:showVal val="0"/>
              <c:showCatName val="0"/>
              <c:showSerName val="0"/>
              <c:showPercent val="1"/>
              <c:showBubbleSize val="0"/>
            </c:dLbl>
            <c:dLbl>
              <c:idx val="10"/>
              <c:layout>
                <c:manualLayout>
                  <c:x val="7.3371985218265321E-3"/>
                  <c:y val="2.6387754628016631E-2"/>
                </c:manualLayout>
              </c:layout>
              <c:dLblPos val="bestFit"/>
              <c:showLegendKey val="0"/>
              <c:showVal val="0"/>
              <c:showCatName val="0"/>
              <c:showSerName val="0"/>
              <c:showPercent val="1"/>
              <c:showBubbleSize val="0"/>
            </c:dLbl>
            <c:numFmt formatCode="0.0%" sourceLinked="0"/>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0"/>
            <c:showCatName val="0"/>
            <c:showSerName val="0"/>
            <c:showPercent val="1"/>
            <c:showBubbleSize val="0"/>
            <c:showLeaderLines val="1"/>
          </c:dLbls>
          <c:cat>
            <c:strRef>
              <c:f>'Sheet2 (2)'!$A$1:$A$11</c:f>
              <c:strCache>
                <c:ptCount val="11"/>
                <c:pt idx="0">
                  <c:v>Bendros valstybės paslaugos -8,0</c:v>
                </c:pt>
                <c:pt idx="1">
                  <c:v>Gynyba - 0,1</c:v>
                </c:pt>
                <c:pt idx="2">
                  <c:v>Viešoji tvarka ir visuom. apsauga - 1,4</c:v>
                </c:pt>
                <c:pt idx="3">
                  <c:v>Ekonomika -9,1</c:v>
                </c:pt>
                <c:pt idx="4">
                  <c:v>Socialinė apsauga -9,3</c:v>
                </c:pt>
                <c:pt idx="5">
                  <c:v>Aplinkos apsauga -3,4</c:v>
                </c:pt>
                <c:pt idx="6">
                  <c:v>Būstas ir komunalinis ūkis - 4,9</c:v>
                </c:pt>
                <c:pt idx="7">
                  <c:v>Sveikatos apsauga - 1,2</c:v>
                </c:pt>
                <c:pt idx="8">
                  <c:v>Poilsis, kultūra ir religija - 14,6</c:v>
                </c:pt>
                <c:pt idx="9">
                  <c:v>Švietimas - 45,7</c:v>
                </c:pt>
                <c:pt idx="10">
                  <c:v>Finansiniai įsipareigojimai (paskolų grąžinimas) - 2,4</c:v>
                </c:pt>
              </c:strCache>
            </c:strRef>
          </c:cat>
          <c:val>
            <c:numRef>
              <c:f>'Sheet2 (2)'!$B$1:$B$11</c:f>
              <c:numCache>
                <c:formatCode>General</c:formatCode>
                <c:ptCount val="11"/>
                <c:pt idx="0">
                  <c:v>3089.8</c:v>
                </c:pt>
                <c:pt idx="1">
                  <c:v>23.5</c:v>
                </c:pt>
                <c:pt idx="2">
                  <c:v>549.4</c:v>
                </c:pt>
                <c:pt idx="3">
                  <c:v>3507.1</c:v>
                </c:pt>
                <c:pt idx="4">
                  <c:v>3606.9</c:v>
                </c:pt>
                <c:pt idx="5">
                  <c:v>1315.8</c:v>
                </c:pt>
                <c:pt idx="6">
                  <c:v>1887.4</c:v>
                </c:pt>
                <c:pt idx="7">
                  <c:v>447.4</c:v>
                </c:pt>
                <c:pt idx="8">
                  <c:v>5642</c:v>
                </c:pt>
                <c:pt idx="9">
                  <c:v>17658.900000000001</c:v>
                </c:pt>
                <c:pt idx="10">
                  <c:v>935.4</c:v>
                </c:pt>
              </c:numCache>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0"/>
            <c:showCatName val="0"/>
            <c:showSerName val="0"/>
            <c:showPercent val="1"/>
            <c:showBubbleSize val="0"/>
            <c:showLeaderLines val="1"/>
          </c:dLbls>
          <c:cat>
            <c:strRef>
              <c:f>'Sheet2 (2)'!$A$1:$A$11</c:f>
              <c:strCache>
                <c:ptCount val="11"/>
                <c:pt idx="0">
                  <c:v>Bendros valstybės paslaugos -8,0</c:v>
                </c:pt>
                <c:pt idx="1">
                  <c:v>Gynyba - 0,1</c:v>
                </c:pt>
                <c:pt idx="2">
                  <c:v>Viešoji tvarka ir visuom. apsauga - 1,4</c:v>
                </c:pt>
                <c:pt idx="3">
                  <c:v>Ekonomika -9,1</c:v>
                </c:pt>
                <c:pt idx="4">
                  <c:v>Socialinė apsauga -9,3</c:v>
                </c:pt>
                <c:pt idx="5">
                  <c:v>Aplinkos apsauga -3,4</c:v>
                </c:pt>
                <c:pt idx="6">
                  <c:v>Būstas ir komunalinis ūkis - 4,9</c:v>
                </c:pt>
                <c:pt idx="7">
                  <c:v>Sveikatos apsauga - 1,2</c:v>
                </c:pt>
                <c:pt idx="8">
                  <c:v>Poilsis, kultūra ir religija - 14,6</c:v>
                </c:pt>
                <c:pt idx="9">
                  <c:v>Švietimas - 45,7</c:v>
                </c:pt>
                <c:pt idx="10">
                  <c:v>Finansiniai įsipareigojimai (paskolų grąžinimas) - 2,4</c:v>
                </c:pt>
              </c:strCache>
            </c:strRef>
          </c:cat>
          <c:val>
            <c:numRef>
              <c:f>'Sheet2 (2)'!$C$1:$C$11</c:f>
              <c:numCache>
                <c:formatCode>0.00</c:formatCode>
                <c:ptCount val="11"/>
                <c:pt idx="0">
                  <c:v>7.9914958772592311</c:v>
                </c:pt>
                <c:pt idx="1">
                  <c:v>6.0780682605861849E-2</c:v>
                </c:pt>
                <c:pt idx="2">
                  <c:v>1.4209747669642765</c:v>
                </c:pt>
                <c:pt idx="3">
                  <c:v>9.0708056156177914</c:v>
                </c:pt>
                <c:pt idx="4">
                  <c:v>9.3289295357907704</c:v>
                </c:pt>
                <c:pt idx="5">
                  <c:v>3.4032009435231072</c:v>
                </c:pt>
                <c:pt idx="6">
                  <c:v>4.8815940574597301</c:v>
                </c:pt>
                <c:pt idx="7">
                  <c:v>1.1571607403345783</c:v>
                </c:pt>
                <c:pt idx="8">
                  <c:v>14.592536649458406</c:v>
                </c:pt>
                <c:pt idx="9">
                  <c:v>45.67319132207038</c:v>
                </c:pt>
                <c:pt idx="10">
                  <c:v>2.4193298089158795</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846319583186431"/>
          <c:y val="3.4127651655526489E-2"/>
          <c:w val="0.29093848845817349"/>
          <c:h val="0.89985139052740359"/>
        </c:manualLayout>
      </c:layout>
      <c:overlay val="0"/>
      <c:txPr>
        <a:bodyPr/>
        <a:lstStyle/>
        <a:p>
          <a:pPr>
            <a:defRPr sz="11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6A8B-D7F9-488E-867B-78E3570E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4F1F4417</Template>
  <TotalTime>1</TotalTime>
  <Pages>20</Pages>
  <Words>3921</Words>
  <Characters>25777</Characters>
  <Application>Microsoft Office Word</Application>
  <DocSecurity>0</DocSecurity>
  <Lines>214</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                                                                       Forma patvirtinta</vt:lpstr>
    </vt:vector>
  </TitlesOfParts>
  <Company>Privati</Company>
  <LinksUpToDate>false</LinksUpToDate>
  <CharactersWithSpaces>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Gasiunas</dc:creator>
  <cp:lastModifiedBy>Jovita Šumskienė</cp:lastModifiedBy>
  <cp:revision>3</cp:revision>
  <cp:lastPrinted>2018-04-05T08:49:00Z</cp:lastPrinted>
  <dcterms:created xsi:type="dcterms:W3CDTF">2019-07-05T08:09:00Z</dcterms:created>
  <dcterms:modified xsi:type="dcterms:W3CDTF">2019-07-18T11:34:00Z</dcterms:modified>
</cp:coreProperties>
</file>