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3D" w:rsidRDefault="00893E3D" w:rsidP="00893E3D">
      <w:pPr>
        <w:spacing w:after="0"/>
        <w:ind w:left="6480"/>
        <w:outlineLvl w:val="0"/>
        <w:rPr>
          <w:rFonts w:ascii="Times New Roman" w:hAnsi="Times New Roman" w:cs="Times New Roman"/>
          <w:sz w:val="24"/>
          <w:szCs w:val="24"/>
        </w:rPr>
      </w:pPr>
      <w:r w:rsidRPr="00F63F01">
        <w:rPr>
          <w:rFonts w:ascii="Times New Roman" w:hAnsi="Times New Roman" w:cs="Times New Roman"/>
          <w:sz w:val="24"/>
          <w:szCs w:val="24"/>
        </w:rPr>
        <w:t>PRITARTA</w:t>
      </w:r>
    </w:p>
    <w:p w:rsidR="00893E3D" w:rsidRPr="00F63F01" w:rsidRDefault="00893E3D" w:rsidP="00893E3D">
      <w:pPr>
        <w:spacing w:after="0"/>
        <w:ind w:left="5184" w:firstLine="1296"/>
        <w:outlineLvl w:val="0"/>
        <w:rPr>
          <w:rFonts w:ascii="Times New Roman" w:hAnsi="Times New Roman" w:cs="Times New Roman"/>
          <w:sz w:val="24"/>
          <w:szCs w:val="24"/>
        </w:rPr>
      </w:pPr>
      <w:r>
        <w:rPr>
          <w:rFonts w:ascii="Times New Roman" w:hAnsi="Times New Roman" w:cs="Times New Roman"/>
          <w:sz w:val="24"/>
          <w:szCs w:val="24"/>
        </w:rPr>
        <w:t>Plungės</w:t>
      </w:r>
      <w:r w:rsidRPr="00F63F01">
        <w:rPr>
          <w:rFonts w:ascii="Times New Roman" w:hAnsi="Times New Roman" w:cs="Times New Roman"/>
          <w:sz w:val="24"/>
          <w:szCs w:val="24"/>
        </w:rPr>
        <w:t xml:space="preserve"> rajono savivaldybės</w:t>
      </w:r>
    </w:p>
    <w:p w:rsidR="00893E3D" w:rsidRDefault="00893E3D" w:rsidP="00893E3D">
      <w:pPr>
        <w:spacing w:after="0"/>
        <w:ind w:left="6480"/>
        <w:outlineLvl w:val="0"/>
        <w:rPr>
          <w:rFonts w:ascii="Times New Roman" w:hAnsi="Times New Roman" w:cs="Times New Roman"/>
          <w:sz w:val="24"/>
          <w:szCs w:val="24"/>
        </w:rPr>
      </w:pPr>
      <w:r>
        <w:rPr>
          <w:rFonts w:ascii="Times New Roman" w:hAnsi="Times New Roman" w:cs="Times New Roman"/>
          <w:sz w:val="24"/>
          <w:szCs w:val="24"/>
        </w:rPr>
        <w:t>tarybos 2019 m. vasario 7</w:t>
      </w:r>
      <w:r w:rsidRPr="00F63F01">
        <w:rPr>
          <w:rFonts w:ascii="Times New Roman" w:hAnsi="Times New Roman" w:cs="Times New Roman"/>
          <w:sz w:val="24"/>
          <w:szCs w:val="24"/>
        </w:rPr>
        <w:t xml:space="preserve"> d</w:t>
      </w:r>
      <w:r>
        <w:rPr>
          <w:rFonts w:ascii="Times New Roman" w:hAnsi="Times New Roman" w:cs="Times New Roman"/>
          <w:sz w:val="24"/>
          <w:szCs w:val="24"/>
        </w:rPr>
        <w:t>.</w:t>
      </w:r>
    </w:p>
    <w:p w:rsidR="00893E3D" w:rsidRPr="00F63F01" w:rsidRDefault="00893E3D" w:rsidP="00893E3D">
      <w:pPr>
        <w:spacing w:after="0"/>
        <w:ind w:left="5184" w:firstLine="1296"/>
        <w:rPr>
          <w:rFonts w:ascii="Times New Roman" w:hAnsi="Times New Roman" w:cs="Times New Roman"/>
          <w:sz w:val="24"/>
          <w:szCs w:val="24"/>
        </w:rPr>
      </w:pPr>
      <w:r w:rsidRPr="00F63F01">
        <w:rPr>
          <w:rFonts w:ascii="Times New Roman" w:hAnsi="Times New Roman" w:cs="Times New Roman"/>
          <w:sz w:val="24"/>
          <w:szCs w:val="24"/>
        </w:rPr>
        <w:t>sprendimu Nr. T1-</w:t>
      </w:r>
    </w:p>
    <w:p w:rsidR="0060445F" w:rsidRDefault="0060445F" w:rsidP="00893E3D">
      <w:pPr>
        <w:pBdr>
          <w:bottom w:val="single" w:sz="4" w:space="1" w:color="auto"/>
        </w:pBdr>
        <w:jc w:val="right"/>
      </w:pPr>
    </w:p>
    <w:p w:rsidR="0060445F" w:rsidRDefault="0060445F" w:rsidP="0060445F">
      <w:pPr>
        <w:tabs>
          <w:tab w:val="left" w:pos="2010"/>
        </w:tabs>
        <w:spacing w:after="0"/>
        <w:jc w:val="center"/>
        <w:rPr>
          <w:rFonts w:ascii="Times New Roman" w:hAnsi="Times New Roman" w:cs="Times New Roman"/>
          <w:sz w:val="20"/>
          <w:szCs w:val="20"/>
        </w:rPr>
      </w:pPr>
      <w:r>
        <w:rPr>
          <w:rFonts w:ascii="Times New Roman" w:hAnsi="Times New Roman" w:cs="Times New Roman"/>
          <w:sz w:val="20"/>
          <w:szCs w:val="20"/>
        </w:rPr>
        <w:t>Biudžetinė įstaiga, J. Tumo- Vaižganto g. 93-2, LT</w:t>
      </w:r>
      <w:r w:rsidR="005300A8">
        <w:rPr>
          <w:rFonts w:ascii="Times New Roman" w:hAnsi="Times New Roman" w:cs="Times New Roman"/>
          <w:sz w:val="20"/>
          <w:szCs w:val="20"/>
        </w:rPr>
        <w:t>-</w:t>
      </w:r>
      <w:r>
        <w:rPr>
          <w:rFonts w:ascii="Times New Roman" w:hAnsi="Times New Roman" w:cs="Times New Roman"/>
          <w:sz w:val="20"/>
          <w:szCs w:val="20"/>
        </w:rPr>
        <w:t xml:space="preserve"> 90143, Plungė</w:t>
      </w:r>
    </w:p>
    <w:p w:rsidR="0060445F" w:rsidRDefault="0060445F" w:rsidP="0060445F">
      <w:pPr>
        <w:tabs>
          <w:tab w:val="left" w:pos="2010"/>
        </w:tabs>
        <w:spacing w:after="0"/>
        <w:jc w:val="center"/>
        <w:rPr>
          <w:rFonts w:ascii="Times New Roman" w:hAnsi="Times New Roman" w:cs="Times New Roman"/>
          <w:sz w:val="20"/>
          <w:szCs w:val="20"/>
          <w:lang w:val="en-US"/>
        </w:rPr>
      </w:pPr>
      <w:r>
        <w:rPr>
          <w:rFonts w:ascii="Times New Roman" w:hAnsi="Times New Roman" w:cs="Times New Roman"/>
          <w:sz w:val="20"/>
          <w:szCs w:val="20"/>
        </w:rPr>
        <w:t xml:space="preserve">Tel. (8 448) 52034, el. p. </w:t>
      </w:r>
      <w:hyperlink r:id="rId9" w:history="1">
        <w:r w:rsidRPr="001701BA">
          <w:rPr>
            <w:rStyle w:val="Hipersaitas"/>
            <w:rFonts w:ascii="Times New Roman" w:hAnsi="Times New Roman" w:cs="Times New Roman"/>
            <w:sz w:val="20"/>
            <w:szCs w:val="20"/>
          </w:rPr>
          <w:t>vsbiuras</w:t>
        </w:r>
        <w:r w:rsidRPr="001701BA">
          <w:rPr>
            <w:rStyle w:val="Hipersaitas"/>
            <w:rFonts w:ascii="Times New Roman" w:hAnsi="Times New Roman" w:cs="Times New Roman"/>
            <w:sz w:val="20"/>
            <w:szCs w:val="20"/>
            <w:lang w:val="en-US"/>
          </w:rPr>
          <w:t>@plunge.lt</w:t>
        </w:r>
      </w:hyperlink>
    </w:p>
    <w:p w:rsidR="0060445F" w:rsidRDefault="0060445F" w:rsidP="0060445F">
      <w:pPr>
        <w:tabs>
          <w:tab w:val="left" w:pos="2010"/>
        </w:tabs>
        <w:spacing w:after="0"/>
        <w:jc w:val="center"/>
        <w:rPr>
          <w:rFonts w:ascii="Times New Roman" w:hAnsi="Times New Roman" w:cs="Times New Roman"/>
          <w:sz w:val="20"/>
          <w:szCs w:val="20"/>
        </w:rPr>
      </w:pPr>
      <w:r w:rsidRPr="005202BB">
        <w:rPr>
          <w:rFonts w:ascii="Times New Roman" w:hAnsi="Times New Roman" w:cs="Times New Roman"/>
          <w:sz w:val="20"/>
          <w:szCs w:val="20"/>
        </w:rPr>
        <w:t>Duomenys kaupiami ir saugojami Juridinių asmenų</w:t>
      </w:r>
      <w:r>
        <w:rPr>
          <w:rFonts w:ascii="Times New Roman" w:hAnsi="Times New Roman" w:cs="Times New Roman"/>
          <w:sz w:val="20"/>
          <w:szCs w:val="20"/>
        </w:rPr>
        <w:t xml:space="preserve"> registre, kodas 302415311</w:t>
      </w:r>
    </w:p>
    <w:p w:rsidR="0060445F" w:rsidRDefault="0060445F" w:rsidP="0060445F">
      <w:pPr>
        <w:tabs>
          <w:tab w:val="left" w:pos="2010"/>
        </w:tabs>
        <w:spacing w:after="0"/>
        <w:jc w:val="center"/>
        <w:rPr>
          <w:rFonts w:ascii="Times New Roman" w:hAnsi="Times New Roman" w:cs="Times New Roman"/>
          <w:sz w:val="28"/>
          <w:szCs w:val="28"/>
        </w:rPr>
      </w:pPr>
    </w:p>
    <w:p w:rsidR="0060445F" w:rsidRDefault="0060445F" w:rsidP="0060445F">
      <w:pPr>
        <w:tabs>
          <w:tab w:val="left" w:pos="2010"/>
        </w:tabs>
        <w:spacing w:after="0"/>
        <w:jc w:val="center"/>
        <w:rPr>
          <w:rFonts w:ascii="Times New Roman" w:hAnsi="Times New Roman" w:cs="Times New Roman"/>
          <w:sz w:val="28"/>
          <w:szCs w:val="28"/>
        </w:rPr>
      </w:pPr>
    </w:p>
    <w:p w:rsidR="0060445F" w:rsidRDefault="0060445F" w:rsidP="0060445F">
      <w:pPr>
        <w:tabs>
          <w:tab w:val="left" w:pos="2010"/>
        </w:tabs>
        <w:spacing w:after="0"/>
        <w:jc w:val="center"/>
        <w:rPr>
          <w:rFonts w:ascii="Times New Roman" w:hAnsi="Times New Roman" w:cs="Times New Roman"/>
          <w:sz w:val="28"/>
          <w:szCs w:val="28"/>
        </w:rPr>
      </w:pPr>
    </w:p>
    <w:p w:rsidR="0060445F" w:rsidRDefault="0060445F" w:rsidP="0060445F">
      <w:pPr>
        <w:tabs>
          <w:tab w:val="left" w:pos="2010"/>
        </w:tabs>
        <w:spacing w:after="0"/>
        <w:jc w:val="center"/>
        <w:rPr>
          <w:rFonts w:ascii="Times New Roman" w:hAnsi="Times New Roman" w:cs="Times New Roman"/>
          <w:sz w:val="28"/>
          <w:szCs w:val="28"/>
        </w:rPr>
      </w:pPr>
    </w:p>
    <w:p w:rsidR="0060445F" w:rsidRDefault="0060445F" w:rsidP="0060445F">
      <w:pPr>
        <w:tabs>
          <w:tab w:val="left" w:pos="2010"/>
        </w:tabs>
        <w:spacing w:after="0"/>
        <w:jc w:val="center"/>
        <w:rPr>
          <w:rFonts w:ascii="Times New Roman" w:hAnsi="Times New Roman" w:cs="Times New Roman"/>
          <w:sz w:val="28"/>
          <w:szCs w:val="28"/>
        </w:rPr>
      </w:pPr>
    </w:p>
    <w:p w:rsidR="0060445F" w:rsidRDefault="0060445F" w:rsidP="0060445F">
      <w:pPr>
        <w:tabs>
          <w:tab w:val="left" w:pos="2010"/>
        </w:tabs>
        <w:spacing w:after="0"/>
        <w:jc w:val="center"/>
        <w:rPr>
          <w:rFonts w:ascii="Times New Roman" w:hAnsi="Times New Roman" w:cs="Times New Roman"/>
          <w:sz w:val="28"/>
          <w:szCs w:val="28"/>
        </w:rPr>
      </w:pPr>
    </w:p>
    <w:p w:rsidR="0060445F" w:rsidRDefault="0060445F" w:rsidP="0060445F">
      <w:pPr>
        <w:tabs>
          <w:tab w:val="left" w:pos="2010"/>
        </w:tabs>
        <w:spacing w:after="0"/>
        <w:jc w:val="center"/>
        <w:rPr>
          <w:rFonts w:ascii="Times New Roman" w:hAnsi="Times New Roman" w:cs="Times New Roman"/>
          <w:sz w:val="28"/>
          <w:szCs w:val="28"/>
        </w:rPr>
      </w:pPr>
    </w:p>
    <w:p w:rsidR="0060445F" w:rsidRDefault="0060445F" w:rsidP="0060445F">
      <w:pPr>
        <w:tabs>
          <w:tab w:val="left" w:pos="2010"/>
        </w:tabs>
        <w:spacing w:after="0"/>
        <w:jc w:val="center"/>
        <w:rPr>
          <w:rFonts w:ascii="Times New Roman" w:hAnsi="Times New Roman" w:cs="Times New Roman"/>
          <w:sz w:val="28"/>
          <w:szCs w:val="28"/>
        </w:rPr>
      </w:pPr>
    </w:p>
    <w:p w:rsidR="0060445F" w:rsidRDefault="0060445F" w:rsidP="0060445F">
      <w:pPr>
        <w:tabs>
          <w:tab w:val="left" w:pos="2010"/>
        </w:tabs>
        <w:spacing w:after="0"/>
        <w:jc w:val="center"/>
        <w:rPr>
          <w:rFonts w:ascii="Times New Roman" w:hAnsi="Times New Roman" w:cs="Times New Roman"/>
          <w:sz w:val="28"/>
          <w:szCs w:val="28"/>
        </w:rPr>
      </w:pPr>
    </w:p>
    <w:p w:rsidR="0060445F" w:rsidRDefault="0060445F" w:rsidP="0060445F">
      <w:pPr>
        <w:tabs>
          <w:tab w:val="left" w:pos="2010"/>
        </w:tabs>
        <w:spacing w:after="0"/>
        <w:jc w:val="center"/>
        <w:rPr>
          <w:rFonts w:ascii="Times New Roman" w:hAnsi="Times New Roman" w:cs="Times New Roman"/>
          <w:b/>
          <w:sz w:val="28"/>
          <w:szCs w:val="28"/>
        </w:rPr>
      </w:pPr>
      <w:r>
        <w:rPr>
          <w:rFonts w:ascii="Times New Roman" w:hAnsi="Times New Roman" w:cs="Times New Roman"/>
          <w:b/>
          <w:sz w:val="28"/>
          <w:szCs w:val="28"/>
        </w:rPr>
        <w:t>PLUNGĖS RAJONO SAVIVA</w:t>
      </w:r>
      <w:r w:rsidR="00A21C7C">
        <w:rPr>
          <w:rFonts w:ascii="Times New Roman" w:hAnsi="Times New Roman" w:cs="Times New Roman"/>
          <w:b/>
          <w:sz w:val="28"/>
          <w:szCs w:val="28"/>
        </w:rPr>
        <w:t>LDYBĖS VISUOMENĖS SVEIKATOS 2018</w:t>
      </w:r>
      <w:r>
        <w:rPr>
          <w:rFonts w:ascii="Times New Roman" w:hAnsi="Times New Roman" w:cs="Times New Roman"/>
          <w:b/>
          <w:sz w:val="28"/>
          <w:szCs w:val="28"/>
        </w:rPr>
        <w:t xml:space="preserve"> M. STEBĖSENOS ATASKAITA </w:t>
      </w:r>
    </w:p>
    <w:p w:rsidR="002752C7" w:rsidRDefault="002752C7" w:rsidP="0060445F">
      <w:pPr>
        <w:tabs>
          <w:tab w:val="left" w:pos="2010"/>
        </w:tabs>
        <w:spacing w:after="0"/>
        <w:jc w:val="center"/>
        <w:rPr>
          <w:rFonts w:ascii="Times New Roman" w:hAnsi="Times New Roman" w:cs="Times New Roman"/>
          <w:b/>
          <w:sz w:val="28"/>
          <w:szCs w:val="28"/>
        </w:rPr>
      </w:pPr>
    </w:p>
    <w:p w:rsidR="00A21C7C" w:rsidRDefault="00A21C7C" w:rsidP="0060445F">
      <w:pPr>
        <w:tabs>
          <w:tab w:val="left" w:pos="2010"/>
        </w:tabs>
        <w:spacing w:after="0"/>
        <w:jc w:val="center"/>
        <w:rPr>
          <w:rFonts w:ascii="Times New Roman" w:hAnsi="Times New Roman" w:cs="Times New Roman"/>
          <w:b/>
          <w:sz w:val="28"/>
          <w:szCs w:val="28"/>
        </w:rPr>
      </w:pPr>
      <w:r>
        <w:rPr>
          <w:rFonts w:ascii="Times New Roman" w:hAnsi="Times New Roman" w:cs="Times New Roman"/>
          <w:b/>
          <w:sz w:val="28"/>
          <w:szCs w:val="28"/>
        </w:rPr>
        <w:t>(Rodikliai už 2017 m.)</w:t>
      </w:r>
    </w:p>
    <w:p w:rsidR="0060445F" w:rsidRDefault="0060445F" w:rsidP="0060445F">
      <w:pPr>
        <w:tabs>
          <w:tab w:val="left" w:pos="2010"/>
        </w:tabs>
        <w:spacing w:after="0"/>
        <w:jc w:val="center"/>
        <w:rPr>
          <w:rFonts w:ascii="Times New Roman" w:hAnsi="Times New Roman" w:cs="Times New Roman"/>
          <w:b/>
          <w:sz w:val="24"/>
          <w:szCs w:val="24"/>
        </w:rPr>
      </w:pPr>
    </w:p>
    <w:p w:rsidR="0060445F" w:rsidRDefault="0060445F" w:rsidP="0060445F">
      <w:pPr>
        <w:tabs>
          <w:tab w:val="left" w:pos="201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Nr. AT. </w:t>
      </w:r>
      <w:r w:rsidR="00B311AC">
        <w:rPr>
          <w:rFonts w:ascii="Times New Roman" w:hAnsi="Times New Roman" w:cs="Times New Roman"/>
          <w:b/>
          <w:sz w:val="24"/>
          <w:szCs w:val="24"/>
        </w:rPr>
        <w:t>101134</w:t>
      </w: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B311AC" w:rsidP="0060445F">
      <w:pPr>
        <w:tabs>
          <w:tab w:val="left" w:pos="2010"/>
        </w:tabs>
        <w:spacing w:after="0"/>
        <w:jc w:val="center"/>
        <w:rPr>
          <w:rFonts w:ascii="Times New Roman" w:hAnsi="Times New Roman" w:cs="Times New Roman"/>
          <w:b/>
          <w:sz w:val="24"/>
          <w:szCs w:val="24"/>
        </w:rPr>
      </w:pPr>
    </w:p>
    <w:p w:rsidR="00B311AC" w:rsidRDefault="00893E3D" w:rsidP="0060445F">
      <w:pPr>
        <w:tabs>
          <w:tab w:val="left" w:pos="2010"/>
        </w:tabs>
        <w:spacing w:after="0"/>
        <w:jc w:val="center"/>
        <w:rPr>
          <w:rFonts w:ascii="Times New Roman" w:hAnsi="Times New Roman" w:cs="Times New Roman"/>
          <w:sz w:val="24"/>
          <w:szCs w:val="24"/>
        </w:rPr>
      </w:pPr>
      <w:r>
        <w:rPr>
          <w:rFonts w:ascii="Times New Roman" w:hAnsi="Times New Roman" w:cs="Times New Roman"/>
          <w:sz w:val="24"/>
          <w:szCs w:val="24"/>
        </w:rPr>
        <w:t>Plungė, 2019</w:t>
      </w:r>
    </w:p>
    <w:p w:rsidR="00B311AC" w:rsidRPr="0041598D" w:rsidRDefault="00486FDD" w:rsidP="00486FDD">
      <w:pPr>
        <w:tabs>
          <w:tab w:val="left" w:pos="2010"/>
        </w:tabs>
        <w:spacing w:after="0"/>
        <w:jc w:val="center"/>
        <w:rPr>
          <w:rFonts w:ascii="Times New Roman" w:hAnsi="Times New Roman" w:cs="Times New Roman"/>
          <w:b/>
          <w:sz w:val="28"/>
          <w:szCs w:val="28"/>
        </w:rPr>
      </w:pPr>
      <w:r w:rsidRPr="0041598D">
        <w:rPr>
          <w:rFonts w:ascii="Times New Roman" w:hAnsi="Times New Roman" w:cs="Times New Roman"/>
          <w:b/>
          <w:sz w:val="28"/>
          <w:szCs w:val="28"/>
        </w:rPr>
        <w:lastRenderedPageBreak/>
        <w:t>TURINYS</w:t>
      </w:r>
    </w:p>
    <w:p w:rsidR="005E2892" w:rsidRDefault="005E2892" w:rsidP="00486FDD">
      <w:pPr>
        <w:tabs>
          <w:tab w:val="left" w:pos="2010"/>
        </w:tabs>
        <w:spacing w:after="0"/>
        <w:jc w:val="center"/>
        <w:rPr>
          <w:rFonts w:ascii="Times New Roman" w:hAnsi="Times New Roman" w:cs="Times New Roman"/>
          <w:sz w:val="28"/>
          <w:szCs w:val="28"/>
        </w:rPr>
      </w:pPr>
    </w:p>
    <w:p w:rsidR="00486FDD" w:rsidRPr="00F90261" w:rsidRDefault="00F90261" w:rsidP="005E2892">
      <w:pPr>
        <w:tabs>
          <w:tab w:val="left" w:pos="2010"/>
        </w:tabs>
        <w:spacing w:after="0" w:line="240" w:lineRule="auto"/>
        <w:jc w:val="both"/>
        <w:rPr>
          <w:rFonts w:ascii="Times New Roman" w:hAnsi="Times New Roman" w:cs="Times New Roman"/>
          <w:sz w:val="24"/>
          <w:szCs w:val="24"/>
        </w:rPr>
      </w:pPr>
      <w:r w:rsidRPr="0041598D">
        <w:rPr>
          <w:rFonts w:ascii="Times New Roman" w:hAnsi="Times New Roman" w:cs="Times New Roman"/>
          <w:b/>
          <w:sz w:val="24"/>
          <w:szCs w:val="24"/>
        </w:rPr>
        <w:t>ĮVADAS</w:t>
      </w:r>
      <w:r>
        <w:rPr>
          <w:rFonts w:ascii="Times New Roman" w:hAnsi="Times New Roman" w:cs="Times New Roman"/>
          <w:sz w:val="24"/>
          <w:szCs w:val="24"/>
        </w:rPr>
        <w:t>.......................................................................................................................................</w:t>
      </w:r>
      <w:r w:rsidR="0041598D">
        <w:rPr>
          <w:rFonts w:ascii="Times New Roman" w:hAnsi="Times New Roman" w:cs="Times New Roman"/>
          <w:sz w:val="24"/>
          <w:szCs w:val="24"/>
        </w:rPr>
        <w:t>.</w:t>
      </w:r>
      <w:r>
        <w:rPr>
          <w:rFonts w:ascii="Times New Roman" w:hAnsi="Times New Roman" w:cs="Times New Roman"/>
          <w:sz w:val="24"/>
          <w:szCs w:val="24"/>
        </w:rPr>
        <w:t>.....3</w:t>
      </w:r>
    </w:p>
    <w:p w:rsidR="00486FDD" w:rsidRPr="00486FDD" w:rsidRDefault="00486FDD" w:rsidP="005E2892">
      <w:pPr>
        <w:tabs>
          <w:tab w:val="left" w:pos="2010"/>
        </w:tabs>
        <w:spacing w:after="0" w:line="240" w:lineRule="auto"/>
        <w:jc w:val="both"/>
        <w:rPr>
          <w:rFonts w:ascii="Times New Roman" w:hAnsi="Times New Roman" w:cs="Times New Roman"/>
          <w:sz w:val="24"/>
          <w:szCs w:val="24"/>
        </w:rPr>
      </w:pPr>
      <w:r w:rsidRPr="0041598D">
        <w:rPr>
          <w:rFonts w:ascii="Times New Roman" w:hAnsi="Times New Roman" w:cs="Times New Roman"/>
          <w:b/>
          <w:sz w:val="24"/>
          <w:szCs w:val="24"/>
        </w:rPr>
        <w:t>1.</w:t>
      </w:r>
      <w:r w:rsidR="00864A77" w:rsidRPr="0041598D">
        <w:rPr>
          <w:rFonts w:ascii="Times New Roman" w:hAnsi="Times New Roman" w:cs="Times New Roman"/>
          <w:b/>
          <w:sz w:val="24"/>
          <w:szCs w:val="24"/>
        </w:rPr>
        <w:t xml:space="preserve"> </w:t>
      </w:r>
      <w:r w:rsidRPr="0041598D">
        <w:rPr>
          <w:rFonts w:ascii="Times New Roman" w:hAnsi="Times New Roman" w:cs="Times New Roman"/>
          <w:b/>
          <w:sz w:val="24"/>
          <w:szCs w:val="24"/>
        </w:rPr>
        <w:t>BENDROJI DALIS</w:t>
      </w:r>
      <w:r w:rsidR="00F90261">
        <w:rPr>
          <w:rFonts w:ascii="Times New Roman" w:hAnsi="Times New Roman" w:cs="Times New Roman"/>
          <w:sz w:val="24"/>
          <w:szCs w:val="24"/>
        </w:rPr>
        <w:t>........................................................................................</w:t>
      </w:r>
      <w:r w:rsidR="008754E7">
        <w:rPr>
          <w:rFonts w:ascii="Times New Roman" w:hAnsi="Times New Roman" w:cs="Times New Roman"/>
          <w:sz w:val="24"/>
          <w:szCs w:val="24"/>
        </w:rPr>
        <w:t>.</w:t>
      </w:r>
      <w:r w:rsidR="00F90261">
        <w:rPr>
          <w:rFonts w:ascii="Times New Roman" w:hAnsi="Times New Roman" w:cs="Times New Roman"/>
          <w:sz w:val="24"/>
          <w:szCs w:val="24"/>
        </w:rPr>
        <w:t>.............................4</w:t>
      </w:r>
    </w:p>
    <w:p w:rsidR="00486FDD" w:rsidRPr="00F90261" w:rsidRDefault="00486FDD" w:rsidP="005E2892">
      <w:pPr>
        <w:tabs>
          <w:tab w:val="left" w:pos="2010"/>
        </w:tabs>
        <w:spacing w:after="0" w:line="240" w:lineRule="auto"/>
        <w:jc w:val="both"/>
        <w:rPr>
          <w:rFonts w:ascii="Times New Roman" w:hAnsi="Times New Roman" w:cs="Times New Roman"/>
          <w:sz w:val="24"/>
          <w:szCs w:val="24"/>
        </w:rPr>
      </w:pPr>
      <w:r w:rsidRPr="00486FDD">
        <w:rPr>
          <w:rFonts w:ascii="Times New Roman" w:hAnsi="Times New Roman" w:cs="Times New Roman"/>
          <w:sz w:val="24"/>
          <w:szCs w:val="24"/>
        </w:rPr>
        <w:t>1.1</w:t>
      </w:r>
      <w:r w:rsidR="00864A77">
        <w:rPr>
          <w:rFonts w:ascii="Times New Roman" w:hAnsi="Times New Roman" w:cs="Times New Roman"/>
          <w:sz w:val="24"/>
          <w:szCs w:val="24"/>
        </w:rPr>
        <w:t xml:space="preserve"> </w:t>
      </w:r>
      <w:r w:rsidRPr="00DF3852">
        <w:rPr>
          <w:rFonts w:ascii="Times New Roman" w:hAnsi="Times New Roman" w:cs="Times New Roman"/>
          <w:sz w:val="24"/>
          <w:szCs w:val="24"/>
        </w:rPr>
        <w:t xml:space="preserve">Pagrindinių </w:t>
      </w:r>
      <w:proofErr w:type="spellStart"/>
      <w:r w:rsidRPr="00DF3852">
        <w:rPr>
          <w:rFonts w:ascii="Times New Roman" w:hAnsi="Times New Roman" w:cs="Times New Roman"/>
          <w:sz w:val="24"/>
          <w:szCs w:val="24"/>
        </w:rPr>
        <w:t>stebėsenos</w:t>
      </w:r>
      <w:proofErr w:type="spellEnd"/>
      <w:r w:rsidRPr="00DF3852">
        <w:rPr>
          <w:rFonts w:ascii="Times New Roman" w:hAnsi="Times New Roman" w:cs="Times New Roman"/>
          <w:sz w:val="24"/>
          <w:szCs w:val="24"/>
        </w:rPr>
        <w:t xml:space="preserve"> rodiklių savivaldybėse analizė ir interpretavimas (</w:t>
      </w:r>
      <w:r w:rsidR="00DF3852" w:rsidRPr="00DF3852">
        <w:rPr>
          <w:rFonts w:ascii="Times New Roman" w:hAnsi="Times New Roman" w:cs="Times New Roman"/>
          <w:sz w:val="24"/>
          <w:szCs w:val="24"/>
        </w:rPr>
        <w:t>„Š</w:t>
      </w:r>
      <w:r w:rsidRPr="00DF3852">
        <w:rPr>
          <w:rFonts w:ascii="Times New Roman" w:hAnsi="Times New Roman" w:cs="Times New Roman"/>
          <w:sz w:val="24"/>
          <w:szCs w:val="24"/>
        </w:rPr>
        <w:t>viesoforas</w:t>
      </w:r>
      <w:r w:rsidR="00DF3852" w:rsidRPr="00DF3852">
        <w:rPr>
          <w:rFonts w:ascii="Times New Roman" w:hAnsi="Times New Roman" w:cs="Times New Roman"/>
          <w:sz w:val="24"/>
          <w:szCs w:val="24"/>
        </w:rPr>
        <w:t>“</w:t>
      </w:r>
      <w:r w:rsidRPr="00DF3852">
        <w:rPr>
          <w:rFonts w:ascii="Times New Roman" w:hAnsi="Times New Roman" w:cs="Times New Roman"/>
          <w:sz w:val="24"/>
          <w:szCs w:val="24"/>
        </w:rPr>
        <w:t>)</w:t>
      </w:r>
      <w:r w:rsidR="00F90261" w:rsidRPr="00DF3852">
        <w:rPr>
          <w:rFonts w:ascii="Times New Roman" w:hAnsi="Times New Roman" w:cs="Times New Roman"/>
          <w:sz w:val="24"/>
          <w:szCs w:val="24"/>
        </w:rPr>
        <w:t>..........</w:t>
      </w:r>
      <w:r w:rsidR="00F90261">
        <w:rPr>
          <w:rFonts w:ascii="Times New Roman" w:hAnsi="Times New Roman" w:cs="Times New Roman"/>
          <w:sz w:val="24"/>
          <w:szCs w:val="24"/>
        </w:rPr>
        <w:t>4</w:t>
      </w:r>
    </w:p>
    <w:p w:rsidR="00486FDD" w:rsidRDefault="00486FDD" w:rsidP="005E2892">
      <w:pPr>
        <w:tabs>
          <w:tab w:val="left" w:pos="2010"/>
        </w:tabs>
        <w:spacing w:after="0" w:line="240" w:lineRule="auto"/>
        <w:jc w:val="both"/>
        <w:rPr>
          <w:rFonts w:ascii="Times New Roman" w:hAnsi="Times New Roman" w:cs="Times New Roman"/>
          <w:sz w:val="24"/>
          <w:szCs w:val="24"/>
        </w:rPr>
      </w:pPr>
      <w:r w:rsidRPr="0041598D">
        <w:rPr>
          <w:rFonts w:ascii="Times New Roman" w:hAnsi="Times New Roman" w:cs="Times New Roman"/>
          <w:b/>
          <w:sz w:val="24"/>
          <w:szCs w:val="24"/>
        </w:rPr>
        <w:t>2.</w:t>
      </w:r>
      <w:r w:rsidR="00864A77" w:rsidRPr="0041598D">
        <w:rPr>
          <w:rFonts w:ascii="Times New Roman" w:hAnsi="Times New Roman" w:cs="Times New Roman"/>
          <w:b/>
          <w:sz w:val="24"/>
          <w:szCs w:val="24"/>
        </w:rPr>
        <w:t xml:space="preserve"> </w:t>
      </w:r>
      <w:r w:rsidRPr="0041598D">
        <w:rPr>
          <w:rFonts w:ascii="Times New Roman" w:hAnsi="Times New Roman" w:cs="Times New Roman"/>
          <w:b/>
          <w:sz w:val="24"/>
          <w:szCs w:val="24"/>
        </w:rPr>
        <w:t>SPECIALIOJI DALIS</w:t>
      </w:r>
      <w:r w:rsidR="00F90261">
        <w:rPr>
          <w:rFonts w:ascii="Times New Roman" w:hAnsi="Times New Roman" w:cs="Times New Roman"/>
          <w:sz w:val="24"/>
          <w:szCs w:val="24"/>
        </w:rPr>
        <w:t>............................................................................</w:t>
      </w:r>
      <w:r w:rsidR="00D82981">
        <w:rPr>
          <w:rFonts w:ascii="Times New Roman" w:hAnsi="Times New Roman" w:cs="Times New Roman"/>
          <w:sz w:val="24"/>
          <w:szCs w:val="24"/>
        </w:rPr>
        <w:t>.</w:t>
      </w:r>
      <w:r w:rsidR="00F90261">
        <w:rPr>
          <w:rFonts w:ascii="Times New Roman" w:hAnsi="Times New Roman" w:cs="Times New Roman"/>
          <w:sz w:val="24"/>
          <w:szCs w:val="24"/>
        </w:rPr>
        <w:t>....................................11</w:t>
      </w:r>
    </w:p>
    <w:p w:rsidR="00864A77" w:rsidRDefault="00864A77" w:rsidP="005E2892">
      <w:pPr>
        <w:tabs>
          <w:tab w:val="left" w:pos="2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06312D">
        <w:rPr>
          <w:rFonts w:ascii="Times New Roman" w:hAnsi="Times New Roman" w:cs="Times New Roman"/>
          <w:sz w:val="24"/>
          <w:szCs w:val="24"/>
        </w:rPr>
        <w:t>Plungės rajono savivaldybės vaikų burnos sveikata</w:t>
      </w:r>
      <w:r w:rsidR="00F90261">
        <w:rPr>
          <w:rFonts w:ascii="Times New Roman" w:hAnsi="Times New Roman" w:cs="Times New Roman"/>
          <w:sz w:val="24"/>
          <w:szCs w:val="24"/>
        </w:rPr>
        <w:t>..................................................................</w:t>
      </w:r>
      <w:r w:rsidR="005E2892">
        <w:rPr>
          <w:rFonts w:ascii="Times New Roman" w:hAnsi="Times New Roman" w:cs="Times New Roman"/>
          <w:sz w:val="24"/>
          <w:szCs w:val="24"/>
        </w:rPr>
        <w:t>.</w:t>
      </w:r>
      <w:r w:rsidR="00F90261">
        <w:rPr>
          <w:rFonts w:ascii="Times New Roman" w:hAnsi="Times New Roman" w:cs="Times New Roman"/>
          <w:sz w:val="24"/>
          <w:szCs w:val="24"/>
        </w:rPr>
        <w:t>..11</w:t>
      </w:r>
    </w:p>
    <w:p w:rsidR="00864A77" w:rsidRDefault="00D71EE8" w:rsidP="005E2892">
      <w:pPr>
        <w:tabs>
          <w:tab w:val="left" w:pos="2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Kūdikių, išimt</w:t>
      </w:r>
      <w:r w:rsidR="00F90261">
        <w:rPr>
          <w:rFonts w:ascii="Times New Roman" w:hAnsi="Times New Roman" w:cs="Times New Roman"/>
          <w:sz w:val="24"/>
          <w:szCs w:val="24"/>
        </w:rPr>
        <w:t>inai žindytų iki 6 mėn. amžiaus</w:t>
      </w:r>
      <w:r w:rsidR="00751ACA">
        <w:rPr>
          <w:rFonts w:ascii="Times New Roman" w:hAnsi="Times New Roman" w:cs="Times New Roman"/>
          <w:sz w:val="24"/>
          <w:szCs w:val="24"/>
        </w:rPr>
        <w:t xml:space="preserve"> dalis</w:t>
      </w:r>
      <w:r w:rsidR="00F90261">
        <w:rPr>
          <w:rFonts w:ascii="Times New Roman" w:hAnsi="Times New Roman" w:cs="Times New Roman"/>
          <w:sz w:val="24"/>
          <w:szCs w:val="24"/>
        </w:rPr>
        <w:t>....................................................................13</w:t>
      </w:r>
    </w:p>
    <w:p w:rsidR="00D71EE8" w:rsidRDefault="00D71EE8" w:rsidP="005E2892">
      <w:pPr>
        <w:tabs>
          <w:tab w:val="left" w:pos="2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E2892">
        <w:rPr>
          <w:rFonts w:ascii="Times New Roman" w:hAnsi="Times New Roman" w:cs="Times New Roman"/>
          <w:sz w:val="24"/>
          <w:szCs w:val="24"/>
        </w:rPr>
        <w:t>.3 Tikslinės populiacijos dalis</w:t>
      </w:r>
      <w:r>
        <w:rPr>
          <w:rFonts w:ascii="Times New Roman" w:hAnsi="Times New Roman" w:cs="Times New Roman"/>
          <w:sz w:val="24"/>
          <w:szCs w:val="24"/>
        </w:rPr>
        <w:t xml:space="preserve"> dalyvavusi atrankinės</w:t>
      </w:r>
      <w:r w:rsidR="00336810">
        <w:rPr>
          <w:rFonts w:ascii="Times New Roman" w:hAnsi="Times New Roman" w:cs="Times New Roman"/>
          <w:sz w:val="24"/>
          <w:szCs w:val="24"/>
        </w:rPr>
        <w:t>e prevencinėse programose</w:t>
      </w:r>
      <w:r w:rsidR="00F90261">
        <w:rPr>
          <w:rFonts w:ascii="Times New Roman" w:hAnsi="Times New Roman" w:cs="Times New Roman"/>
          <w:sz w:val="24"/>
          <w:szCs w:val="24"/>
        </w:rPr>
        <w:t>................</w:t>
      </w:r>
      <w:r w:rsidR="005E2892">
        <w:rPr>
          <w:rFonts w:ascii="Times New Roman" w:hAnsi="Times New Roman" w:cs="Times New Roman"/>
          <w:sz w:val="24"/>
          <w:szCs w:val="24"/>
        </w:rPr>
        <w:t>.</w:t>
      </w:r>
      <w:r w:rsidR="00F90261">
        <w:rPr>
          <w:rFonts w:ascii="Times New Roman" w:hAnsi="Times New Roman" w:cs="Times New Roman"/>
          <w:sz w:val="24"/>
          <w:szCs w:val="24"/>
        </w:rPr>
        <w:t>..........15</w:t>
      </w:r>
    </w:p>
    <w:p w:rsidR="00D71EE8" w:rsidRDefault="00D71EE8" w:rsidP="005E2892">
      <w:pPr>
        <w:tabs>
          <w:tab w:val="left" w:pos="2010"/>
        </w:tabs>
        <w:spacing w:after="0" w:line="240" w:lineRule="auto"/>
        <w:jc w:val="both"/>
        <w:rPr>
          <w:rFonts w:ascii="Times New Roman" w:hAnsi="Times New Roman" w:cs="Times New Roman"/>
          <w:sz w:val="24"/>
          <w:szCs w:val="24"/>
        </w:rPr>
      </w:pPr>
      <w:r w:rsidRPr="0041598D">
        <w:rPr>
          <w:rFonts w:ascii="Times New Roman" w:hAnsi="Times New Roman" w:cs="Times New Roman"/>
          <w:b/>
          <w:sz w:val="24"/>
          <w:szCs w:val="24"/>
        </w:rPr>
        <w:t>3. STEBĖSENOS VEIKLA PLUNGĖS RAJONO SAVIVALDYBĖJE</w:t>
      </w:r>
      <w:r w:rsidR="00F90261">
        <w:rPr>
          <w:rFonts w:ascii="Times New Roman" w:hAnsi="Times New Roman" w:cs="Times New Roman"/>
          <w:sz w:val="24"/>
          <w:szCs w:val="24"/>
        </w:rPr>
        <w:t>.........................</w:t>
      </w:r>
      <w:r w:rsidR="00D82981">
        <w:rPr>
          <w:rFonts w:ascii="Times New Roman" w:hAnsi="Times New Roman" w:cs="Times New Roman"/>
          <w:sz w:val="24"/>
          <w:szCs w:val="24"/>
        </w:rPr>
        <w:t>..</w:t>
      </w:r>
      <w:r w:rsidR="00F90261">
        <w:rPr>
          <w:rFonts w:ascii="Times New Roman" w:hAnsi="Times New Roman" w:cs="Times New Roman"/>
          <w:sz w:val="24"/>
          <w:szCs w:val="24"/>
        </w:rPr>
        <w:t>.......17</w:t>
      </w:r>
    </w:p>
    <w:p w:rsidR="00D71EE8" w:rsidRDefault="00D71EE8" w:rsidP="005E2892">
      <w:pPr>
        <w:tabs>
          <w:tab w:val="left" w:pos="2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 Plungės raj</w:t>
      </w:r>
      <w:r w:rsidR="00393F6E">
        <w:rPr>
          <w:rFonts w:ascii="Times New Roman" w:hAnsi="Times New Roman" w:cs="Times New Roman"/>
          <w:sz w:val="24"/>
          <w:szCs w:val="24"/>
        </w:rPr>
        <w:t xml:space="preserve">ono savivaldybės </w:t>
      </w:r>
      <w:r>
        <w:rPr>
          <w:rFonts w:ascii="Times New Roman" w:hAnsi="Times New Roman" w:cs="Times New Roman"/>
          <w:sz w:val="24"/>
          <w:szCs w:val="24"/>
        </w:rPr>
        <w:t xml:space="preserve">ikimokyklines </w:t>
      </w:r>
      <w:r w:rsidR="00955D6F">
        <w:rPr>
          <w:rFonts w:ascii="Times New Roman" w:hAnsi="Times New Roman" w:cs="Times New Roman"/>
          <w:sz w:val="24"/>
          <w:szCs w:val="24"/>
        </w:rPr>
        <w:t xml:space="preserve">ugdymo </w:t>
      </w:r>
      <w:r>
        <w:rPr>
          <w:rFonts w:ascii="Times New Roman" w:hAnsi="Times New Roman" w:cs="Times New Roman"/>
          <w:sz w:val="24"/>
          <w:szCs w:val="24"/>
        </w:rPr>
        <w:t>įst</w:t>
      </w:r>
      <w:r w:rsidR="00C27A08">
        <w:rPr>
          <w:rFonts w:ascii="Times New Roman" w:hAnsi="Times New Roman" w:cs="Times New Roman"/>
          <w:sz w:val="24"/>
          <w:szCs w:val="24"/>
        </w:rPr>
        <w:t>a</w:t>
      </w:r>
      <w:r>
        <w:rPr>
          <w:rFonts w:ascii="Times New Roman" w:hAnsi="Times New Roman" w:cs="Times New Roman"/>
          <w:sz w:val="24"/>
          <w:szCs w:val="24"/>
        </w:rPr>
        <w:t>igas lankančių v</w:t>
      </w:r>
      <w:r w:rsidR="00C27A08">
        <w:rPr>
          <w:rFonts w:ascii="Times New Roman" w:hAnsi="Times New Roman" w:cs="Times New Roman"/>
          <w:sz w:val="24"/>
          <w:szCs w:val="24"/>
        </w:rPr>
        <w:t>a</w:t>
      </w:r>
      <w:r>
        <w:rPr>
          <w:rFonts w:ascii="Times New Roman" w:hAnsi="Times New Roman" w:cs="Times New Roman"/>
          <w:sz w:val="24"/>
          <w:szCs w:val="24"/>
        </w:rPr>
        <w:t>ikų profilaktinių sveikatos patikrinimų duomenų analizė 2018/2019 m.</w:t>
      </w:r>
      <w:r w:rsidR="00C27A08">
        <w:rPr>
          <w:rFonts w:ascii="Times New Roman" w:hAnsi="Times New Roman" w:cs="Times New Roman"/>
          <w:sz w:val="24"/>
          <w:szCs w:val="24"/>
        </w:rPr>
        <w:t xml:space="preserve"> </w:t>
      </w:r>
      <w:r>
        <w:rPr>
          <w:rFonts w:ascii="Times New Roman" w:hAnsi="Times New Roman" w:cs="Times New Roman"/>
          <w:sz w:val="24"/>
          <w:szCs w:val="24"/>
        </w:rPr>
        <w:t>m.</w:t>
      </w:r>
      <w:r w:rsidR="00F90261">
        <w:rPr>
          <w:rFonts w:ascii="Times New Roman" w:hAnsi="Times New Roman" w:cs="Times New Roman"/>
          <w:sz w:val="24"/>
          <w:szCs w:val="24"/>
        </w:rPr>
        <w:t>........................................................</w:t>
      </w:r>
      <w:r w:rsidR="005E2892">
        <w:rPr>
          <w:rFonts w:ascii="Times New Roman" w:hAnsi="Times New Roman" w:cs="Times New Roman"/>
          <w:sz w:val="24"/>
          <w:szCs w:val="24"/>
        </w:rPr>
        <w:t>..</w:t>
      </w:r>
      <w:r w:rsidR="00F90261">
        <w:rPr>
          <w:rFonts w:ascii="Times New Roman" w:hAnsi="Times New Roman" w:cs="Times New Roman"/>
          <w:sz w:val="24"/>
          <w:szCs w:val="24"/>
        </w:rPr>
        <w:t>.......17</w:t>
      </w:r>
    </w:p>
    <w:p w:rsidR="00C27A08" w:rsidRDefault="00C27A08" w:rsidP="005E2892">
      <w:pPr>
        <w:tabs>
          <w:tab w:val="left" w:pos="2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3.2 Plungės rajono savivaldyb</w:t>
      </w:r>
      <w:r w:rsidR="00393F6E">
        <w:rPr>
          <w:rFonts w:ascii="Times New Roman" w:hAnsi="Times New Roman" w:cs="Times New Roman"/>
          <w:sz w:val="24"/>
          <w:szCs w:val="24"/>
        </w:rPr>
        <w:t>ės maudyklų vandens kokybės 2018</w:t>
      </w:r>
      <w:r w:rsidR="00F90261">
        <w:rPr>
          <w:rFonts w:ascii="Times New Roman" w:hAnsi="Times New Roman" w:cs="Times New Roman"/>
          <w:sz w:val="24"/>
          <w:szCs w:val="24"/>
        </w:rPr>
        <w:t xml:space="preserve"> metų ataskaita......................</w:t>
      </w:r>
      <w:r w:rsidR="005E2892">
        <w:rPr>
          <w:rFonts w:ascii="Times New Roman" w:hAnsi="Times New Roman" w:cs="Times New Roman"/>
          <w:sz w:val="24"/>
          <w:szCs w:val="24"/>
        </w:rPr>
        <w:t>..</w:t>
      </w:r>
      <w:r w:rsidR="00F90261">
        <w:rPr>
          <w:rFonts w:ascii="Times New Roman" w:hAnsi="Times New Roman" w:cs="Times New Roman"/>
          <w:sz w:val="24"/>
          <w:szCs w:val="24"/>
        </w:rPr>
        <w:t>..1</w:t>
      </w:r>
      <w:r w:rsidR="00955D6F">
        <w:rPr>
          <w:rFonts w:ascii="Times New Roman" w:hAnsi="Times New Roman" w:cs="Times New Roman"/>
          <w:sz w:val="24"/>
          <w:szCs w:val="24"/>
        </w:rPr>
        <w:t>7</w:t>
      </w:r>
    </w:p>
    <w:p w:rsidR="00C27A08" w:rsidRDefault="00EC2746" w:rsidP="005E2892">
      <w:pPr>
        <w:tabs>
          <w:tab w:val="left" w:pos="2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C27A08">
        <w:rPr>
          <w:rFonts w:ascii="Times New Roman" w:hAnsi="Times New Roman" w:cs="Times New Roman"/>
          <w:sz w:val="24"/>
          <w:szCs w:val="24"/>
        </w:rPr>
        <w:t xml:space="preserve"> Plungės rajono savivaldybės bendrojo</w:t>
      </w:r>
      <w:r w:rsidR="00336810">
        <w:rPr>
          <w:rFonts w:ascii="Times New Roman" w:hAnsi="Times New Roman" w:cs="Times New Roman"/>
          <w:sz w:val="24"/>
          <w:szCs w:val="24"/>
        </w:rPr>
        <w:t xml:space="preserve"> lavinimo mokyklų moksleivių kupr</w:t>
      </w:r>
      <w:r w:rsidR="00C27A08">
        <w:rPr>
          <w:rFonts w:ascii="Times New Roman" w:hAnsi="Times New Roman" w:cs="Times New Roman"/>
          <w:sz w:val="24"/>
          <w:szCs w:val="24"/>
        </w:rPr>
        <w:t>inių</w:t>
      </w:r>
      <w:r w:rsidR="00336810">
        <w:rPr>
          <w:rFonts w:ascii="Times New Roman" w:hAnsi="Times New Roman" w:cs="Times New Roman"/>
          <w:sz w:val="24"/>
          <w:szCs w:val="24"/>
        </w:rPr>
        <w:t xml:space="preserve"> svėrimo akcija 2018/2019 m. m.</w:t>
      </w:r>
      <w:r w:rsidR="00F90261">
        <w:rPr>
          <w:rFonts w:ascii="Times New Roman" w:hAnsi="Times New Roman" w:cs="Times New Roman"/>
          <w:sz w:val="24"/>
          <w:szCs w:val="24"/>
        </w:rPr>
        <w:t>...................................................................................................</w:t>
      </w:r>
      <w:r w:rsidR="00955D6F">
        <w:rPr>
          <w:rFonts w:ascii="Times New Roman" w:hAnsi="Times New Roman" w:cs="Times New Roman"/>
          <w:sz w:val="24"/>
          <w:szCs w:val="24"/>
        </w:rPr>
        <w:t>..............................18</w:t>
      </w:r>
    </w:p>
    <w:p w:rsidR="00C27A08" w:rsidRDefault="00C27A08" w:rsidP="005E2892">
      <w:pPr>
        <w:tabs>
          <w:tab w:val="left" w:pos="2010"/>
        </w:tabs>
        <w:spacing w:after="0" w:line="240" w:lineRule="auto"/>
        <w:jc w:val="both"/>
        <w:rPr>
          <w:rFonts w:ascii="Times New Roman" w:hAnsi="Times New Roman" w:cs="Times New Roman"/>
          <w:sz w:val="24"/>
          <w:szCs w:val="24"/>
        </w:rPr>
      </w:pPr>
      <w:r w:rsidRPr="0041598D">
        <w:rPr>
          <w:rFonts w:ascii="Times New Roman" w:hAnsi="Times New Roman" w:cs="Times New Roman"/>
          <w:b/>
          <w:sz w:val="24"/>
          <w:szCs w:val="24"/>
        </w:rPr>
        <w:t>REKOMENDCIJOS</w:t>
      </w:r>
      <w:r w:rsidR="00F90261" w:rsidRPr="0041598D">
        <w:rPr>
          <w:rFonts w:ascii="Times New Roman" w:hAnsi="Times New Roman" w:cs="Times New Roman"/>
          <w:b/>
          <w:sz w:val="24"/>
          <w:szCs w:val="24"/>
        </w:rPr>
        <w:t>.</w:t>
      </w:r>
      <w:r w:rsidR="00F90261">
        <w:rPr>
          <w:rFonts w:ascii="Times New Roman" w:hAnsi="Times New Roman" w:cs="Times New Roman"/>
          <w:sz w:val="24"/>
          <w:szCs w:val="24"/>
        </w:rPr>
        <w:t>..................................................................</w:t>
      </w:r>
      <w:r w:rsidR="00D82981">
        <w:rPr>
          <w:rFonts w:ascii="Times New Roman" w:hAnsi="Times New Roman" w:cs="Times New Roman"/>
          <w:sz w:val="24"/>
          <w:szCs w:val="24"/>
        </w:rPr>
        <w:t>.</w:t>
      </w:r>
      <w:r w:rsidR="00F90261">
        <w:rPr>
          <w:rFonts w:ascii="Times New Roman" w:hAnsi="Times New Roman" w:cs="Times New Roman"/>
          <w:sz w:val="24"/>
          <w:szCs w:val="24"/>
        </w:rPr>
        <w:t>....................................................19</w:t>
      </w: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955D6F" w:rsidRDefault="00955D6F" w:rsidP="00955D6F">
      <w:pPr>
        <w:spacing w:after="0" w:line="240" w:lineRule="auto"/>
        <w:ind w:firstLine="720"/>
        <w:jc w:val="both"/>
        <w:rPr>
          <w:rFonts w:ascii="Times New Roman" w:hAnsi="Times New Roman"/>
          <w:noProof/>
          <w:sz w:val="24"/>
          <w:szCs w:val="24"/>
          <w:lang w:eastAsia="lt-LT"/>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C27A08" w:rsidRDefault="00C27A08" w:rsidP="00486FDD">
      <w:pPr>
        <w:tabs>
          <w:tab w:val="left" w:pos="2010"/>
        </w:tabs>
        <w:spacing w:after="0"/>
        <w:jc w:val="both"/>
        <w:rPr>
          <w:rFonts w:ascii="Times New Roman" w:hAnsi="Times New Roman" w:cs="Times New Roman"/>
          <w:sz w:val="24"/>
          <w:szCs w:val="24"/>
        </w:rPr>
      </w:pPr>
    </w:p>
    <w:p w:rsidR="006B36B0" w:rsidRDefault="006B36B0" w:rsidP="00C27A08">
      <w:pPr>
        <w:tabs>
          <w:tab w:val="left" w:pos="2010"/>
        </w:tabs>
        <w:spacing w:after="0"/>
        <w:jc w:val="center"/>
        <w:rPr>
          <w:rFonts w:ascii="Times New Roman" w:hAnsi="Times New Roman" w:cs="Times New Roman"/>
          <w:b/>
          <w:sz w:val="28"/>
          <w:szCs w:val="28"/>
        </w:rPr>
      </w:pPr>
    </w:p>
    <w:p w:rsidR="00955D6F" w:rsidRDefault="00955D6F" w:rsidP="00C27A08">
      <w:pPr>
        <w:tabs>
          <w:tab w:val="left" w:pos="2010"/>
        </w:tabs>
        <w:spacing w:after="0"/>
        <w:jc w:val="center"/>
        <w:rPr>
          <w:rFonts w:ascii="Times New Roman" w:hAnsi="Times New Roman" w:cs="Times New Roman"/>
          <w:b/>
          <w:sz w:val="28"/>
          <w:szCs w:val="28"/>
        </w:rPr>
      </w:pPr>
    </w:p>
    <w:p w:rsidR="00955D6F" w:rsidRDefault="00955D6F" w:rsidP="00C27A08">
      <w:pPr>
        <w:tabs>
          <w:tab w:val="left" w:pos="2010"/>
        </w:tabs>
        <w:spacing w:after="0"/>
        <w:jc w:val="center"/>
        <w:rPr>
          <w:rFonts w:ascii="Times New Roman" w:hAnsi="Times New Roman" w:cs="Times New Roman"/>
          <w:b/>
          <w:sz w:val="28"/>
          <w:szCs w:val="28"/>
        </w:rPr>
      </w:pPr>
    </w:p>
    <w:p w:rsidR="00955D6F" w:rsidRDefault="00955D6F" w:rsidP="00C27A08">
      <w:pPr>
        <w:tabs>
          <w:tab w:val="left" w:pos="2010"/>
        </w:tabs>
        <w:spacing w:after="0"/>
        <w:jc w:val="center"/>
        <w:rPr>
          <w:rFonts w:ascii="Times New Roman" w:hAnsi="Times New Roman" w:cs="Times New Roman"/>
          <w:b/>
          <w:sz w:val="28"/>
          <w:szCs w:val="28"/>
        </w:rPr>
      </w:pPr>
    </w:p>
    <w:p w:rsidR="00955D6F" w:rsidRDefault="00955D6F" w:rsidP="00C27A08">
      <w:pPr>
        <w:tabs>
          <w:tab w:val="left" w:pos="2010"/>
        </w:tabs>
        <w:spacing w:after="0"/>
        <w:jc w:val="center"/>
        <w:rPr>
          <w:rFonts w:ascii="Times New Roman" w:hAnsi="Times New Roman" w:cs="Times New Roman"/>
          <w:b/>
          <w:sz w:val="28"/>
          <w:szCs w:val="28"/>
        </w:rPr>
      </w:pPr>
    </w:p>
    <w:p w:rsidR="00DF3852" w:rsidRDefault="00DF3852" w:rsidP="00C27A08">
      <w:pPr>
        <w:tabs>
          <w:tab w:val="left" w:pos="2010"/>
        </w:tabs>
        <w:spacing w:after="0"/>
        <w:jc w:val="center"/>
        <w:rPr>
          <w:rFonts w:ascii="Times New Roman" w:hAnsi="Times New Roman" w:cs="Times New Roman"/>
          <w:b/>
          <w:sz w:val="28"/>
          <w:szCs w:val="28"/>
        </w:rPr>
      </w:pPr>
    </w:p>
    <w:p w:rsidR="00084F65" w:rsidRDefault="00084F65" w:rsidP="00C27A08">
      <w:pPr>
        <w:tabs>
          <w:tab w:val="left" w:pos="2010"/>
        </w:tabs>
        <w:spacing w:after="0"/>
        <w:jc w:val="center"/>
        <w:rPr>
          <w:rFonts w:ascii="Times New Roman" w:hAnsi="Times New Roman" w:cs="Times New Roman"/>
          <w:b/>
          <w:sz w:val="28"/>
          <w:szCs w:val="28"/>
        </w:rPr>
      </w:pPr>
    </w:p>
    <w:p w:rsidR="00C27A08" w:rsidRDefault="00C27A08" w:rsidP="00C27A08">
      <w:pPr>
        <w:tabs>
          <w:tab w:val="left" w:pos="2010"/>
        </w:tabs>
        <w:spacing w:after="0"/>
        <w:jc w:val="center"/>
        <w:rPr>
          <w:rFonts w:ascii="Times New Roman" w:hAnsi="Times New Roman" w:cs="Times New Roman"/>
          <w:b/>
          <w:sz w:val="28"/>
          <w:szCs w:val="28"/>
        </w:rPr>
      </w:pPr>
      <w:r w:rsidRPr="00C27A08">
        <w:rPr>
          <w:rFonts w:ascii="Times New Roman" w:hAnsi="Times New Roman" w:cs="Times New Roman"/>
          <w:b/>
          <w:sz w:val="28"/>
          <w:szCs w:val="28"/>
        </w:rPr>
        <w:lastRenderedPageBreak/>
        <w:t>ĮVADAS</w:t>
      </w:r>
    </w:p>
    <w:p w:rsidR="00C27A08" w:rsidRPr="005E2892" w:rsidRDefault="00C27A08" w:rsidP="00C27A08">
      <w:pPr>
        <w:tabs>
          <w:tab w:val="left" w:pos="2010"/>
        </w:tabs>
        <w:spacing w:after="0"/>
        <w:jc w:val="center"/>
        <w:rPr>
          <w:rFonts w:ascii="Times New Roman" w:hAnsi="Times New Roman" w:cs="Times New Roman"/>
          <w:b/>
          <w:sz w:val="24"/>
          <w:szCs w:val="24"/>
        </w:rPr>
      </w:pPr>
    </w:p>
    <w:p w:rsidR="00C27A08" w:rsidRDefault="00E41B96" w:rsidP="00DF3852">
      <w:pPr>
        <w:tabs>
          <w:tab w:val="left" w:pos="20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Sveikata yra prigimtinė žmogaus teisė visiems piliečiams. Visuomenės sveikatos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savivaldybėje tikslas – nuolat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taip pat vykdyti visuomenės sveikatos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duomenų sklaidą bei tinkamai informuoti savivaldybės politikus, siekiant efektyvaus valstybinių (valstybės perduotų savivaldybėms)</w:t>
      </w:r>
      <w:r w:rsidR="003160D7">
        <w:rPr>
          <w:rFonts w:ascii="Times New Roman" w:hAnsi="Times New Roman" w:cs="Times New Roman"/>
          <w:sz w:val="24"/>
          <w:szCs w:val="24"/>
        </w:rPr>
        <w:t xml:space="preserve"> bei </w:t>
      </w:r>
      <w:proofErr w:type="spellStart"/>
      <w:r w:rsidR="003160D7">
        <w:rPr>
          <w:rFonts w:ascii="Times New Roman" w:hAnsi="Times New Roman" w:cs="Times New Roman"/>
          <w:sz w:val="24"/>
          <w:szCs w:val="24"/>
        </w:rPr>
        <w:t>savarankiškųjų</w:t>
      </w:r>
      <w:proofErr w:type="spellEnd"/>
      <w:r>
        <w:rPr>
          <w:rFonts w:ascii="Times New Roman" w:hAnsi="Times New Roman" w:cs="Times New Roman"/>
          <w:sz w:val="24"/>
          <w:szCs w:val="24"/>
        </w:rPr>
        <w:t xml:space="preserve"> visuomenės sveikatos priežiūros funkcijų įgyvendinimo savivaldybės teritorijoje</w:t>
      </w:r>
      <w:r w:rsidR="003160D7">
        <w:rPr>
          <w:rFonts w:ascii="Times New Roman" w:hAnsi="Times New Roman" w:cs="Times New Roman"/>
          <w:sz w:val="24"/>
          <w:szCs w:val="24"/>
        </w:rPr>
        <w:t xml:space="preserve">. </w:t>
      </w:r>
    </w:p>
    <w:p w:rsidR="003160D7" w:rsidRDefault="003160D7" w:rsidP="00DF3852">
      <w:pPr>
        <w:tabs>
          <w:tab w:val="left" w:pos="20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Savivaldybės visuomenės sveikatos </w:t>
      </w:r>
      <w:proofErr w:type="spellStart"/>
      <w:r>
        <w:rPr>
          <w:rFonts w:ascii="Times New Roman" w:hAnsi="Times New Roman" w:cs="Times New Roman"/>
          <w:sz w:val="24"/>
          <w:szCs w:val="24"/>
        </w:rPr>
        <w:t>stebėsen</w:t>
      </w:r>
      <w:r w:rsidR="003F3505">
        <w:rPr>
          <w:rFonts w:ascii="Times New Roman" w:hAnsi="Times New Roman" w:cs="Times New Roman"/>
          <w:sz w:val="24"/>
          <w:szCs w:val="24"/>
        </w:rPr>
        <w:t>a</w:t>
      </w:r>
      <w:proofErr w:type="spellEnd"/>
      <w:r w:rsidR="002F0770">
        <w:rPr>
          <w:rFonts w:ascii="Times New Roman" w:hAnsi="Times New Roman" w:cs="Times New Roman"/>
          <w:sz w:val="24"/>
          <w:szCs w:val="24"/>
        </w:rPr>
        <w:t xml:space="preserve"> </w:t>
      </w:r>
      <w:r>
        <w:rPr>
          <w:rFonts w:ascii="Times New Roman" w:hAnsi="Times New Roman" w:cs="Times New Roman"/>
          <w:sz w:val="24"/>
          <w:szCs w:val="24"/>
        </w:rPr>
        <w:t xml:space="preserve">- savivaldybių </w:t>
      </w:r>
      <w:r w:rsidR="003F3505">
        <w:rPr>
          <w:rFonts w:ascii="Times New Roman" w:hAnsi="Times New Roman" w:cs="Times New Roman"/>
          <w:sz w:val="24"/>
          <w:szCs w:val="24"/>
        </w:rPr>
        <w:t xml:space="preserve">lygiu, savivaldybių teritorijoje vykdoma visuomenės sveikatos </w:t>
      </w:r>
      <w:proofErr w:type="spellStart"/>
      <w:r w:rsidR="003F3505">
        <w:rPr>
          <w:rFonts w:ascii="Times New Roman" w:hAnsi="Times New Roman" w:cs="Times New Roman"/>
          <w:sz w:val="24"/>
          <w:szCs w:val="24"/>
        </w:rPr>
        <w:t>stebėsena</w:t>
      </w:r>
      <w:proofErr w:type="spellEnd"/>
      <w:r w:rsidR="003F3505">
        <w:rPr>
          <w:rFonts w:ascii="Times New Roman" w:hAnsi="Times New Roman" w:cs="Times New Roman"/>
          <w:sz w:val="24"/>
          <w:szCs w:val="24"/>
        </w:rPr>
        <w:t xml:space="preserve">. Savivaldybės sveikatos </w:t>
      </w:r>
      <w:proofErr w:type="spellStart"/>
      <w:r w:rsidR="003F3505">
        <w:rPr>
          <w:rFonts w:ascii="Times New Roman" w:hAnsi="Times New Roman" w:cs="Times New Roman"/>
          <w:sz w:val="24"/>
          <w:szCs w:val="24"/>
        </w:rPr>
        <w:t>stebėsena</w:t>
      </w:r>
      <w:proofErr w:type="spellEnd"/>
      <w:r w:rsidR="003F3505">
        <w:rPr>
          <w:rFonts w:ascii="Times New Roman" w:hAnsi="Times New Roman" w:cs="Times New Roman"/>
          <w:sz w:val="24"/>
          <w:szCs w:val="24"/>
        </w:rPr>
        <w:t xml:space="preserve"> vykdoma, siekiant gauti išsamią informaciją apie visuomenės sveikatos būklę savivaldybės teritorijoje bei planuoti ir įgyvendinti vietines visuomenės sveikatos prevencijos priemones. </w:t>
      </w:r>
    </w:p>
    <w:p w:rsidR="00C27A08" w:rsidRDefault="003F3505" w:rsidP="00DF3852">
      <w:pPr>
        <w:tabs>
          <w:tab w:val="left" w:pos="20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Ataskaitoje pateikiami ir aprašomi 2017 metų visuomenės sveikatos būklę Plungės rajono savivaldybėje atspindintys duomenys. Pateikiami rodikliai (iš Valstybės deleguotų savivaldybėms visuomenės sveikatos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pagrindinių rodiklių sąrašo projekto) atspindi, kaip įgyvendinami Lietuvos sveikatos programos (toliau</w:t>
      </w:r>
      <w:r w:rsidR="002F0770">
        <w:rPr>
          <w:rFonts w:ascii="Times New Roman" w:hAnsi="Times New Roman" w:cs="Times New Roman"/>
          <w:sz w:val="24"/>
          <w:szCs w:val="24"/>
        </w:rPr>
        <w:t xml:space="preserve"> </w:t>
      </w:r>
      <w:r>
        <w:rPr>
          <w:rFonts w:ascii="Times New Roman" w:hAnsi="Times New Roman" w:cs="Times New Roman"/>
          <w:sz w:val="24"/>
          <w:szCs w:val="24"/>
        </w:rPr>
        <w:t xml:space="preserve">- LSP) tikslai bei jų uždaviniai. LSP iškeltų tikslų ir uždavinių įgyvendinimo savivaldybėse </w:t>
      </w:r>
      <w:proofErr w:type="spellStart"/>
      <w:r>
        <w:rPr>
          <w:rFonts w:ascii="Times New Roman" w:hAnsi="Times New Roman" w:cs="Times New Roman"/>
          <w:sz w:val="24"/>
          <w:szCs w:val="24"/>
        </w:rPr>
        <w:t>stebėsenai</w:t>
      </w:r>
      <w:proofErr w:type="spellEnd"/>
      <w:r>
        <w:rPr>
          <w:rFonts w:ascii="Times New Roman" w:hAnsi="Times New Roman" w:cs="Times New Roman"/>
          <w:sz w:val="24"/>
          <w:szCs w:val="24"/>
        </w:rPr>
        <w:t>, parengtas baigtinis pagrindinių rodiklių sąrašas (toliau- PRS), kurį sudaro 51 unifi</w:t>
      </w:r>
      <w:r w:rsidR="00590B86">
        <w:rPr>
          <w:rFonts w:ascii="Times New Roman" w:hAnsi="Times New Roman" w:cs="Times New Roman"/>
          <w:sz w:val="24"/>
          <w:szCs w:val="24"/>
        </w:rPr>
        <w:t xml:space="preserve">kuotas rodiklis, geriausiai apibūdinantis LSP siekinius (kai kurių PRS projekte numatytų rodiklių šiame sąraše nepateiksime, nes jiems ketinama rengti skaičiavimo metodologijas ir vykdyti jų </w:t>
      </w:r>
      <w:proofErr w:type="spellStart"/>
      <w:r w:rsidR="00590B86">
        <w:rPr>
          <w:rFonts w:ascii="Times New Roman" w:hAnsi="Times New Roman" w:cs="Times New Roman"/>
          <w:sz w:val="24"/>
          <w:szCs w:val="24"/>
        </w:rPr>
        <w:t>stebėseną</w:t>
      </w:r>
      <w:proofErr w:type="spellEnd"/>
      <w:r w:rsidR="00590B86">
        <w:rPr>
          <w:rFonts w:ascii="Times New Roman" w:hAnsi="Times New Roman" w:cs="Times New Roman"/>
          <w:sz w:val="24"/>
          <w:szCs w:val="24"/>
        </w:rPr>
        <w:t>, patvirtinus rodiklių sąrašą ministro įsakymu).</w:t>
      </w:r>
    </w:p>
    <w:p w:rsidR="00590B86" w:rsidRDefault="00590B86" w:rsidP="00DF3852">
      <w:pPr>
        <w:tabs>
          <w:tab w:val="left" w:pos="20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Ataskaita parengta naudojant oficialius statistikos šaltinius. Rengiant ataskaita vadovautasi Higienos instituto Sveikatos informacijos centro (HI SIC) parengtu spaudiniu „Visuomenės sveikatos būklė savivaldybėse 2017 m.“</w:t>
      </w:r>
    </w:p>
    <w:p w:rsidR="00213B07" w:rsidRDefault="00590B86" w:rsidP="00DF3852">
      <w:pPr>
        <w:tabs>
          <w:tab w:val="left" w:pos="20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Visi rinkti duomenys yra gaunami iš Higienos instituto sveikatos informacijos centro, Lietuvos statistikos departamento,</w:t>
      </w:r>
      <w:r w:rsidR="00213B07">
        <w:rPr>
          <w:rFonts w:ascii="Times New Roman" w:hAnsi="Times New Roman" w:cs="Times New Roman"/>
          <w:sz w:val="24"/>
          <w:szCs w:val="24"/>
        </w:rPr>
        <w:t xml:space="preserve"> Šiaulių teritorinių ligonių kasų,</w:t>
      </w:r>
      <w:r>
        <w:rPr>
          <w:rFonts w:ascii="Times New Roman" w:hAnsi="Times New Roman" w:cs="Times New Roman"/>
          <w:sz w:val="24"/>
          <w:szCs w:val="24"/>
        </w:rPr>
        <w:t xml:space="preserve"> UAB „Plungės vandenys“, Aplinkos apsaugos agentūros, Lietuvos respublikos valstybinės darbo inspekcijos, Narkotikų, tabako ir alkoholio kontrolės departamento, Tuberkuliozės registro ir kitų viešai skelbiamų duomenų ir statistinių ataskaitų </w:t>
      </w:r>
      <w:r w:rsidR="00213B07">
        <w:rPr>
          <w:rFonts w:ascii="Times New Roman" w:hAnsi="Times New Roman" w:cs="Times New Roman"/>
          <w:sz w:val="24"/>
          <w:szCs w:val="24"/>
        </w:rPr>
        <w:t xml:space="preserve">, kompiuterizuotų duomenų bazių ir registrų, o viešai neprieinamų duomenų yra prašoma iš jų valdytojų. </w:t>
      </w:r>
    </w:p>
    <w:p w:rsidR="00A51CDD" w:rsidRDefault="00A51CDD" w:rsidP="00213B07">
      <w:pPr>
        <w:tabs>
          <w:tab w:val="left" w:pos="2010"/>
        </w:tabs>
        <w:spacing w:after="0"/>
        <w:ind w:firstLine="567"/>
        <w:jc w:val="both"/>
        <w:rPr>
          <w:rFonts w:ascii="Times New Roman" w:hAnsi="Times New Roman" w:cs="Times New Roman"/>
          <w:sz w:val="24"/>
          <w:szCs w:val="24"/>
        </w:rPr>
      </w:pPr>
    </w:p>
    <w:p w:rsidR="00213B07" w:rsidRDefault="00213B07" w:rsidP="00213B07">
      <w:pPr>
        <w:tabs>
          <w:tab w:val="left" w:pos="2010"/>
        </w:tabs>
        <w:spacing w:after="0"/>
        <w:ind w:firstLine="567"/>
        <w:jc w:val="center"/>
        <w:rPr>
          <w:rFonts w:ascii="Times New Roman" w:hAnsi="Times New Roman" w:cs="Times New Roman"/>
          <w:b/>
          <w:sz w:val="24"/>
          <w:szCs w:val="24"/>
        </w:rPr>
      </w:pPr>
      <w:r w:rsidRPr="00213B07">
        <w:rPr>
          <w:rFonts w:ascii="Times New Roman" w:hAnsi="Times New Roman" w:cs="Times New Roman"/>
          <w:b/>
          <w:sz w:val="24"/>
          <w:szCs w:val="24"/>
        </w:rPr>
        <w:t>DEMOGRAFINĖ SITUACIJA PLUNGĖS RAJONO SAVIVALDYBĖJE</w:t>
      </w:r>
    </w:p>
    <w:p w:rsidR="00A51CDD" w:rsidRDefault="00A51CDD" w:rsidP="00213B07">
      <w:pPr>
        <w:tabs>
          <w:tab w:val="left" w:pos="2010"/>
        </w:tabs>
        <w:spacing w:after="0"/>
        <w:ind w:firstLine="567"/>
        <w:jc w:val="center"/>
        <w:rPr>
          <w:rFonts w:ascii="Times New Roman" w:hAnsi="Times New Roman" w:cs="Times New Roman"/>
          <w:b/>
          <w:sz w:val="24"/>
          <w:szCs w:val="24"/>
        </w:rPr>
      </w:pPr>
    </w:p>
    <w:p w:rsidR="00213B07" w:rsidRDefault="00213B07" w:rsidP="00274BC0">
      <w:pPr>
        <w:tabs>
          <w:tab w:val="left" w:pos="201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2017 metais vidutinis metinis gyventojų skaičius Plungės rajono savivaldybėje buvo 34 222.Vyrai sudarė 47,2 proc., o moterys 52,8 proc. gyventojų. 18</w:t>
      </w:r>
      <w:r w:rsidR="002F0770">
        <w:rPr>
          <w:rFonts w:ascii="Times New Roman" w:hAnsi="Times New Roman" w:cs="Times New Roman"/>
          <w:sz w:val="24"/>
          <w:szCs w:val="24"/>
        </w:rPr>
        <w:t xml:space="preserve"> </w:t>
      </w:r>
      <w:r>
        <w:rPr>
          <w:rFonts w:ascii="Times New Roman" w:hAnsi="Times New Roman" w:cs="Times New Roman"/>
          <w:sz w:val="24"/>
          <w:szCs w:val="24"/>
        </w:rPr>
        <w:t>- 44 m. amžiaus grupė sudaro 29,37 proc. viso gyventojų skaičiaus, šiek tiek daugiau- 29,9 proc. sudaro 45- 64 m. amžiaus grupė. 0- 17 metų amžiaus gyventojų 2017 m. buvo 18,66 proc., o 65 metų ir vyresnių gyventojų</w:t>
      </w:r>
      <w:r w:rsidR="002F0770">
        <w:rPr>
          <w:rFonts w:ascii="Times New Roman" w:hAnsi="Times New Roman" w:cs="Times New Roman"/>
          <w:sz w:val="24"/>
          <w:szCs w:val="24"/>
        </w:rPr>
        <w:t xml:space="preserve"> </w:t>
      </w:r>
      <w:r>
        <w:rPr>
          <w:rFonts w:ascii="Times New Roman" w:hAnsi="Times New Roman" w:cs="Times New Roman"/>
          <w:sz w:val="24"/>
          <w:szCs w:val="24"/>
        </w:rPr>
        <w:t>- 19,46 proc. Darbingo amžiaus 15</w:t>
      </w:r>
      <w:r w:rsidR="002F0770">
        <w:rPr>
          <w:rFonts w:ascii="Times New Roman" w:hAnsi="Times New Roman" w:cs="Times New Roman"/>
          <w:sz w:val="24"/>
          <w:szCs w:val="24"/>
        </w:rPr>
        <w:t xml:space="preserve"> </w:t>
      </w:r>
      <w:r>
        <w:rPr>
          <w:rFonts w:ascii="Times New Roman" w:hAnsi="Times New Roman" w:cs="Times New Roman"/>
          <w:sz w:val="24"/>
          <w:szCs w:val="24"/>
        </w:rPr>
        <w:t>- 64 metų amžiaus žmonių 2017 metais Plungės rajono savivaldybėje buvo 65,34 proc., didesnę dalį gyventojų sudaro- miesto gyventojai (51,59 proc.).</w:t>
      </w:r>
    </w:p>
    <w:p w:rsidR="009E1A4A" w:rsidRDefault="00213B07" w:rsidP="00274BC0">
      <w:pPr>
        <w:tabs>
          <w:tab w:val="left" w:pos="201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2017 metais 1000 gyventojų teko 10,3 gimusių ir 14,6 mirusių asmenų</w:t>
      </w:r>
      <w:r w:rsidR="009E1A4A">
        <w:rPr>
          <w:rFonts w:ascii="Times New Roman" w:hAnsi="Times New Roman" w:cs="Times New Roman"/>
          <w:sz w:val="24"/>
          <w:szCs w:val="24"/>
        </w:rPr>
        <w:t>, tai natūralus gyventojų prieaugis vis dar išlieka neigiamas (-</w:t>
      </w:r>
      <w:r w:rsidR="002F0770">
        <w:rPr>
          <w:rFonts w:ascii="Times New Roman" w:hAnsi="Times New Roman" w:cs="Times New Roman"/>
          <w:sz w:val="24"/>
          <w:szCs w:val="24"/>
        </w:rPr>
        <w:t xml:space="preserve"> </w:t>
      </w:r>
      <w:r w:rsidR="009E1A4A">
        <w:rPr>
          <w:rFonts w:ascii="Times New Roman" w:hAnsi="Times New Roman" w:cs="Times New Roman"/>
          <w:sz w:val="24"/>
          <w:szCs w:val="24"/>
        </w:rPr>
        <w:t>4,3). Apskrityje šis rodiklis yra toks pat, o šalies truputį mažesnis (-</w:t>
      </w:r>
      <w:r w:rsidR="002F0770">
        <w:rPr>
          <w:rFonts w:ascii="Times New Roman" w:hAnsi="Times New Roman" w:cs="Times New Roman"/>
          <w:sz w:val="24"/>
          <w:szCs w:val="24"/>
        </w:rPr>
        <w:t xml:space="preserve"> </w:t>
      </w:r>
      <w:r w:rsidR="009E1A4A">
        <w:rPr>
          <w:rFonts w:ascii="Times New Roman" w:hAnsi="Times New Roman" w:cs="Times New Roman"/>
          <w:sz w:val="24"/>
          <w:szCs w:val="24"/>
        </w:rPr>
        <w:t xml:space="preserve">4,1). Plungės rajono savivaldybėje 2017 m. 1000 gyventojų teko 8 santuokos ir 2,8 ištuokos. </w:t>
      </w:r>
    </w:p>
    <w:p w:rsidR="00213B07" w:rsidRDefault="009E1A4A" w:rsidP="00274BC0">
      <w:pPr>
        <w:tabs>
          <w:tab w:val="left" w:pos="201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Mirtingumo statistika reikšminga, nes ji parodo bendrą gyventojų sveikatos būklę , sveikatos priežiūros kokybę ir veiksmingumą, sveikatos netolygumus ir sveikatos priežiūros prieinamumą. Tad pateikiame mirtingumo rodiklių, pagal pagrindines mirties priežastis analizę</w:t>
      </w:r>
      <w:r w:rsidR="002F0770">
        <w:rPr>
          <w:rFonts w:ascii="Times New Roman" w:hAnsi="Times New Roman" w:cs="Times New Roman"/>
          <w:sz w:val="24"/>
          <w:szCs w:val="24"/>
        </w:rPr>
        <w:t xml:space="preserve"> </w:t>
      </w:r>
      <w:r>
        <w:rPr>
          <w:rFonts w:ascii="Times New Roman" w:hAnsi="Times New Roman" w:cs="Times New Roman"/>
          <w:sz w:val="24"/>
          <w:szCs w:val="24"/>
        </w:rPr>
        <w:t xml:space="preserve">- palyginimą Plungės rajono savivaldybėje ir Lietuvoje (pagal apskaičiuotą Plungės rajono ir Lietuvos vidurkio santykį „šviesoforo“ principu). </w:t>
      </w:r>
    </w:p>
    <w:p w:rsidR="00F912DF" w:rsidRDefault="00F912DF" w:rsidP="00DF3852">
      <w:pPr>
        <w:tabs>
          <w:tab w:val="left" w:pos="20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Plungės rajono savivaldybėje 2017 metais mirtingumas buvo didesnis už šalies vidurkį</w:t>
      </w:r>
      <w:r w:rsidR="004E1DAB">
        <w:rPr>
          <w:rFonts w:ascii="Times New Roman" w:hAnsi="Times New Roman" w:cs="Times New Roman"/>
          <w:sz w:val="24"/>
          <w:szCs w:val="24"/>
        </w:rPr>
        <w:t xml:space="preserve"> 2,5 proc.</w:t>
      </w:r>
      <w:r>
        <w:rPr>
          <w:rFonts w:ascii="Times New Roman" w:hAnsi="Times New Roman" w:cs="Times New Roman"/>
          <w:sz w:val="24"/>
          <w:szCs w:val="24"/>
        </w:rPr>
        <w:t xml:space="preserve"> (Plungės rajono savivaldybėje 100</w:t>
      </w:r>
      <w:r w:rsidR="00DF3852">
        <w:rPr>
          <w:rFonts w:ascii="Times New Roman" w:hAnsi="Times New Roman" w:cs="Times New Roman"/>
          <w:sz w:val="24"/>
          <w:szCs w:val="24"/>
        </w:rPr>
        <w:t xml:space="preserve"> </w:t>
      </w:r>
      <w:r>
        <w:rPr>
          <w:rFonts w:ascii="Times New Roman" w:hAnsi="Times New Roman" w:cs="Times New Roman"/>
          <w:sz w:val="24"/>
          <w:szCs w:val="24"/>
        </w:rPr>
        <w:t xml:space="preserve">tūkst.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teko 1455,2 mirčių, o</w:t>
      </w:r>
      <w:r w:rsidR="00A22E64">
        <w:rPr>
          <w:rFonts w:ascii="Times New Roman" w:hAnsi="Times New Roman" w:cs="Times New Roman"/>
          <w:sz w:val="24"/>
          <w:szCs w:val="24"/>
        </w:rPr>
        <w:t xml:space="preserve"> Lietuvos</w:t>
      </w:r>
      <w:r>
        <w:rPr>
          <w:rFonts w:ascii="Times New Roman" w:hAnsi="Times New Roman" w:cs="Times New Roman"/>
          <w:sz w:val="24"/>
          <w:szCs w:val="24"/>
        </w:rPr>
        <w:t xml:space="preserve"> 1419,25</w:t>
      </w:r>
      <w:r w:rsidR="00A22E64">
        <w:rPr>
          <w:rFonts w:ascii="Times New Roman" w:hAnsi="Times New Roman" w:cs="Times New Roman"/>
          <w:sz w:val="24"/>
          <w:szCs w:val="24"/>
        </w:rPr>
        <w:t xml:space="preserve"> 100 tūkst. </w:t>
      </w:r>
      <w:proofErr w:type="spellStart"/>
      <w:r w:rsidR="00A22E64">
        <w:rPr>
          <w:rFonts w:ascii="Times New Roman" w:hAnsi="Times New Roman" w:cs="Times New Roman"/>
          <w:sz w:val="24"/>
          <w:szCs w:val="24"/>
        </w:rPr>
        <w:t>gyv</w:t>
      </w:r>
      <w:proofErr w:type="spellEnd"/>
      <w:r w:rsidR="00A22E64">
        <w:rPr>
          <w:rFonts w:ascii="Times New Roman" w:hAnsi="Times New Roman" w:cs="Times New Roman"/>
          <w:sz w:val="24"/>
          <w:szCs w:val="24"/>
        </w:rPr>
        <w:t>.</w:t>
      </w:r>
      <w:r>
        <w:rPr>
          <w:rFonts w:ascii="Times New Roman" w:hAnsi="Times New Roman" w:cs="Times New Roman"/>
          <w:sz w:val="24"/>
          <w:szCs w:val="24"/>
        </w:rPr>
        <w:t>). Lyginant su praėjusiais metais, mirtingumas Plungės</w:t>
      </w:r>
      <w:r w:rsidR="00A22E64">
        <w:rPr>
          <w:rFonts w:ascii="Times New Roman" w:hAnsi="Times New Roman" w:cs="Times New Roman"/>
          <w:sz w:val="24"/>
          <w:szCs w:val="24"/>
        </w:rPr>
        <w:t xml:space="preserve"> rajono savivaldybėje išliko panašus</w:t>
      </w:r>
      <w:r>
        <w:rPr>
          <w:rFonts w:ascii="Times New Roman" w:hAnsi="Times New Roman" w:cs="Times New Roman"/>
          <w:sz w:val="24"/>
          <w:szCs w:val="24"/>
        </w:rPr>
        <w:t xml:space="preserve">. Vyrų mirtingumas Plungės rajono savivaldybėje yra didesnis nei moterų, atitinkamai- 1475,15/100 tūkst.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xml:space="preserve">. ir 1437,42/100 tūkst.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(1 pav.)</w:t>
      </w:r>
    </w:p>
    <w:p w:rsidR="00774589" w:rsidRDefault="00057444" w:rsidP="00213B07">
      <w:pPr>
        <w:tabs>
          <w:tab w:val="left" w:pos="2010"/>
        </w:tabs>
        <w:spacing w:after="0"/>
        <w:ind w:firstLine="567"/>
        <w:jc w:val="both"/>
        <w:rPr>
          <w:rFonts w:ascii="Times New Roman" w:hAnsi="Times New Roman" w:cs="Times New Roman"/>
          <w:sz w:val="24"/>
          <w:szCs w:val="24"/>
        </w:rPr>
      </w:pPr>
      <w:r>
        <w:rPr>
          <w:noProof/>
          <w:lang w:eastAsia="lt-LT"/>
        </w:rPr>
        <w:drawing>
          <wp:inline distT="0" distB="0" distL="0" distR="0" wp14:anchorId="384CBFE8" wp14:editId="736AFA4D">
            <wp:extent cx="5695950" cy="3695701"/>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4F65" w:rsidRDefault="00084F65" w:rsidP="00057444">
      <w:pPr>
        <w:tabs>
          <w:tab w:val="left" w:pos="2010"/>
        </w:tabs>
        <w:spacing w:after="0"/>
        <w:ind w:firstLine="567"/>
        <w:jc w:val="center"/>
        <w:rPr>
          <w:rFonts w:ascii="Times New Roman" w:hAnsi="Times New Roman" w:cs="Times New Roman"/>
          <w:b/>
          <w:sz w:val="24"/>
          <w:szCs w:val="24"/>
        </w:rPr>
      </w:pPr>
    </w:p>
    <w:p w:rsidR="00057444" w:rsidRPr="00057444" w:rsidRDefault="00057444" w:rsidP="00057444">
      <w:pPr>
        <w:tabs>
          <w:tab w:val="left" w:pos="2010"/>
        </w:tabs>
        <w:spacing w:after="0"/>
        <w:ind w:firstLine="567"/>
        <w:jc w:val="center"/>
        <w:rPr>
          <w:rFonts w:ascii="Times New Roman" w:hAnsi="Times New Roman" w:cs="Times New Roman"/>
          <w:b/>
          <w:sz w:val="24"/>
          <w:szCs w:val="24"/>
        </w:rPr>
      </w:pPr>
      <w:r w:rsidRPr="00057444">
        <w:rPr>
          <w:rFonts w:ascii="Times New Roman" w:hAnsi="Times New Roman" w:cs="Times New Roman"/>
          <w:b/>
          <w:sz w:val="24"/>
          <w:szCs w:val="24"/>
        </w:rPr>
        <w:t>1 pav. Plungės rajono sav. mirtingumo rodiklių palyginimas su Lietuvos mirtingumo vidurkiu 2017 m.</w:t>
      </w:r>
    </w:p>
    <w:p w:rsidR="00057444" w:rsidRDefault="00057444" w:rsidP="00057444">
      <w:pPr>
        <w:tabs>
          <w:tab w:val="left" w:pos="2010"/>
        </w:tabs>
        <w:spacing w:after="0"/>
        <w:ind w:firstLine="567"/>
        <w:jc w:val="center"/>
        <w:rPr>
          <w:rFonts w:ascii="Times New Roman" w:hAnsi="Times New Roman" w:cs="Times New Roman"/>
          <w:i/>
          <w:sz w:val="24"/>
          <w:szCs w:val="24"/>
        </w:rPr>
      </w:pPr>
      <w:r>
        <w:rPr>
          <w:rFonts w:ascii="Times New Roman" w:hAnsi="Times New Roman" w:cs="Times New Roman"/>
          <w:i/>
          <w:sz w:val="24"/>
          <w:szCs w:val="24"/>
        </w:rPr>
        <w:t>Šaltinis: Higienos instituto sveikatos informavimo centras</w:t>
      </w:r>
    </w:p>
    <w:p w:rsidR="00B45D1A" w:rsidRDefault="00B45D1A" w:rsidP="00057444">
      <w:pPr>
        <w:tabs>
          <w:tab w:val="left" w:pos="2010"/>
        </w:tabs>
        <w:spacing w:after="0"/>
        <w:ind w:firstLine="567"/>
        <w:jc w:val="center"/>
        <w:rPr>
          <w:rFonts w:ascii="Times New Roman" w:hAnsi="Times New Roman" w:cs="Times New Roman"/>
          <w:i/>
          <w:sz w:val="24"/>
          <w:szCs w:val="24"/>
        </w:rPr>
      </w:pPr>
    </w:p>
    <w:p w:rsidR="00B45D1A" w:rsidRDefault="00B45D1A" w:rsidP="00DF3852">
      <w:pPr>
        <w:tabs>
          <w:tab w:val="left" w:pos="20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Pagrindinės mirties priežastys 2017 metais Plungės rajono savivaldybėje: kraujotakos sistemos ligos</w:t>
      </w:r>
      <w:r w:rsidR="00DF3852">
        <w:rPr>
          <w:rFonts w:ascii="Times New Roman" w:hAnsi="Times New Roman" w:cs="Times New Roman"/>
          <w:sz w:val="24"/>
          <w:szCs w:val="24"/>
        </w:rPr>
        <w:t xml:space="preserve"> </w:t>
      </w:r>
      <w:r>
        <w:rPr>
          <w:rFonts w:ascii="Times New Roman" w:hAnsi="Times New Roman" w:cs="Times New Roman"/>
          <w:sz w:val="24"/>
          <w:szCs w:val="24"/>
        </w:rPr>
        <w:t xml:space="preserve">- 911,69/100 tūkst.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piktybiniai navikai</w:t>
      </w:r>
      <w:r w:rsidR="00DF3852">
        <w:rPr>
          <w:rFonts w:ascii="Times New Roman" w:hAnsi="Times New Roman" w:cs="Times New Roman"/>
          <w:sz w:val="24"/>
          <w:szCs w:val="24"/>
        </w:rPr>
        <w:t xml:space="preserve"> </w:t>
      </w:r>
      <w:r>
        <w:rPr>
          <w:rFonts w:ascii="Times New Roman" w:hAnsi="Times New Roman" w:cs="Times New Roman"/>
          <w:sz w:val="24"/>
          <w:szCs w:val="24"/>
        </w:rPr>
        <w:t xml:space="preserve">- 242,53/100 tūkst.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cerebrovaskulinės</w:t>
      </w:r>
      <w:proofErr w:type="spellEnd"/>
      <w:r>
        <w:rPr>
          <w:rFonts w:ascii="Times New Roman" w:hAnsi="Times New Roman" w:cs="Times New Roman"/>
          <w:sz w:val="24"/>
          <w:szCs w:val="24"/>
        </w:rPr>
        <w:t xml:space="preserve"> ligos</w:t>
      </w:r>
      <w:r w:rsidR="00DF3852">
        <w:rPr>
          <w:rFonts w:ascii="Times New Roman" w:hAnsi="Times New Roman" w:cs="Times New Roman"/>
          <w:sz w:val="24"/>
          <w:szCs w:val="24"/>
        </w:rPr>
        <w:t xml:space="preserve"> </w:t>
      </w:r>
      <w:r>
        <w:rPr>
          <w:rFonts w:ascii="Times New Roman" w:hAnsi="Times New Roman" w:cs="Times New Roman"/>
          <w:sz w:val="24"/>
          <w:szCs w:val="24"/>
        </w:rPr>
        <w:t xml:space="preserve">- 137,34/100 tūkst.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xml:space="preserve">. </w:t>
      </w:r>
      <w:r w:rsidR="005A371C">
        <w:rPr>
          <w:rFonts w:ascii="Times New Roman" w:hAnsi="Times New Roman" w:cs="Times New Roman"/>
          <w:sz w:val="24"/>
          <w:szCs w:val="24"/>
        </w:rPr>
        <w:t>2017 m. Plungės rajono savivaldybėje 0-17 metų amžiaus grupėje vienam gyventojui teko 3,2 susirgimų iš jų 2,7 kaip naujai registruotų.</w:t>
      </w:r>
    </w:p>
    <w:p w:rsidR="00626660" w:rsidRDefault="00626660" w:rsidP="00B45D1A">
      <w:pPr>
        <w:tabs>
          <w:tab w:val="left" w:pos="2010"/>
        </w:tabs>
        <w:spacing w:after="0"/>
        <w:ind w:firstLine="567"/>
        <w:jc w:val="both"/>
        <w:rPr>
          <w:rFonts w:ascii="Times New Roman" w:hAnsi="Times New Roman" w:cs="Times New Roman"/>
          <w:sz w:val="24"/>
          <w:szCs w:val="24"/>
        </w:rPr>
      </w:pPr>
    </w:p>
    <w:p w:rsidR="005A371C" w:rsidRDefault="005A371C" w:rsidP="005A371C">
      <w:pPr>
        <w:pStyle w:val="Sraopastraipa"/>
        <w:numPr>
          <w:ilvl w:val="0"/>
          <w:numId w:val="1"/>
        </w:numPr>
        <w:tabs>
          <w:tab w:val="left" w:pos="2010"/>
        </w:tabs>
        <w:spacing w:after="0"/>
        <w:jc w:val="center"/>
        <w:rPr>
          <w:rFonts w:ascii="Times New Roman" w:hAnsi="Times New Roman" w:cs="Times New Roman"/>
          <w:b/>
          <w:sz w:val="24"/>
          <w:szCs w:val="24"/>
        </w:rPr>
      </w:pPr>
      <w:r w:rsidRPr="005A371C">
        <w:rPr>
          <w:rFonts w:ascii="Times New Roman" w:hAnsi="Times New Roman" w:cs="Times New Roman"/>
          <w:b/>
          <w:sz w:val="24"/>
          <w:szCs w:val="24"/>
        </w:rPr>
        <w:t>BENDROJI DALIS</w:t>
      </w:r>
    </w:p>
    <w:p w:rsidR="005A371C" w:rsidRDefault="005A371C" w:rsidP="005A371C">
      <w:pPr>
        <w:pStyle w:val="Sraopastraipa"/>
        <w:numPr>
          <w:ilvl w:val="1"/>
          <w:numId w:val="1"/>
        </w:numPr>
        <w:tabs>
          <w:tab w:val="left" w:pos="2010"/>
        </w:tabs>
        <w:spacing w:after="0"/>
        <w:jc w:val="center"/>
        <w:rPr>
          <w:rFonts w:ascii="Times New Roman" w:hAnsi="Times New Roman" w:cs="Times New Roman"/>
          <w:b/>
          <w:sz w:val="24"/>
          <w:szCs w:val="24"/>
        </w:rPr>
      </w:pPr>
      <w:r>
        <w:rPr>
          <w:rFonts w:ascii="Times New Roman" w:hAnsi="Times New Roman" w:cs="Times New Roman"/>
          <w:b/>
          <w:sz w:val="24"/>
          <w:szCs w:val="24"/>
        </w:rPr>
        <w:t>PAGRINDINIŲ STEBĖSENOS RODIKLIŲ SAVIVALDYBĖSE ANALIZĖ IR INTERPRETAVIMAS („ŠVIESOFORAS“)</w:t>
      </w:r>
    </w:p>
    <w:p w:rsidR="005A371C" w:rsidRDefault="005A371C" w:rsidP="005A371C">
      <w:pPr>
        <w:pStyle w:val="Sraopastraipa"/>
        <w:tabs>
          <w:tab w:val="left" w:pos="2010"/>
        </w:tabs>
        <w:spacing w:after="0"/>
        <w:ind w:left="1287"/>
        <w:rPr>
          <w:rFonts w:ascii="Times New Roman" w:hAnsi="Times New Roman" w:cs="Times New Roman"/>
          <w:sz w:val="24"/>
          <w:szCs w:val="24"/>
        </w:rPr>
      </w:pPr>
    </w:p>
    <w:p w:rsidR="00E33C8B" w:rsidRDefault="005A371C" w:rsidP="00DF3852">
      <w:pPr>
        <w:pStyle w:val="Sraopastraipa"/>
        <w:tabs>
          <w:tab w:val="left" w:pos="201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Pagrindinio rodiklių sąrašo analizė ir interpretavimas („šviesoforo“ kūrimas) atliekamas palyginant praėjusių metų Plungės rajono savivaldybės rodiklius su Lietuvos vidurkiu. Vadovaujantis „šviesoforo“ principu , visos 60 savivaldybių suskirstytos į 5 grupes (po 12 savivaldybių kiekvienoje</w:t>
      </w:r>
      <w:r w:rsidR="00E33C8B">
        <w:rPr>
          <w:rFonts w:ascii="Times New Roman" w:hAnsi="Times New Roman" w:cs="Times New Roman"/>
          <w:sz w:val="24"/>
          <w:szCs w:val="24"/>
        </w:rPr>
        <w:t xml:space="preserve"> grupėje</w:t>
      </w:r>
      <w:r>
        <w:rPr>
          <w:rFonts w:ascii="Times New Roman" w:hAnsi="Times New Roman" w:cs="Times New Roman"/>
          <w:sz w:val="24"/>
          <w:szCs w:val="24"/>
        </w:rPr>
        <w:t>)</w:t>
      </w:r>
      <w:r w:rsidR="00E33C8B">
        <w:rPr>
          <w:rFonts w:ascii="Times New Roman" w:hAnsi="Times New Roman" w:cs="Times New Roman"/>
          <w:sz w:val="24"/>
          <w:szCs w:val="24"/>
        </w:rPr>
        <w:t>:</w:t>
      </w:r>
    </w:p>
    <w:p w:rsidR="005A371C" w:rsidRPr="00E33C8B" w:rsidRDefault="00E33C8B" w:rsidP="00DF3852">
      <w:pPr>
        <w:pStyle w:val="Sraopastraipa"/>
        <w:numPr>
          <w:ilvl w:val="0"/>
          <w:numId w:val="3"/>
        </w:numPr>
        <w:tabs>
          <w:tab w:val="left" w:pos="2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savivaldybių, kuriose stebimas rodiklis atspindi geriausią situaciją, priskiriamos savivaldybių su geriausiais rodikliais grupei ir žymimos </w:t>
      </w:r>
      <w:r>
        <w:rPr>
          <w:rFonts w:ascii="Times New Roman" w:hAnsi="Times New Roman" w:cs="Times New Roman"/>
          <w:color w:val="00B050"/>
          <w:sz w:val="24"/>
          <w:szCs w:val="24"/>
        </w:rPr>
        <w:t xml:space="preserve">žalia </w:t>
      </w:r>
      <w:r w:rsidRPr="0068422D">
        <w:rPr>
          <w:rFonts w:ascii="Times New Roman" w:hAnsi="Times New Roman" w:cs="Times New Roman"/>
          <w:sz w:val="24"/>
          <w:szCs w:val="24"/>
        </w:rPr>
        <w:t>spalva;</w:t>
      </w:r>
    </w:p>
    <w:p w:rsidR="00E33C8B" w:rsidRPr="00E33C8B" w:rsidRDefault="00E33C8B" w:rsidP="00DF3852">
      <w:pPr>
        <w:pStyle w:val="Sraopastraipa"/>
        <w:numPr>
          <w:ilvl w:val="0"/>
          <w:numId w:val="3"/>
        </w:numPr>
        <w:tabs>
          <w:tab w:val="left" w:pos="2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savivaldybių, kuriose stebimas rodiklis atspindi prasčiausią situaciją, priskiriamos savivaldybių su prasčiausiais rodikliais grupei ir žymimos </w:t>
      </w:r>
      <w:r>
        <w:rPr>
          <w:rFonts w:ascii="Times New Roman" w:hAnsi="Times New Roman" w:cs="Times New Roman"/>
          <w:color w:val="C00000"/>
          <w:sz w:val="24"/>
          <w:szCs w:val="24"/>
        </w:rPr>
        <w:t xml:space="preserve">raudona </w:t>
      </w:r>
      <w:r w:rsidRPr="0068422D">
        <w:rPr>
          <w:rFonts w:ascii="Times New Roman" w:hAnsi="Times New Roman" w:cs="Times New Roman"/>
          <w:sz w:val="24"/>
          <w:szCs w:val="24"/>
        </w:rPr>
        <w:t>spalva;</w:t>
      </w:r>
    </w:p>
    <w:p w:rsidR="00E33C8B" w:rsidRPr="005036E8" w:rsidRDefault="005036E8" w:rsidP="005036E8">
      <w:pPr>
        <w:tabs>
          <w:tab w:val="left" w:pos="2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E33C8B" w:rsidRPr="005036E8">
        <w:rPr>
          <w:rFonts w:ascii="Times New Roman" w:hAnsi="Times New Roman" w:cs="Times New Roman"/>
          <w:sz w:val="24"/>
          <w:szCs w:val="24"/>
        </w:rPr>
        <w:t xml:space="preserve">Likusių 36 savivaldybių rodiklio reikšmės žymimos </w:t>
      </w:r>
      <w:r w:rsidR="00E33C8B" w:rsidRPr="0068422D">
        <w:rPr>
          <w:rFonts w:ascii="Times New Roman" w:hAnsi="Times New Roman" w:cs="Times New Roman"/>
          <w:b/>
          <w:color w:val="FFFF00"/>
          <w:sz w:val="24"/>
          <w:szCs w:val="24"/>
        </w:rPr>
        <w:t xml:space="preserve">geltona </w:t>
      </w:r>
      <w:r w:rsidR="00E33C8B" w:rsidRPr="0068422D">
        <w:rPr>
          <w:rFonts w:ascii="Times New Roman" w:hAnsi="Times New Roman" w:cs="Times New Roman"/>
          <w:sz w:val="24"/>
          <w:szCs w:val="24"/>
        </w:rPr>
        <w:t>spalva.</w:t>
      </w:r>
      <w:r w:rsidRPr="005036E8">
        <w:rPr>
          <w:rFonts w:ascii="Times New Roman" w:hAnsi="Times New Roman" w:cs="Times New Roman"/>
          <w:sz w:val="24"/>
          <w:szCs w:val="24"/>
        </w:rPr>
        <w:t xml:space="preserve"> Š</w:t>
      </w:r>
      <w:r w:rsidR="00E33C8B" w:rsidRPr="005036E8">
        <w:rPr>
          <w:rFonts w:ascii="Times New Roman" w:hAnsi="Times New Roman" w:cs="Times New Roman"/>
          <w:sz w:val="24"/>
          <w:szCs w:val="24"/>
        </w:rPr>
        <w:t>ių savivaldybių rodikliai interpretuojami, kaip atitinkantys Lietuvos vidurkį.</w:t>
      </w:r>
    </w:p>
    <w:p w:rsidR="00537673" w:rsidRDefault="00537673" w:rsidP="00DF3852">
      <w:pPr>
        <w:tabs>
          <w:tab w:val="left" w:pos="20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PRS analizės ir interpretavimo tikslas- įvertinti, kokia esama gyventojų sveikatos ir sveiktą lemiančių veiksnių situacija savivaldybėje, įvertinant Lietuvos sveikatos programos tikslų ir uždavinių įgyvendinimo kontekste, ir kokių intervencijų/ priemonių reikia imtis, siekiant stiprinti savivaldybės gyventojų sveikatą ir mažinti sveikatos netolygumus.</w:t>
      </w:r>
    </w:p>
    <w:p w:rsidR="00537673" w:rsidRDefault="00537673" w:rsidP="00DF3852">
      <w:pPr>
        <w:tabs>
          <w:tab w:val="left" w:pos="2010"/>
        </w:tabs>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Plungės rajono savivaldybės gyventojų visuomenės sveikatos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ataskaitoje analizuojamų rodiklių duomenys ir jų interpretavimas pateikiami 1 lentelėje „</w:t>
      </w:r>
      <w:r>
        <w:rPr>
          <w:rFonts w:ascii="Times New Roman" w:hAnsi="Times New Roman" w:cs="Times New Roman"/>
          <w:i/>
          <w:sz w:val="24"/>
          <w:szCs w:val="24"/>
        </w:rPr>
        <w:t xml:space="preserve">Plungės rajono savivaldybės visuomenės sveikatos </w:t>
      </w:r>
      <w:proofErr w:type="spellStart"/>
      <w:r>
        <w:rPr>
          <w:rFonts w:ascii="Times New Roman" w:hAnsi="Times New Roman" w:cs="Times New Roman"/>
          <w:i/>
          <w:sz w:val="24"/>
          <w:szCs w:val="24"/>
        </w:rPr>
        <w:t>stebėsenos</w:t>
      </w:r>
      <w:proofErr w:type="spellEnd"/>
      <w:r>
        <w:rPr>
          <w:rFonts w:ascii="Times New Roman" w:hAnsi="Times New Roman" w:cs="Times New Roman"/>
          <w:i/>
          <w:sz w:val="24"/>
          <w:szCs w:val="24"/>
        </w:rPr>
        <w:t xml:space="preserve"> rodiklių profilis“.</w:t>
      </w:r>
    </w:p>
    <w:p w:rsidR="00537673" w:rsidRPr="00537673" w:rsidRDefault="00537673" w:rsidP="00DF3852">
      <w:pPr>
        <w:tabs>
          <w:tab w:val="left" w:pos="20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Remdamiesi profilio rodikliais ir jų interpretavimo rezultatais („šviesoforas“ ir santykis) pasirinkome 3 pagrindinio rodiklių reikšmes, kurių rodiklis ar pokyčio kryptis prasčiausiai palyginti su kitomis savivaldybės profilio reikšmėmis (raudonos spalvos pagrindinių rodiklių sąrašo reikšmės). Sudarėme Plungės rajono savivaldybės probleminių visuomenės sveikatos </w:t>
      </w:r>
      <w:r w:rsidR="00410CB8">
        <w:rPr>
          <w:rFonts w:ascii="Times New Roman" w:hAnsi="Times New Roman" w:cs="Times New Roman"/>
          <w:sz w:val="24"/>
          <w:szCs w:val="24"/>
        </w:rPr>
        <w:t>sričių sąrašą. Šiose srityse atlikome atrinktų rodiklių detalesnę analizę ir vertinimą. Parengėme pasiūlymus.</w:t>
      </w:r>
      <w:r>
        <w:rPr>
          <w:rFonts w:ascii="Times New Roman" w:hAnsi="Times New Roman" w:cs="Times New Roman"/>
          <w:sz w:val="24"/>
          <w:szCs w:val="24"/>
        </w:rPr>
        <w:t xml:space="preserve"> </w:t>
      </w:r>
    </w:p>
    <w:p w:rsidR="00B56CA6" w:rsidRDefault="00B56CA6" w:rsidP="00274BC0">
      <w:pPr>
        <w:tabs>
          <w:tab w:val="left" w:pos="2010"/>
        </w:tabs>
        <w:spacing w:after="0" w:line="240" w:lineRule="auto"/>
        <w:rPr>
          <w:rFonts w:ascii="Times New Roman" w:hAnsi="Times New Roman" w:cs="Times New Roman"/>
          <w:sz w:val="24"/>
          <w:szCs w:val="24"/>
        </w:rPr>
        <w:sectPr w:rsidR="00B56CA6" w:rsidSect="00B70882">
          <w:headerReference w:type="default" r:id="rId11"/>
          <w:footerReference w:type="default" r:id="rId12"/>
          <w:headerReference w:type="first" r:id="rId13"/>
          <w:footerReference w:type="first" r:id="rId14"/>
          <w:pgSz w:w="11906" w:h="16838" w:code="9"/>
          <w:pgMar w:top="1134" w:right="567" w:bottom="1134" w:left="1701" w:header="567" w:footer="567" w:gutter="0"/>
          <w:pgNumType w:start="1"/>
          <w:cols w:space="1296"/>
          <w:titlePg/>
          <w:docGrid w:linePitch="360"/>
        </w:sectPr>
      </w:pPr>
    </w:p>
    <w:p w:rsidR="00410CB8" w:rsidRDefault="00EE5487" w:rsidP="00274BC0">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Pirmame </w:t>
      </w:r>
      <w:r w:rsidRPr="000C6C99">
        <w:rPr>
          <w:rFonts w:ascii="Times New Roman" w:hAnsi="Times New Roman" w:cs="Times New Roman"/>
          <w:i/>
          <w:sz w:val="24"/>
          <w:szCs w:val="24"/>
        </w:rPr>
        <w:t>(1)</w:t>
      </w:r>
      <w:r>
        <w:rPr>
          <w:rFonts w:ascii="Times New Roman" w:hAnsi="Times New Roman" w:cs="Times New Roman"/>
          <w:sz w:val="24"/>
          <w:szCs w:val="24"/>
        </w:rPr>
        <w:t xml:space="preserve"> lentelės stulpelyje pateikiami PRS suskirstyti pagal Lietuvos sveikatos programoje numatomus įgyvendinti tikslus ir uždavinius. </w:t>
      </w:r>
      <w:r>
        <w:rPr>
          <w:rFonts w:ascii="Times New Roman" w:hAnsi="Times New Roman" w:cs="Times New Roman"/>
          <w:i/>
          <w:sz w:val="24"/>
          <w:szCs w:val="24"/>
        </w:rPr>
        <w:t xml:space="preserve">Antrajame </w:t>
      </w:r>
      <w:r w:rsidRPr="000C6C99">
        <w:rPr>
          <w:rFonts w:ascii="Times New Roman" w:hAnsi="Times New Roman" w:cs="Times New Roman"/>
          <w:i/>
          <w:sz w:val="24"/>
          <w:szCs w:val="24"/>
        </w:rPr>
        <w:t>(2)</w:t>
      </w:r>
      <w:r>
        <w:rPr>
          <w:rFonts w:ascii="Times New Roman" w:hAnsi="Times New Roman" w:cs="Times New Roman"/>
          <w:sz w:val="24"/>
          <w:szCs w:val="24"/>
        </w:rPr>
        <w:t xml:space="preserve"> stulpelyje pateikiami atvejų skaičius savivaldybėje, </w:t>
      </w:r>
      <w:r>
        <w:rPr>
          <w:rFonts w:ascii="Times New Roman" w:hAnsi="Times New Roman" w:cs="Times New Roman"/>
          <w:i/>
          <w:sz w:val="24"/>
          <w:szCs w:val="24"/>
        </w:rPr>
        <w:t>trečiajame</w:t>
      </w:r>
      <w:r>
        <w:rPr>
          <w:rFonts w:ascii="Times New Roman" w:hAnsi="Times New Roman" w:cs="Times New Roman"/>
          <w:sz w:val="24"/>
          <w:szCs w:val="24"/>
        </w:rPr>
        <w:t xml:space="preserve"> </w:t>
      </w:r>
      <w:r w:rsidRPr="000C6C99">
        <w:rPr>
          <w:rFonts w:ascii="Times New Roman" w:hAnsi="Times New Roman" w:cs="Times New Roman"/>
          <w:i/>
          <w:sz w:val="24"/>
          <w:szCs w:val="24"/>
        </w:rPr>
        <w:t>(3)</w:t>
      </w:r>
      <w:r>
        <w:rPr>
          <w:rFonts w:ascii="Times New Roman" w:hAnsi="Times New Roman" w:cs="Times New Roman"/>
          <w:sz w:val="24"/>
          <w:szCs w:val="24"/>
        </w:rPr>
        <w:t xml:space="preserve"> stulpelyje pateikiama Plungės rajono savivaldybės rodiklio reikšmė</w:t>
      </w:r>
      <w:r w:rsidR="000C6C99">
        <w:rPr>
          <w:rFonts w:ascii="Times New Roman" w:hAnsi="Times New Roman" w:cs="Times New Roman"/>
          <w:sz w:val="24"/>
          <w:szCs w:val="24"/>
        </w:rPr>
        <w:t xml:space="preserve">, </w:t>
      </w:r>
      <w:r w:rsidR="000C6C99">
        <w:rPr>
          <w:rFonts w:ascii="Times New Roman" w:hAnsi="Times New Roman" w:cs="Times New Roman"/>
          <w:i/>
          <w:sz w:val="24"/>
          <w:szCs w:val="24"/>
        </w:rPr>
        <w:t xml:space="preserve">ketvirtajame </w:t>
      </w:r>
      <w:r w:rsidR="000C6C99" w:rsidRPr="000C6C99">
        <w:rPr>
          <w:rFonts w:ascii="Times New Roman" w:hAnsi="Times New Roman" w:cs="Times New Roman"/>
          <w:i/>
          <w:sz w:val="24"/>
          <w:szCs w:val="24"/>
        </w:rPr>
        <w:t>(4)</w:t>
      </w:r>
      <w:r w:rsidR="000C6C99">
        <w:rPr>
          <w:rFonts w:ascii="Times New Roman" w:hAnsi="Times New Roman" w:cs="Times New Roman"/>
          <w:sz w:val="24"/>
          <w:szCs w:val="24"/>
        </w:rPr>
        <w:t xml:space="preserve"> atitinkamo rodiklio Lietuvos vidurkio reikšmė, </w:t>
      </w:r>
      <w:r w:rsidR="000C6C99">
        <w:rPr>
          <w:rFonts w:ascii="Times New Roman" w:hAnsi="Times New Roman" w:cs="Times New Roman"/>
          <w:i/>
          <w:sz w:val="24"/>
          <w:szCs w:val="24"/>
        </w:rPr>
        <w:t>penktajame (</w:t>
      </w:r>
      <w:r w:rsidR="000C6C99">
        <w:rPr>
          <w:rFonts w:ascii="Times New Roman" w:hAnsi="Times New Roman" w:cs="Times New Roman"/>
          <w:sz w:val="24"/>
          <w:szCs w:val="24"/>
        </w:rPr>
        <w:t>5</w:t>
      </w:r>
      <w:r w:rsidR="000C6C99">
        <w:rPr>
          <w:rFonts w:ascii="Times New Roman" w:hAnsi="Times New Roman" w:cs="Times New Roman"/>
          <w:i/>
          <w:sz w:val="24"/>
          <w:szCs w:val="24"/>
        </w:rPr>
        <w:t xml:space="preserve">) </w:t>
      </w:r>
      <w:r w:rsidR="000C6C99">
        <w:rPr>
          <w:rFonts w:ascii="Times New Roman" w:hAnsi="Times New Roman" w:cs="Times New Roman"/>
          <w:sz w:val="24"/>
          <w:szCs w:val="24"/>
        </w:rPr>
        <w:t>– mažiausia reik</w:t>
      </w:r>
      <w:r w:rsidR="005A13C4">
        <w:rPr>
          <w:rFonts w:ascii="Times New Roman" w:hAnsi="Times New Roman" w:cs="Times New Roman"/>
          <w:sz w:val="24"/>
          <w:szCs w:val="24"/>
        </w:rPr>
        <w:t>š</w:t>
      </w:r>
      <w:r w:rsidR="000C6C99">
        <w:rPr>
          <w:rFonts w:ascii="Times New Roman" w:hAnsi="Times New Roman" w:cs="Times New Roman"/>
          <w:sz w:val="24"/>
          <w:szCs w:val="24"/>
        </w:rPr>
        <w:t xml:space="preserve">mė tarp savivaldybių, </w:t>
      </w:r>
      <w:r w:rsidR="000C6C99">
        <w:rPr>
          <w:rFonts w:ascii="Times New Roman" w:hAnsi="Times New Roman" w:cs="Times New Roman"/>
          <w:i/>
          <w:sz w:val="24"/>
          <w:szCs w:val="24"/>
        </w:rPr>
        <w:t>šeštajame (6)</w:t>
      </w:r>
      <w:r w:rsidR="0068422D">
        <w:rPr>
          <w:rFonts w:ascii="Times New Roman" w:hAnsi="Times New Roman" w:cs="Times New Roman"/>
          <w:i/>
          <w:sz w:val="24"/>
          <w:szCs w:val="24"/>
        </w:rPr>
        <w:t xml:space="preserve"> </w:t>
      </w:r>
      <w:r w:rsidR="000C6C99">
        <w:rPr>
          <w:rFonts w:ascii="Times New Roman" w:hAnsi="Times New Roman" w:cs="Times New Roman"/>
          <w:i/>
          <w:sz w:val="24"/>
          <w:szCs w:val="24"/>
        </w:rPr>
        <w:t xml:space="preserve">- </w:t>
      </w:r>
      <w:r w:rsidR="000C6C99" w:rsidRPr="000C6C99">
        <w:rPr>
          <w:rFonts w:ascii="Times New Roman" w:hAnsi="Times New Roman" w:cs="Times New Roman"/>
          <w:sz w:val="24"/>
          <w:szCs w:val="24"/>
        </w:rPr>
        <w:t>didžiausia reikšmė tarp visų savivaldybių,</w:t>
      </w:r>
      <w:r w:rsidR="000C6C99">
        <w:rPr>
          <w:rFonts w:ascii="Times New Roman" w:hAnsi="Times New Roman" w:cs="Times New Roman"/>
          <w:sz w:val="24"/>
          <w:szCs w:val="24"/>
        </w:rPr>
        <w:t xml:space="preserve"> </w:t>
      </w:r>
      <w:r w:rsidR="000C6C99">
        <w:rPr>
          <w:rFonts w:ascii="Times New Roman" w:hAnsi="Times New Roman" w:cs="Times New Roman"/>
          <w:i/>
          <w:sz w:val="24"/>
          <w:szCs w:val="24"/>
        </w:rPr>
        <w:t>septintajame (7)</w:t>
      </w:r>
      <w:r w:rsidR="0068422D">
        <w:rPr>
          <w:rFonts w:ascii="Times New Roman" w:hAnsi="Times New Roman" w:cs="Times New Roman"/>
          <w:i/>
          <w:sz w:val="24"/>
          <w:szCs w:val="24"/>
        </w:rPr>
        <w:t xml:space="preserve"> </w:t>
      </w:r>
      <w:r w:rsidR="000C6C99">
        <w:rPr>
          <w:rFonts w:ascii="Times New Roman" w:hAnsi="Times New Roman" w:cs="Times New Roman"/>
          <w:i/>
          <w:sz w:val="24"/>
          <w:szCs w:val="24"/>
        </w:rPr>
        <w:t xml:space="preserve">- </w:t>
      </w:r>
      <w:r w:rsidR="000C6C99">
        <w:rPr>
          <w:rFonts w:ascii="Times New Roman" w:hAnsi="Times New Roman" w:cs="Times New Roman"/>
          <w:sz w:val="24"/>
          <w:szCs w:val="24"/>
        </w:rPr>
        <w:t xml:space="preserve">savivaldybės rodiklio interpretavimas (reikšmės savivaldybėje santykis su Lietuvos vidurkio reikšme ir savivaldybės vietos tarpe visų savivaldybių pavaizdavimas pagal „šviesoforo“ principą. </w:t>
      </w:r>
    </w:p>
    <w:p w:rsidR="000C6C99" w:rsidRPr="0068422D" w:rsidRDefault="000C6C99" w:rsidP="0068422D">
      <w:pPr>
        <w:pStyle w:val="Sraopastraipa"/>
        <w:numPr>
          <w:ilvl w:val="0"/>
          <w:numId w:val="5"/>
        </w:numPr>
        <w:spacing w:after="0" w:line="240" w:lineRule="auto"/>
        <w:ind w:left="714" w:hanging="357"/>
        <w:rPr>
          <w:rFonts w:ascii="Times New Roman" w:hAnsi="Times New Roman" w:cs="Times New Roman"/>
          <w:b/>
          <w:sz w:val="24"/>
          <w:szCs w:val="24"/>
        </w:rPr>
      </w:pPr>
      <w:r w:rsidRPr="0068422D">
        <w:rPr>
          <w:rFonts w:ascii="Times New Roman" w:hAnsi="Times New Roman" w:cs="Times New Roman"/>
          <w:b/>
          <w:sz w:val="24"/>
          <w:szCs w:val="24"/>
        </w:rPr>
        <w:t xml:space="preserve">Lentelė. Plungės rajono savivaldybės visuomenės sveikatos </w:t>
      </w:r>
      <w:proofErr w:type="spellStart"/>
      <w:r w:rsidRPr="0068422D">
        <w:rPr>
          <w:rFonts w:ascii="Times New Roman" w:hAnsi="Times New Roman" w:cs="Times New Roman"/>
          <w:b/>
          <w:sz w:val="24"/>
          <w:szCs w:val="24"/>
        </w:rPr>
        <w:t>stebėsenos</w:t>
      </w:r>
      <w:proofErr w:type="spellEnd"/>
      <w:r w:rsidRPr="0068422D">
        <w:rPr>
          <w:rFonts w:ascii="Times New Roman" w:hAnsi="Times New Roman" w:cs="Times New Roman"/>
          <w:b/>
          <w:sz w:val="24"/>
          <w:szCs w:val="24"/>
        </w:rPr>
        <w:t xml:space="preserve"> profilis 2017m. </w:t>
      </w:r>
    </w:p>
    <w:tbl>
      <w:tblPr>
        <w:tblpPr w:leftFromText="180" w:rightFromText="180" w:vertAnchor="text" w:horzAnchor="margin" w:tblpY="25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337"/>
        <w:gridCol w:w="1559"/>
        <w:gridCol w:w="1418"/>
        <w:gridCol w:w="1134"/>
        <w:gridCol w:w="1276"/>
        <w:gridCol w:w="1309"/>
        <w:gridCol w:w="1242"/>
      </w:tblGrid>
      <w:tr w:rsidR="00410CB8" w:rsidRPr="003F6465" w:rsidTr="0068422D">
        <w:trPr>
          <w:trHeight w:val="40"/>
        </w:trPr>
        <w:tc>
          <w:tcPr>
            <w:tcW w:w="7621" w:type="dxa"/>
            <w:gridSpan w:val="2"/>
            <w:shd w:val="clear" w:color="auto" w:fill="auto"/>
            <w:hideMark/>
          </w:tcPr>
          <w:p w:rsidR="00410CB8" w:rsidRPr="00826566" w:rsidRDefault="00410CB8" w:rsidP="005E2892">
            <w:pPr>
              <w:spacing w:before="240"/>
              <w:contextualSpacing/>
              <w:rPr>
                <w:rFonts w:ascii="Times New Roman" w:eastAsia="Calibri" w:hAnsi="Times New Roman" w:cs="Times New Roman"/>
              </w:rPr>
            </w:pPr>
            <w:r w:rsidRPr="00826566">
              <w:rPr>
                <w:rFonts w:ascii="Times New Roman" w:eastAsia="Calibri" w:hAnsi="Times New Roman" w:cs="Times New Roman"/>
              </w:rPr>
              <w:t> </w:t>
            </w:r>
          </w:p>
          <w:p w:rsidR="00410CB8" w:rsidRPr="003F6465" w:rsidRDefault="00410CB8" w:rsidP="005E2892">
            <w:pPr>
              <w:spacing w:before="240" w:after="0"/>
              <w:contextualSpacing/>
              <w:jc w:val="center"/>
              <w:rPr>
                <w:rFonts w:ascii="Times New Roman" w:eastAsia="Calibri" w:hAnsi="Times New Roman" w:cs="Times New Roman"/>
                <w:b/>
                <w:bCs/>
              </w:rPr>
            </w:pPr>
            <w:r w:rsidRPr="003F6465">
              <w:rPr>
                <w:rFonts w:ascii="Times New Roman" w:eastAsia="Calibri" w:hAnsi="Times New Roman" w:cs="Times New Roman"/>
                <w:b/>
                <w:bCs/>
              </w:rPr>
              <w:t>Rodiklis</w:t>
            </w:r>
          </w:p>
          <w:p w:rsidR="00410CB8" w:rsidRPr="003F6465" w:rsidRDefault="00410CB8" w:rsidP="005E2892">
            <w:pPr>
              <w:spacing w:before="240" w:after="0"/>
              <w:contextualSpacing/>
              <w:jc w:val="center"/>
              <w:rPr>
                <w:rFonts w:ascii="Times New Roman" w:eastAsia="Calibri" w:hAnsi="Times New Roman" w:cs="Times New Roman"/>
                <w:b/>
                <w:bCs/>
              </w:rPr>
            </w:pPr>
            <w:r w:rsidRPr="003F6465">
              <w:rPr>
                <w:rFonts w:ascii="Times New Roman" w:eastAsia="Calibri" w:hAnsi="Times New Roman" w:cs="Times New Roman"/>
                <w:b/>
                <w:bCs/>
              </w:rPr>
              <w:t>(1)</w:t>
            </w:r>
          </w:p>
        </w:tc>
        <w:tc>
          <w:tcPr>
            <w:tcW w:w="1559" w:type="dxa"/>
            <w:shd w:val="clear" w:color="auto" w:fill="auto"/>
          </w:tcPr>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Atvejų skaičius savivaldybėje</w:t>
            </w:r>
          </w:p>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(2)</w:t>
            </w:r>
          </w:p>
        </w:tc>
        <w:tc>
          <w:tcPr>
            <w:tcW w:w="1418" w:type="dxa"/>
            <w:shd w:val="clear" w:color="auto" w:fill="auto"/>
          </w:tcPr>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Savivaldybės reikšmė</w:t>
            </w:r>
          </w:p>
          <w:p w:rsidR="00410CB8" w:rsidRPr="0068422D" w:rsidRDefault="00410CB8" w:rsidP="005E2892">
            <w:pPr>
              <w:spacing w:before="240" w:after="0"/>
              <w:contextualSpacing/>
              <w:jc w:val="center"/>
              <w:rPr>
                <w:rFonts w:ascii="Times New Roman" w:eastAsia="Calibri" w:hAnsi="Times New Roman" w:cs="Times New Roman"/>
                <w:b/>
                <w:bCs/>
                <w:sz w:val="20"/>
                <w:szCs w:val="20"/>
              </w:rPr>
            </w:pPr>
          </w:p>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(3)</w:t>
            </w:r>
          </w:p>
        </w:tc>
        <w:tc>
          <w:tcPr>
            <w:tcW w:w="1134" w:type="dxa"/>
            <w:shd w:val="clear" w:color="auto" w:fill="auto"/>
          </w:tcPr>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Lietuvos rodiklis</w:t>
            </w:r>
          </w:p>
          <w:p w:rsidR="00410CB8" w:rsidRPr="0068422D" w:rsidRDefault="00410CB8" w:rsidP="005E2892">
            <w:pPr>
              <w:spacing w:before="240" w:after="0"/>
              <w:contextualSpacing/>
              <w:jc w:val="center"/>
              <w:rPr>
                <w:rFonts w:ascii="Times New Roman" w:eastAsia="Calibri" w:hAnsi="Times New Roman" w:cs="Times New Roman"/>
                <w:b/>
                <w:bCs/>
                <w:sz w:val="20"/>
                <w:szCs w:val="20"/>
              </w:rPr>
            </w:pPr>
          </w:p>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(4)</w:t>
            </w:r>
          </w:p>
        </w:tc>
        <w:tc>
          <w:tcPr>
            <w:tcW w:w="1276" w:type="dxa"/>
            <w:shd w:val="clear" w:color="auto" w:fill="auto"/>
          </w:tcPr>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Mažiausia rodiklio reikšmė</w:t>
            </w:r>
          </w:p>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(5)</w:t>
            </w:r>
          </w:p>
        </w:tc>
        <w:tc>
          <w:tcPr>
            <w:tcW w:w="1309" w:type="dxa"/>
            <w:shd w:val="clear" w:color="auto" w:fill="auto"/>
          </w:tcPr>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Didžiausia rodiklio reikšmė</w:t>
            </w:r>
          </w:p>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(6)</w:t>
            </w:r>
          </w:p>
        </w:tc>
        <w:tc>
          <w:tcPr>
            <w:tcW w:w="1242" w:type="dxa"/>
            <w:shd w:val="clear" w:color="auto" w:fill="auto"/>
          </w:tcPr>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Santykis savivaldybė/Lietuva</w:t>
            </w:r>
          </w:p>
          <w:p w:rsidR="00410CB8" w:rsidRPr="0068422D" w:rsidRDefault="00410CB8" w:rsidP="005E2892">
            <w:pPr>
              <w:spacing w:before="240" w:after="0"/>
              <w:contextualSpacing/>
              <w:jc w:val="center"/>
              <w:rPr>
                <w:rFonts w:ascii="Times New Roman" w:eastAsia="Calibri" w:hAnsi="Times New Roman" w:cs="Times New Roman"/>
                <w:b/>
                <w:bCs/>
                <w:sz w:val="20"/>
                <w:szCs w:val="20"/>
              </w:rPr>
            </w:pPr>
            <w:r w:rsidRPr="0068422D">
              <w:rPr>
                <w:rFonts w:ascii="Times New Roman" w:eastAsia="Calibri" w:hAnsi="Times New Roman" w:cs="Times New Roman"/>
                <w:b/>
                <w:bCs/>
                <w:sz w:val="20"/>
                <w:szCs w:val="20"/>
              </w:rPr>
              <w:t>(7)</w:t>
            </w:r>
          </w:p>
        </w:tc>
      </w:tr>
      <w:tr w:rsidR="00410CB8" w:rsidRPr="003F6465" w:rsidTr="0068422D">
        <w:trPr>
          <w:trHeight w:val="333"/>
        </w:trPr>
        <w:tc>
          <w:tcPr>
            <w:tcW w:w="15559" w:type="dxa"/>
            <w:gridSpan w:val="8"/>
            <w:shd w:val="clear" w:color="auto" w:fill="FBD4B4" w:themeFill="accent6" w:themeFillTint="66"/>
            <w:noWrap/>
            <w:hideMark/>
          </w:tcPr>
          <w:p w:rsidR="00410CB8" w:rsidRPr="003F6465" w:rsidRDefault="00410CB8" w:rsidP="005E2892">
            <w:pPr>
              <w:spacing w:before="240"/>
              <w:contextualSpacing/>
              <w:rPr>
                <w:rFonts w:ascii="Times New Roman" w:eastAsia="Calibri" w:hAnsi="Times New Roman" w:cs="Times New Roman"/>
              </w:rPr>
            </w:pPr>
            <w:r w:rsidRPr="003F6465">
              <w:rPr>
                <w:rFonts w:ascii="Times New Roman" w:eastAsia="Calibri" w:hAnsi="Times New Roman" w:cs="Times New Roman"/>
              </w:rPr>
              <w:t> </w:t>
            </w:r>
            <w:r w:rsidRPr="0068422D">
              <w:rPr>
                <w:rFonts w:ascii="Times New Roman" w:eastAsia="Calibri" w:hAnsi="Times New Roman" w:cs="Times New Roman"/>
                <w:b/>
                <w:bCs/>
                <w:shd w:val="clear" w:color="auto" w:fill="FBD4B4" w:themeFill="accent6" w:themeFillTint="66"/>
              </w:rPr>
              <w:t>Strateginis tikslas – Pasiekti, kad 2025 metais šalies gyventojai būtų sveikesni ir gyventų ilgiau, pagerėtų gyventojų sveikata ir sumažėtų sveikatos netolygumai</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spacing w:before="240"/>
              <w:contextualSpacing/>
              <w:rPr>
                <w:rFonts w:ascii="Times New Roman" w:eastAsia="Calibri" w:hAnsi="Times New Roman" w:cs="Times New Roman"/>
              </w:rPr>
            </w:pPr>
            <w:r w:rsidRPr="003F6465">
              <w:rPr>
                <w:rFonts w:ascii="Times New Roman" w:eastAsia="Calibri" w:hAnsi="Times New Roman" w:cs="Times New Roman"/>
              </w:rPr>
              <w:t>Vidutinė tikėtina gyvenimo trukmė</w:t>
            </w:r>
          </w:p>
        </w:tc>
        <w:tc>
          <w:tcPr>
            <w:tcW w:w="1559" w:type="dxa"/>
            <w:shd w:val="clear" w:color="auto" w:fill="auto"/>
            <w:noWrap/>
          </w:tcPr>
          <w:p w:rsidR="00410CB8" w:rsidRPr="003F6465" w:rsidRDefault="00410CB8" w:rsidP="005E2892">
            <w:pPr>
              <w:spacing w:before="240" w:after="100" w:afterAutospacing="1"/>
              <w:contextualSpacing/>
              <w:jc w:val="center"/>
              <w:rPr>
                <w:rFonts w:ascii="Times New Roman" w:eastAsia="Calibri" w:hAnsi="Times New Roman" w:cs="Times New Roman"/>
              </w:rPr>
            </w:pPr>
          </w:p>
        </w:tc>
        <w:tc>
          <w:tcPr>
            <w:tcW w:w="1418" w:type="dxa"/>
            <w:shd w:val="clear" w:color="auto" w:fill="auto"/>
            <w:noWrap/>
          </w:tcPr>
          <w:p w:rsidR="00410CB8" w:rsidRPr="003F6465" w:rsidRDefault="00410CB8" w:rsidP="005E2892">
            <w:pPr>
              <w:spacing w:before="240" w:after="100" w:afterAutospacing="1"/>
              <w:contextualSpacing/>
              <w:jc w:val="center"/>
              <w:rPr>
                <w:rFonts w:ascii="Times New Roman" w:eastAsia="Calibri" w:hAnsi="Times New Roman" w:cs="Times New Roman"/>
              </w:rPr>
            </w:pPr>
            <w:r w:rsidRPr="003F6465">
              <w:rPr>
                <w:rFonts w:ascii="Times New Roman" w:eastAsia="Calibri" w:hAnsi="Times New Roman" w:cs="Times New Roman"/>
              </w:rPr>
              <w:t>76,1</w:t>
            </w:r>
          </w:p>
        </w:tc>
        <w:tc>
          <w:tcPr>
            <w:tcW w:w="1134" w:type="dxa"/>
            <w:shd w:val="clear" w:color="auto" w:fill="auto"/>
            <w:noWrap/>
          </w:tcPr>
          <w:p w:rsidR="00410CB8" w:rsidRPr="003F6465" w:rsidRDefault="00410CB8" w:rsidP="005E2892">
            <w:pPr>
              <w:spacing w:before="240" w:after="100" w:afterAutospacing="1"/>
              <w:contextualSpacing/>
              <w:jc w:val="center"/>
              <w:rPr>
                <w:rFonts w:ascii="Times New Roman" w:eastAsia="Calibri" w:hAnsi="Times New Roman" w:cs="Times New Roman"/>
              </w:rPr>
            </w:pPr>
            <w:r w:rsidRPr="003F6465">
              <w:rPr>
                <w:rFonts w:ascii="Times New Roman" w:eastAsia="Calibri" w:hAnsi="Times New Roman" w:cs="Times New Roman"/>
              </w:rPr>
              <w:t>75,7</w:t>
            </w:r>
          </w:p>
        </w:tc>
        <w:tc>
          <w:tcPr>
            <w:tcW w:w="1276" w:type="dxa"/>
            <w:shd w:val="clear" w:color="auto" w:fill="auto"/>
            <w:noWrap/>
          </w:tcPr>
          <w:p w:rsidR="00410CB8" w:rsidRPr="003F6465" w:rsidRDefault="00410CB8" w:rsidP="005E2892">
            <w:pPr>
              <w:spacing w:before="240" w:after="100" w:afterAutospacing="1"/>
              <w:contextualSpacing/>
              <w:jc w:val="center"/>
              <w:rPr>
                <w:rFonts w:ascii="Times New Roman" w:eastAsia="Calibri" w:hAnsi="Times New Roman" w:cs="Times New Roman"/>
              </w:rPr>
            </w:pPr>
            <w:r w:rsidRPr="003F6465">
              <w:rPr>
                <w:rFonts w:ascii="Times New Roman" w:eastAsia="Calibri" w:hAnsi="Times New Roman" w:cs="Times New Roman"/>
              </w:rPr>
              <w:t>70,7</w:t>
            </w:r>
          </w:p>
        </w:tc>
        <w:tc>
          <w:tcPr>
            <w:tcW w:w="1309" w:type="dxa"/>
            <w:shd w:val="clear" w:color="auto" w:fill="auto"/>
            <w:noWrap/>
          </w:tcPr>
          <w:p w:rsidR="00410CB8" w:rsidRPr="003F6465" w:rsidRDefault="00410CB8" w:rsidP="005E2892">
            <w:pPr>
              <w:spacing w:before="240" w:after="100" w:afterAutospacing="1"/>
              <w:contextualSpacing/>
              <w:jc w:val="center"/>
              <w:rPr>
                <w:rFonts w:ascii="Times New Roman" w:eastAsia="Calibri" w:hAnsi="Times New Roman" w:cs="Times New Roman"/>
                <w:bCs/>
              </w:rPr>
            </w:pPr>
            <w:r w:rsidRPr="003F6465">
              <w:rPr>
                <w:rFonts w:ascii="Times New Roman" w:eastAsia="Calibri" w:hAnsi="Times New Roman" w:cs="Times New Roman"/>
                <w:bCs/>
              </w:rPr>
              <w:t>77,8</w:t>
            </w:r>
          </w:p>
        </w:tc>
        <w:tc>
          <w:tcPr>
            <w:tcW w:w="1242" w:type="dxa"/>
            <w:tcBorders>
              <w:bottom w:val="single" w:sz="4" w:space="0" w:color="auto"/>
            </w:tcBorders>
            <w:shd w:val="clear" w:color="auto" w:fill="FFFF00"/>
            <w:noWrap/>
          </w:tcPr>
          <w:p w:rsidR="00410CB8" w:rsidRPr="003F6465" w:rsidRDefault="00410CB8" w:rsidP="005E2892">
            <w:pPr>
              <w:spacing w:before="240" w:after="100" w:afterAutospacing="1"/>
              <w:contextualSpacing/>
              <w:jc w:val="center"/>
              <w:rPr>
                <w:rFonts w:ascii="Times New Roman" w:eastAsia="Calibri" w:hAnsi="Times New Roman" w:cs="Times New Roman"/>
                <w:bCs/>
                <w:highlight w:val="yellow"/>
              </w:rPr>
            </w:pPr>
            <w:r>
              <w:rPr>
                <w:rFonts w:ascii="Times New Roman" w:eastAsia="Calibri" w:hAnsi="Times New Roman" w:cs="Times New Roman"/>
                <w:bCs/>
                <w:highlight w:val="yellow"/>
              </w:rPr>
              <w:t>1,00</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Išvengiamas mirtingumas</w:t>
            </w:r>
          </w:p>
        </w:tc>
        <w:tc>
          <w:tcPr>
            <w:tcW w:w="155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p>
        </w:tc>
        <w:tc>
          <w:tcPr>
            <w:tcW w:w="1418"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28,1</w:t>
            </w:r>
          </w:p>
        </w:tc>
        <w:tc>
          <w:tcPr>
            <w:tcW w:w="1134"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31,3</w:t>
            </w:r>
          </w:p>
        </w:tc>
        <w:tc>
          <w:tcPr>
            <w:tcW w:w="1276"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23,1</w:t>
            </w:r>
          </w:p>
        </w:tc>
        <w:tc>
          <w:tcPr>
            <w:tcW w:w="130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highlight w:val="yellow"/>
              </w:rPr>
            </w:pPr>
            <w:r w:rsidRPr="003F6465">
              <w:rPr>
                <w:rFonts w:ascii="Times New Roman" w:eastAsia="Calibri" w:hAnsi="Times New Roman" w:cs="Times New Roman"/>
              </w:rPr>
              <w:t>39,3</w:t>
            </w:r>
          </w:p>
        </w:tc>
        <w:tc>
          <w:tcPr>
            <w:tcW w:w="1242" w:type="dxa"/>
            <w:shd w:val="clear" w:color="auto" w:fill="00B050"/>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color w:val="000000" w:themeColor="text1"/>
                <w:highlight w:val="yellow"/>
              </w:rPr>
            </w:pPr>
            <w:r w:rsidRPr="003F6465">
              <w:rPr>
                <w:rFonts w:ascii="Times New Roman" w:eastAsia="Calibri" w:hAnsi="Times New Roman" w:cs="Times New Roman"/>
                <w:color w:val="000000" w:themeColor="text1"/>
              </w:rPr>
              <w:t>0,9</w:t>
            </w:r>
          </w:p>
        </w:tc>
      </w:tr>
      <w:tr w:rsidR="00410CB8" w:rsidRPr="003F6465" w:rsidTr="0068422D">
        <w:trPr>
          <w:trHeight w:val="14"/>
        </w:trPr>
        <w:tc>
          <w:tcPr>
            <w:tcW w:w="284" w:type="dxa"/>
            <w:tcBorders>
              <w:right w:val="nil"/>
            </w:tcBorders>
            <w:shd w:val="clear" w:color="auto" w:fill="FBD4B4" w:themeFill="accent6" w:themeFillTint="66"/>
            <w:noWrap/>
            <w:hideMark/>
          </w:tcPr>
          <w:p w:rsidR="00410CB8" w:rsidRPr="005E2892" w:rsidRDefault="00410CB8" w:rsidP="005E2892">
            <w:pPr>
              <w:contextualSpacing/>
              <w:rPr>
                <w:rFonts w:ascii="Times New Roman" w:eastAsia="Calibri" w:hAnsi="Times New Roman" w:cs="Times New Roman"/>
              </w:rPr>
            </w:pPr>
            <w:r w:rsidRPr="005E2892">
              <w:rPr>
                <w:rFonts w:ascii="Times New Roman" w:eastAsia="Calibri" w:hAnsi="Times New Roman" w:cs="Times New Roman"/>
              </w:rPr>
              <w:t> </w:t>
            </w:r>
          </w:p>
        </w:tc>
        <w:tc>
          <w:tcPr>
            <w:tcW w:w="15275" w:type="dxa"/>
            <w:gridSpan w:val="7"/>
            <w:tcBorders>
              <w:left w:val="nil"/>
            </w:tcBorders>
            <w:shd w:val="clear" w:color="auto" w:fill="FBD4B4" w:themeFill="accent6" w:themeFillTint="66"/>
            <w:hideMark/>
          </w:tcPr>
          <w:p w:rsidR="00410CB8" w:rsidRPr="005E2892" w:rsidRDefault="00410CB8" w:rsidP="005E2892">
            <w:pPr>
              <w:spacing w:before="100" w:beforeAutospacing="1" w:after="100" w:afterAutospacing="1"/>
              <w:contextualSpacing/>
              <w:rPr>
                <w:rFonts w:ascii="Times New Roman" w:eastAsia="Calibri" w:hAnsi="Times New Roman" w:cs="Times New Roman"/>
              </w:rPr>
            </w:pPr>
            <w:r w:rsidRPr="005E2892">
              <w:rPr>
                <w:rFonts w:ascii="Times New Roman" w:eastAsia="Calibri" w:hAnsi="Times New Roman" w:cs="Times New Roman"/>
                <w:b/>
                <w:bCs/>
              </w:rPr>
              <w:t>Tikslas 1. Sukurti saugesnę socialinę aplinką, mažinti sveikatos netolygumus ir socialinę atskirtį</w:t>
            </w:r>
          </w:p>
        </w:tc>
      </w:tr>
      <w:tr w:rsidR="00410CB8" w:rsidRPr="003F6465" w:rsidTr="0068422D">
        <w:trPr>
          <w:trHeight w:val="14"/>
        </w:trPr>
        <w:tc>
          <w:tcPr>
            <w:tcW w:w="284" w:type="dxa"/>
            <w:tcBorders>
              <w:right w:val="nil"/>
            </w:tcBorders>
            <w:shd w:val="clear" w:color="auto" w:fill="FBD4B4" w:themeFill="accent6" w:themeFillTint="66"/>
            <w:noWrap/>
          </w:tcPr>
          <w:p w:rsidR="00410CB8" w:rsidRPr="005E2892" w:rsidRDefault="00410CB8" w:rsidP="005E2892">
            <w:pPr>
              <w:contextualSpacing/>
              <w:rPr>
                <w:rFonts w:ascii="Times New Roman" w:eastAsia="Calibri" w:hAnsi="Times New Roman" w:cs="Times New Roman"/>
              </w:rPr>
            </w:pPr>
          </w:p>
        </w:tc>
        <w:tc>
          <w:tcPr>
            <w:tcW w:w="15275" w:type="dxa"/>
            <w:gridSpan w:val="7"/>
            <w:tcBorders>
              <w:left w:val="nil"/>
            </w:tcBorders>
            <w:shd w:val="clear" w:color="auto" w:fill="FBD4B4" w:themeFill="accent6" w:themeFillTint="66"/>
          </w:tcPr>
          <w:p w:rsidR="00410CB8" w:rsidRPr="005E2892" w:rsidRDefault="00410CB8" w:rsidP="005E2892">
            <w:pPr>
              <w:spacing w:before="100" w:beforeAutospacing="1" w:after="100" w:afterAutospacing="1"/>
              <w:contextualSpacing/>
              <w:rPr>
                <w:rFonts w:ascii="Times New Roman" w:eastAsia="Calibri" w:hAnsi="Times New Roman" w:cs="Times New Roman"/>
                <w:b/>
                <w:bCs/>
              </w:rPr>
            </w:pPr>
            <w:r w:rsidRPr="005E2892">
              <w:rPr>
                <w:rFonts w:ascii="Times New Roman" w:eastAsia="Calibri" w:hAnsi="Times New Roman" w:cs="Times New Roman"/>
                <w:b/>
                <w:bCs/>
              </w:rPr>
              <w:t>1.1. Sumažinti skurdo lygį ir nedarbą</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Mirtingumas dėl savižudybių  (X60-X84)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6</w:t>
            </w:r>
          </w:p>
        </w:tc>
        <w:tc>
          <w:tcPr>
            <w:tcW w:w="1418"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17,5</w:t>
            </w:r>
          </w:p>
        </w:tc>
        <w:tc>
          <w:tcPr>
            <w:tcW w:w="1134"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26,5</w:t>
            </w:r>
          </w:p>
        </w:tc>
        <w:tc>
          <w:tcPr>
            <w:tcW w:w="1276"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10,7</w:t>
            </w:r>
          </w:p>
        </w:tc>
        <w:tc>
          <w:tcPr>
            <w:tcW w:w="130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rPr>
            </w:pPr>
            <w:r>
              <w:rPr>
                <w:rFonts w:ascii="Times New Roman" w:eastAsia="Calibri" w:hAnsi="Times New Roman" w:cs="Times New Roman"/>
                <w:bCs/>
              </w:rPr>
              <w:t>64,0</w:t>
            </w:r>
          </w:p>
        </w:tc>
        <w:tc>
          <w:tcPr>
            <w:tcW w:w="1242" w:type="dxa"/>
            <w:tcBorders>
              <w:bottom w:val="single" w:sz="4" w:space="0" w:color="auto"/>
            </w:tcBorders>
            <w:shd w:val="clear" w:color="auto" w:fill="00B050"/>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0,7</w:t>
            </w:r>
          </w:p>
        </w:tc>
      </w:tr>
      <w:tr w:rsidR="00410CB8" w:rsidRPr="003F6465" w:rsidTr="0068422D">
        <w:trPr>
          <w:trHeight w:val="34"/>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Standartizuotas mirtingumas dėl savižudybių  (X60-X84)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6</w:t>
            </w:r>
          </w:p>
        </w:tc>
        <w:tc>
          <w:tcPr>
            <w:tcW w:w="1418"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16,0</w:t>
            </w:r>
          </w:p>
        </w:tc>
        <w:tc>
          <w:tcPr>
            <w:tcW w:w="1134"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25,9</w:t>
            </w:r>
          </w:p>
        </w:tc>
        <w:tc>
          <w:tcPr>
            <w:tcW w:w="1276"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10,7</w:t>
            </w:r>
          </w:p>
        </w:tc>
        <w:tc>
          <w:tcPr>
            <w:tcW w:w="130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rPr>
            </w:pPr>
            <w:r>
              <w:rPr>
                <w:rFonts w:ascii="Times New Roman" w:eastAsia="Calibri" w:hAnsi="Times New Roman" w:cs="Times New Roman"/>
                <w:bCs/>
              </w:rPr>
              <w:t>64,0</w:t>
            </w:r>
          </w:p>
        </w:tc>
        <w:tc>
          <w:tcPr>
            <w:tcW w:w="1242" w:type="dxa"/>
            <w:tcBorders>
              <w:bottom w:val="single" w:sz="4" w:space="0" w:color="auto"/>
            </w:tcBorders>
            <w:shd w:val="clear" w:color="auto" w:fill="00B050"/>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0,7</w:t>
            </w:r>
          </w:p>
        </w:tc>
      </w:tr>
      <w:tr w:rsidR="00410CB8" w:rsidRPr="003F6465" w:rsidTr="0068422D">
        <w:trPr>
          <w:trHeight w:val="3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Mokyklinio amžiaus vaikų, nesimokančių  mokyklose  1 000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278</w:t>
            </w:r>
          </w:p>
        </w:tc>
        <w:tc>
          <w:tcPr>
            <w:tcW w:w="1418"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90,7</w:t>
            </w:r>
          </w:p>
        </w:tc>
        <w:tc>
          <w:tcPr>
            <w:tcW w:w="1134"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76,3</w:t>
            </w:r>
          </w:p>
        </w:tc>
        <w:tc>
          <w:tcPr>
            <w:tcW w:w="1276"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44,7</w:t>
            </w:r>
          </w:p>
        </w:tc>
        <w:tc>
          <w:tcPr>
            <w:tcW w:w="130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rPr>
            </w:pPr>
            <w:r>
              <w:rPr>
                <w:rFonts w:ascii="Times New Roman" w:eastAsia="Calibri" w:hAnsi="Times New Roman" w:cs="Times New Roman"/>
                <w:bCs/>
              </w:rPr>
              <w:t>150,6</w:t>
            </w:r>
          </w:p>
        </w:tc>
        <w:tc>
          <w:tcPr>
            <w:tcW w:w="1242" w:type="dxa"/>
            <w:shd w:val="clear" w:color="auto" w:fill="FFFF00"/>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1,2</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Socialinės rizikos šeimų skaičius 1 000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173</w:t>
            </w:r>
          </w:p>
        </w:tc>
        <w:tc>
          <w:tcPr>
            <w:tcW w:w="1418"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5,1</w:t>
            </w:r>
          </w:p>
        </w:tc>
        <w:tc>
          <w:tcPr>
            <w:tcW w:w="1134"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3,5</w:t>
            </w:r>
          </w:p>
        </w:tc>
        <w:tc>
          <w:tcPr>
            <w:tcW w:w="1276"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1,3</w:t>
            </w:r>
          </w:p>
        </w:tc>
        <w:tc>
          <w:tcPr>
            <w:tcW w:w="130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rPr>
            </w:pPr>
            <w:r>
              <w:rPr>
                <w:rFonts w:ascii="Times New Roman" w:eastAsia="Calibri" w:hAnsi="Times New Roman" w:cs="Times New Roman"/>
                <w:bCs/>
              </w:rPr>
              <w:t>8,2</w:t>
            </w:r>
          </w:p>
        </w:tc>
        <w:tc>
          <w:tcPr>
            <w:tcW w:w="1242" w:type="dxa"/>
            <w:tcBorders>
              <w:bottom w:val="single" w:sz="4" w:space="0" w:color="auto"/>
            </w:tcBorders>
            <w:shd w:val="clear" w:color="auto" w:fill="FFFF00"/>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1,5</w:t>
            </w:r>
          </w:p>
        </w:tc>
      </w:tr>
      <w:tr w:rsidR="00410CB8" w:rsidRPr="003F6465" w:rsidTr="0068422D">
        <w:trPr>
          <w:trHeight w:val="15"/>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Ilgalaikio nedarbo lygis </w:t>
            </w:r>
          </w:p>
        </w:tc>
        <w:tc>
          <w:tcPr>
            <w:tcW w:w="155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p>
        </w:tc>
        <w:tc>
          <w:tcPr>
            <w:tcW w:w="1418"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1,5</w:t>
            </w:r>
          </w:p>
        </w:tc>
        <w:tc>
          <w:tcPr>
            <w:tcW w:w="1134"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2,1</w:t>
            </w:r>
          </w:p>
        </w:tc>
        <w:tc>
          <w:tcPr>
            <w:tcW w:w="1276"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0,3</w:t>
            </w:r>
          </w:p>
        </w:tc>
        <w:tc>
          <w:tcPr>
            <w:tcW w:w="130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rPr>
            </w:pPr>
            <w:r>
              <w:rPr>
                <w:rFonts w:ascii="Times New Roman" w:eastAsia="Calibri" w:hAnsi="Times New Roman" w:cs="Times New Roman"/>
                <w:bCs/>
              </w:rPr>
              <w:t>5,3</w:t>
            </w:r>
          </w:p>
        </w:tc>
        <w:tc>
          <w:tcPr>
            <w:tcW w:w="1242" w:type="dxa"/>
            <w:tcBorders>
              <w:bottom w:val="single" w:sz="4" w:space="0" w:color="auto"/>
            </w:tcBorders>
            <w:shd w:val="clear" w:color="auto" w:fill="00B050"/>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0,7</w:t>
            </w:r>
          </w:p>
        </w:tc>
      </w:tr>
      <w:tr w:rsidR="00410CB8" w:rsidRPr="003F6465" w:rsidTr="0068422D">
        <w:trPr>
          <w:trHeight w:val="16"/>
        </w:trPr>
        <w:tc>
          <w:tcPr>
            <w:tcW w:w="7621" w:type="dxa"/>
            <w:gridSpan w:val="2"/>
            <w:shd w:val="clear" w:color="auto" w:fill="auto"/>
            <w:noWrap/>
          </w:tcPr>
          <w:p w:rsidR="00410CB8" w:rsidRPr="003F6465" w:rsidRDefault="00410CB8" w:rsidP="005E2892">
            <w:pPr>
              <w:spacing w:before="100" w:beforeAutospacing="1" w:after="100" w:afterAutospacing="1"/>
              <w:contextualSpacing/>
              <w:rPr>
                <w:rFonts w:ascii="Times New Roman" w:eastAsia="Calibri" w:hAnsi="Times New Roman" w:cs="Times New Roman"/>
              </w:rPr>
            </w:pPr>
            <w:r w:rsidRPr="003F6465">
              <w:rPr>
                <w:rFonts w:ascii="Times New Roman" w:eastAsia="Calibri" w:hAnsi="Times New Roman" w:cs="Times New Roman"/>
              </w:rPr>
              <w:t xml:space="preserve">Gyventojų skaičiaus pokytis  1 000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p>
        </w:tc>
        <w:tc>
          <w:tcPr>
            <w:tcW w:w="1418"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-20,3</w:t>
            </w:r>
          </w:p>
        </w:tc>
        <w:tc>
          <w:tcPr>
            <w:tcW w:w="1134"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-13,8</w:t>
            </w:r>
          </w:p>
        </w:tc>
        <w:tc>
          <w:tcPr>
            <w:tcW w:w="1276"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rPr>
            </w:pPr>
            <w:r>
              <w:rPr>
                <w:rFonts w:ascii="Times New Roman" w:eastAsia="Calibri" w:hAnsi="Times New Roman" w:cs="Times New Roman"/>
              </w:rPr>
              <w:t>-29,8</w:t>
            </w:r>
          </w:p>
        </w:tc>
        <w:tc>
          <w:tcPr>
            <w:tcW w:w="1309" w:type="dxa"/>
            <w:shd w:val="clear" w:color="auto" w:fill="auto"/>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rPr>
            </w:pPr>
            <w:r>
              <w:rPr>
                <w:rFonts w:ascii="Times New Roman" w:eastAsia="Calibri" w:hAnsi="Times New Roman" w:cs="Times New Roman"/>
                <w:bCs/>
              </w:rPr>
              <w:t>-1,8</w:t>
            </w:r>
          </w:p>
        </w:tc>
        <w:tc>
          <w:tcPr>
            <w:tcW w:w="1242" w:type="dxa"/>
            <w:shd w:val="clear" w:color="auto" w:fill="FFFF00"/>
            <w:noWrap/>
          </w:tcPr>
          <w:p w:rsidR="00410CB8" w:rsidRPr="003F6465" w:rsidRDefault="00410CB8" w:rsidP="005E2892">
            <w:pPr>
              <w:spacing w:before="100" w:beforeAutospacing="1" w:after="100" w:afterAutospacing="1"/>
              <w:contextualSpacing/>
              <w:jc w:val="center"/>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1,5</w:t>
            </w:r>
          </w:p>
        </w:tc>
      </w:tr>
      <w:tr w:rsidR="00410CB8" w:rsidRPr="003F6465" w:rsidTr="0068422D">
        <w:trPr>
          <w:trHeight w:val="11"/>
        </w:trPr>
        <w:tc>
          <w:tcPr>
            <w:tcW w:w="15559" w:type="dxa"/>
            <w:gridSpan w:val="8"/>
            <w:shd w:val="clear" w:color="auto" w:fill="FBD4B4" w:themeFill="accent6" w:themeFillTint="66"/>
            <w:noWrap/>
          </w:tcPr>
          <w:p w:rsidR="00410CB8" w:rsidRPr="003F6465" w:rsidRDefault="00410CB8" w:rsidP="005E2892">
            <w:pPr>
              <w:spacing w:before="100" w:beforeAutospacing="1" w:after="100" w:afterAutospacing="1"/>
              <w:contextualSpacing/>
              <w:rPr>
                <w:rFonts w:ascii="Times New Roman" w:eastAsia="Calibri" w:hAnsi="Times New Roman" w:cs="Times New Roman"/>
                <w:b/>
                <w:bCs/>
              </w:rPr>
            </w:pPr>
            <w:r w:rsidRPr="003F6465">
              <w:rPr>
                <w:rFonts w:ascii="Times New Roman" w:eastAsia="Calibri" w:hAnsi="Times New Roman" w:cs="Times New Roman"/>
                <w:b/>
              </w:rPr>
              <w:t>1.2. Sumažinti socialinę ekonominę gyventojų diferenciaciją šalies ir bendruomenių lygmeniu</w:t>
            </w:r>
          </w:p>
        </w:tc>
      </w:tr>
      <w:tr w:rsidR="00410CB8" w:rsidRPr="003F6465" w:rsidTr="0068422D">
        <w:trPr>
          <w:trHeight w:val="27"/>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Mirtingumas dėl išorinių priežasčių rodiklis (V01-Y98)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29</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80,7</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97,8</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53,7</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166,0</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0,9</w:t>
            </w:r>
          </w:p>
        </w:tc>
      </w:tr>
      <w:tr w:rsidR="00410CB8" w:rsidRPr="003F6465" w:rsidTr="0068422D">
        <w:trPr>
          <w:trHeight w:val="27"/>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proofErr w:type="spellStart"/>
            <w:r w:rsidRPr="003F6465">
              <w:rPr>
                <w:rFonts w:ascii="Times New Roman" w:eastAsia="Calibri" w:hAnsi="Times New Roman" w:cs="Times New Roman"/>
              </w:rPr>
              <w:t>Standarizuotas</w:t>
            </w:r>
            <w:proofErr w:type="spellEnd"/>
            <w:r w:rsidRPr="003F6465">
              <w:rPr>
                <w:rFonts w:ascii="Times New Roman" w:eastAsia="Calibri" w:hAnsi="Times New Roman" w:cs="Times New Roman"/>
              </w:rPr>
              <w:t xml:space="preserve">  mirtingumas dėl išorinių priežasčių rodiklis (V01-Y98) 100 000 gyventojų</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29</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80,7</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97,8</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53,7</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166,0</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0,9</w:t>
            </w:r>
          </w:p>
        </w:tc>
      </w:tr>
      <w:tr w:rsidR="00410CB8" w:rsidRPr="003F6465" w:rsidTr="0068422D">
        <w:trPr>
          <w:trHeight w:val="414"/>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Mokinių,  gaunančių nemokamą maitinimą mokyklose, skaičius  1 000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686</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157,0</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159,1</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69,0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360,9</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1,0</w:t>
            </w:r>
          </w:p>
        </w:tc>
      </w:tr>
      <w:tr w:rsidR="00410CB8" w:rsidRPr="003F6465" w:rsidTr="0068422D">
        <w:trPr>
          <w:trHeight w:val="134"/>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Socialinės pašalpos gavėjų skaičius 1 000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706</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20,6</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26,4</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7,6</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98,8</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0,8</w:t>
            </w:r>
          </w:p>
        </w:tc>
      </w:tr>
      <w:tr w:rsidR="00410CB8" w:rsidRPr="003F6465" w:rsidTr="0068422D">
        <w:trPr>
          <w:trHeight w:val="21"/>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lastRenderedPageBreak/>
              <w:t>Sergamumas tuberkulioze (A15-A19) 10</w:t>
            </w:r>
            <w:r>
              <w:rPr>
                <w:rFonts w:ascii="Times New Roman" w:eastAsia="Calibri" w:hAnsi="Times New Roman" w:cs="Times New Roman"/>
              </w:rPr>
              <w:t>0</w:t>
            </w:r>
            <w:r w:rsidRPr="003F6465">
              <w:rPr>
                <w:rFonts w:ascii="Times New Roman" w:eastAsia="Calibri" w:hAnsi="Times New Roman" w:cs="Times New Roman"/>
              </w:rPr>
              <w:t xml:space="preserve">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19</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49,7</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39,5</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14,9</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86,0</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1,3</w:t>
            </w:r>
          </w:p>
        </w:tc>
      </w:tr>
      <w:tr w:rsidR="00410CB8" w:rsidRPr="003F6465" w:rsidTr="0068422D">
        <w:trPr>
          <w:trHeight w:val="16"/>
        </w:trPr>
        <w:tc>
          <w:tcPr>
            <w:tcW w:w="15559" w:type="dxa"/>
            <w:gridSpan w:val="8"/>
            <w:shd w:val="clear" w:color="auto" w:fill="FBD4B4" w:themeFill="accent6" w:themeFillTint="66"/>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w:t>
            </w:r>
            <w:r w:rsidRPr="003F6465">
              <w:rPr>
                <w:rFonts w:ascii="Times New Roman" w:eastAsia="Calibri" w:hAnsi="Times New Roman" w:cs="Times New Roman"/>
                <w:b/>
                <w:bCs/>
              </w:rPr>
              <w:t>Tikslas 2. Sukurti sveikatai palankią fizinę darbo ir gyvenamąją aplinką</w:t>
            </w:r>
          </w:p>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b/>
                <w:bCs/>
              </w:rPr>
              <w:t>2.1. Kurti saugias darbo ir sveikas buities sąlygas, didinti prekių ir paslaugų vartotojų saugumą</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Asmenų, žuvusių ir sunkiai sužalotų dėl nelaimingų atsitikimų darbe, skaičius 10 000 darbingo amžiaus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2,4</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1,1</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2,4</w:t>
            </w:r>
          </w:p>
        </w:tc>
        <w:tc>
          <w:tcPr>
            <w:tcW w:w="1242" w:type="dxa"/>
            <w:tcBorders>
              <w:bottom w:val="single" w:sz="4" w:space="0" w:color="auto"/>
            </w:tcBorders>
            <w:shd w:val="clear" w:color="auto" w:fill="FF00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2,2</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Susižalojimo dėl nukritimo atvejų skaičius (W00-W19) 65+ m. amžiaus grupėje 10 000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113</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169,6</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145,1</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70,7</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190,0</w:t>
            </w:r>
          </w:p>
        </w:tc>
        <w:tc>
          <w:tcPr>
            <w:tcW w:w="1242" w:type="dxa"/>
            <w:shd w:val="clear" w:color="auto" w:fill="FF00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1,2</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Darbingo amžiaus asmenų, pirmą kartą pripažintų neįgaliais, skaičius 10 000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145</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71,3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68,3</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42,5</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120,1</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1,0</w:t>
            </w:r>
          </w:p>
        </w:tc>
      </w:tr>
      <w:tr w:rsidR="00410CB8" w:rsidRPr="003F6465" w:rsidTr="0068422D">
        <w:trPr>
          <w:trHeight w:val="24"/>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Sergamumas  žarnyno  infekcinėmis  ligomis (A00-A08) 10 000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266</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46,2</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70,7</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16,6</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108,7</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0,7</w:t>
            </w:r>
          </w:p>
        </w:tc>
      </w:tr>
      <w:tr w:rsidR="00410CB8" w:rsidRPr="003F6465" w:rsidTr="0068422D">
        <w:trPr>
          <w:trHeight w:val="15"/>
        </w:trPr>
        <w:tc>
          <w:tcPr>
            <w:tcW w:w="15559" w:type="dxa"/>
            <w:gridSpan w:val="8"/>
            <w:shd w:val="clear" w:color="auto" w:fill="FBD4B4" w:themeFill="accent6" w:themeFillTint="66"/>
            <w:noWrap/>
          </w:tcPr>
          <w:p w:rsidR="00410CB8" w:rsidRPr="003F6465" w:rsidRDefault="00410CB8" w:rsidP="005E2892">
            <w:pPr>
              <w:contextualSpacing/>
              <w:rPr>
                <w:rFonts w:ascii="Times New Roman" w:eastAsia="Calibri" w:hAnsi="Times New Roman" w:cs="Times New Roman"/>
                <w:b/>
                <w:bCs/>
              </w:rPr>
            </w:pPr>
            <w:r w:rsidRPr="003F6465">
              <w:rPr>
                <w:rFonts w:ascii="Times New Roman" w:eastAsia="Calibri" w:hAnsi="Times New Roman" w:cs="Times New Roman"/>
                <w:b/>
                <w:bCs/>
              </w:rPr>
              <w:t>2.2. Kurti palankias sąlygas saugiai leisti laisvalaikį</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Mirtingumas dėl atsitiktinio paskendimo rodiklis (W65-W74)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7,8</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5,0</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25,5</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1,7</w:t>
            </w:r>
          </w:p>
        </w:tc>
      </w:tr>
      <w:tr w:rsidR="00410CB8" w:rsidRPr="003F6465" w:rsidTr="0068422D">
        <w:trPr>
          <w:trHeight w:val="28"/>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Standartizuotas mirtingumas dėl atsitiktinio paskendimo rodiklis (W65-W74)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7,8</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49,</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25,5</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1,7</w:t>
            </w:r>
          </w:p>
        </w:tc>
      </w:tr>
      <w:tr w:rsidR="00410CB8" w:rsidRPr="003F6465" w:rsidTr="0068422D">
        <w:trPr>
          <w:trHeight w:val="29"/>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Mirtingumas dėl nukritimo rodiklis (W00-W19)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20,5</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15,0</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32,9</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1,4</w:t>
            </w:r>
          </w:p>
        </w:tc>
      </w:tr>
      <w:tr w:rsidR="00410CB8" w:rsidRPr="003F6465" w:rsidTr="0068422D">
        <w:trPr>
          <w:trHeight w:val="28"/>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Standartizuotas mirtingumas dėl nukritimo rodiklis (W00-W19)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20,3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14,7</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32,9</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1,4</w:t>
            </w:r>
          </w:p>
        </w:tc>
      </w:tr>
      <w:tr w:rsidR="00410CB8" w:rsidRPr="003F6465" w:rsidTr="0068422D">
        <w:trPr>
          <w:trHeight w:val="13"/>
        </w:trPr>
        <w:tc>
          <w:tcPr>
            <w:tcW w:w="15559" w:type="dxa"/>
            <w:gridSpan w:val="8"/>
            <w:shd w:val="clear" w:color="auto" w:fill="FDE9D9" w:themeFill="accent6" w:themeFillTint="33"/>
            <w:noWrap/>
          </w:tcPr>
          <w:p w:rsidR="00410CB8" w:rsidRPr="003F6465" w:rsidRDefault="00410CB8" w:rsidP="005E2892">
            <w:pPr>
              <w:contextualSpacing/>
              <w:rPr>
                <w:rFonts w:ascii="Times New Roman" w:eastAsia="Calibri" w:hAnsi="Times New Roman" w:cs="Times New Roman"/>
                <w:b/>
                <w:bCs/>
              </w:rPr>
            </w:pPr>
          </w:p>
        </w:tc>
      </w:tr>
      <w:tr w:rsidR="00410CB8" w:rsidRPr="003F6465" w:rsidTr="0068422D">
        <w:trPr>
          <w:trHeight w:val="27"/>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Mirtingumas dėl transporto įvykių rodiklis (V00-V99)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5,8</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8,8</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34,5</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0,7</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w:t>
            </w:r>
            <w:proofErr w:type="spellStart"/>
            <w:r w:rsidRPr="003F6465">
              <w:rPr>
                <w:rFonts w:ascii="Times New Roman" w:eastAsia="Calibri" w:hAnsi="Times New Roman" w:cs="Times New Roman"/>
              </w:rPr>
              <w:t>Stantartizuotas</w:t>
            </w:r>
            <w:proofErr w:type="spellEnd"/>
            <w:r w:rsidRPr="003F6465">
              <w:rPr>
                <w:rFonts w:ascii="Times New Roman" w:eastAsia="Calibri" w:hAnsi="Times New Roman" w:cs="Times New Roman"/>
              </w:rPr>
              <w:t xml:space="preserve">  mirtingumas dėl transporto įvykių rodiklis (V00-V99)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6,2</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8,7</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34,5</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0,7</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Pėsčiųjų mirtingumas dėl transporto įvykių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2,9</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3,2</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12,1</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0,9</w:t>
            </w:r>
          </w:p>
        </w:tc>
      </w:tr>
      <w:tr w:rsidR="00410CB8" w:rsidRPr="003F6465" w:rsidTr="0068422D">
        <w:trPr>
          <w:trHeight w:val="25"/>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Transporto įvykiuose patirtų traumų (V00-V99) skaičius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26</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76,0</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61,8</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22,9</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133,0</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1,2</w:t>
            </w:r>
          </w:p>
        </w:tc>
      </w:tr>
      <w:tr w:rsidR="00410CB8" w:rsidRPr="003F6465" w:rsidTr="0068422D">
        <w:trPr>
          <w:trHeight w:val="17"/>
        </w:trPr>
        <w:tc>
          <w:tcPr>
            <w:tcW w:w="15559" w:type="dxa"/>
            <w:gridSpan w:val="8"/>
            <w:shd w:val="clear" w:color="auto" w:fill="FDE9D9" w:themeFill="accent6" w:themeFillTint="33"/>
            <w:noWrap/>
          </w:tcPr>
          <w:p w:rsidR="00410CB8" w:rsidRPr="003F6465" w:rsidRDefault="00410CB8" w:rsidP="005E2892">
            <w:pPr>
              <w:contextualSpacing/>
              <w:rPr>
                <w:rFonts w:ascii="Times New Roman" w:eastAsia="Calibri" w:hAnsi="Times New Roman" w:cs="Times New Roman"/>
                <w:b/>
                <w:bCs/>
              </w:rPr>
            </w:pPr>
          </w:p>
        </w:tc>
      </w:tr>
      <w:tr w:rsidR="00410CB8" w:rsidRPr="003F6465" w:rsidTr="0068422D">
        <w:trPr>
          <w:trHeight w:val="13"/>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Į atmosferą iš stacionarių taršos šaltinių išmestų teršalų kiekis tenkantis  1 kvadratiniam kilometrui</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675</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1079</w:t>
            </w:r>
          </w:p>
        </w:tc>
        <w:tc>
          <w:tcPr>
            <w:tcW w:w="1276" w:type="dxa"/>
            <w:shd w:val="clear" w:color="auto" w:fill="auto"/>
            <w:noWrap/>
          </w:tcPr>
          <w:p w:rsidR="00410CB8" w:rsidRPr="003F6465" w:rsidRDefault="00410CB8" w:rsidP="005E2892">
            <w:pPr>
              <w:contextualSpacing/>
              <w:rPr>
                <w:rFonts w:ascii="Times New Roman" w:eastAsia="Calibri" w:hAnsi="Times New Roman" w:cs="Times New Roman"/>
              </w:rPr>
            </w:pPr>
            <w:r>
              <w:rPr>
                <w:rFonts w:ascii="Times New Roman" w:eastAsia="Calibri" w:hAnsi="Times New Roman" w:cs="Times New Roman"/>
              </w:rPr>
              <w:t>56</w:t>
            </w:r>
          </w:p>
        </w:tc>
        <w:tc>
          <w:tcPr>
            <w:tcW w:w="1309" w:type="dxa"/>
            <w:shd w:val="clear" w:color="auto" w:fill="auto"/>
            <w:noWrap/>
          </w:tcPr>
          <w:p w:rsidR="00410CB8" w:rsidRPr="003F6465" w:rsidRDefault="00410CB8" w:rsidP="005E2892">
            <w:pPr>
              <w:contextualSpacing/>
              <w:rPr>
                <w:rFonts w:ascii="Times New Roman" w:eastAsia="Calibri" w:hAnsi="Times New Roman" w:cs="Times New Roman"/>
              </w:rPr>
            </w:pPr>
            <w:r>
              <w:rPr>
                <w:rFonts w:ascii="Times New Roman" w:eastAsia="Calibri" w:hAnsi="Times New Roman" w:cs="Times New Roman"/>
              </w:rPr>
              <w:t>40888</w:t>
            </w:r>
          </w:p>
        </w:tc>
        <w:tc>
          <w:tcPr>
            <w:tcW w:w="1242" w:type="dxa"/>
            <w:shd w:val="clear" w:color="auto" w:fill="FFFF00"/>
            <w:noWrap/>
          </w:tcPr>
          <w:p w:rsidR="00410CB8" w:rsidRPr="007A3D08"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0,6</w:t>
            </w:r>
          </w:p>
        </w:tc>
      </w:tr>
      <w:tr w:rsidR="00410CB8" w:rsidRPr="003F6465" w:rsidTr="0068422D">
        <w:trPr>
          <w:trHeight w:val="28"/>
        </w:trPr>
        <w:tc>
          <w:tcPr>
            <w:tcW w:w="7621" w:type="dxa"/>
            <w:gridSpan w:val="2"/>
            <w:shd w:val="clear" w:color="auto" w:fill="auto"/>
            <w:noWrap/>
          </w:tcPr>
          <w:p w:rsidR="00410CB8" w:rsidRPr="003F6465" w:rsidRDefault="00410CB8" w:rsidP="005E2892">
            <w:pPr>
              <w:spacing w:line="240" w:lineRule="auto"/>
              <w:contextualSpacing/>
              <w:rPr>
                <w:rFonts w:ascii="Times New Roman" w:eastAsia="Calibri" w:hAnsi="Times New Roman" w:cs="Times New Roman"/>
              </w:rPr>
            </w:pPr>
            <w:r w:rsidRPr="003F6465">
              <w:rPr>
                <w:rFonts w:ascii="Times New Roman" w:eastAsia="Calibri" w:hAnsi="Times New Roman" w:cs="Times New Roman"/>
              </w:rPr>
              <w:t>Viešai tiekiamo geriamojo  vandens  prieinamumas vartotojams, proc.</w:t>
            </w:r>
          </w:p>
        </w:tc>
        <w:tc>
          <w:tcPr>
            <w:tcW w:w="1559" w:type="dxa"/>
            <w:shd w:val="clear" w:color="auto" w:fill="auto"/>
            <w:noWrap/>
          </w:tcPr>
          <w:p w:rsidR="00410CB8" w:rsidRPr="003F6465" w:rsidRDefault="00410CB8" w:rsidP="005E2892">
            <w:pPr>
              <w:spacing w:line="240" w:lineRule="auto"/>
              <w:contextualSpacing/>
              <w:jc w:val="center"/>
              <w:rPr>
                <w:rFonts w:ascii="Times New Roman" w:eastAsia="Calibri" w:hAnsi="Times New Roman" w:cs="Times New Roman"/>
              </w:rPr>
            </w:pPr>
            <w:r>
              <w:rPr>
                <w:rFonts w:ascii="Times New Roman" w:eastAsia="Calibri" w:hAnsi="Times New Roman" w:cs="Times New Roman"/>
              </w:rPr>
              <w:t>26829</w:t>
            </w:r>
          </w:p>
        </w:tc>
        <w:tc>
          <w:tcPr>
            <w:tcW w:w="1418" w:type="dxa"/>
            <w:shd w:val="clear" w:color="auto" w:fill="auto"/>
            <w:noWrap/>
          </w:tcPr>
          <w:p w:rsidR="00410CB8" w:rsidRPr="003F6465" w:rsidRDefault="00410CB8" w:rsidP="005E2892">
            <w:pPr>
              <w:spacing w:line="240" w:lineRule="auto"/>
              <w:contextualSpacing/>
              <w:jc w:val="center"/>
              <w:rPr>
                <w:rFonts w:ascii="Times New Roman" w:eastAsia="Calibri" w:hAnsi="Times New Roman" w:cs="Times New Roman"/>
              </w:rPr>
            </w:pPr>
            <w:r>
              <w:rPr>
                <w:rFonts w:ascii="Times New Roman" w:eastAsia="Calibri" w:hAnsi="Times New Roman" w:cs="Times New Roman"/>
              </w:rPr>
              <w:t>77,2</w:t>
            </w:r>
          </w:p>
        </w:tc>
        <w:tc>
          <w:tcPr>
            <w:tcW w:w="1134" w:type="dxa"/>
            <w:shd w:val="clear" w:color="auto" w:fill="auto"/>
            <w:noWrap/>
          </w:tcPr>
          <w:p w:rsidR="00410CB8" w:rsidRPr="003F6465" w:rsidRDefault="00410CB8" w:rsidP="005E2892">
            <w:pPr>
              <w:spacing w:line="240" w:lineRule="auto"/>
              <w:contextualSpacing/>
              <w:jc w:val="center"/>
              <w:rPr>
                <w:rFonts w:ascii="Times New Roman" w:eastAsia="Calibri" w:hAnsi="Times New Roman" w:cs="Times New Roman"/>
              </w:rPr>
            </w:pPr>
            <w:r>
              <w:rPr>
                <w:rFonts w:ascii="Times New Roman" w:eastAsia="Calibri" w:hAnsi="Times New Roman" w:cs="Times New Roman"/>
              </w:rPr>
              <w:t>nėra</w:t>
            </w:r>
          </w:p>
        </w:tc>
        <w:tc>
          <w:tcPr>
            <w:tcW w:w="1276" w:type="dxa"/>
            <w:shd w:val="clear" w:color="auto" w:fill="auto"/>
            <w:noWrap/>
          </w:tcPr>
          <w:p w:rsidR="00410CB8" w:rsidRPr="003F6465" w:rsidRDefault="00410CB8" w:rsidP="005E2892">
            <w:pPr>
              <w:spacing w:line="240" w:lineRule="auto"/>
              <w:rPr>
                <w:rFonts w:ascii="Times New Roman" w:hAnsi="Times New Roman" w:cs="Times New Roman"/>
              </w:rPr>
            </w:pPr>
            <w:r>
              <w:rPr>
                <w:rFonts w:ascii="Times New Roman" w:hAnsi="Times New Roman" w:cs="Times New Roman"/>
              </w:rPr>
              <w:t>nėra</w:t>
            </w:r>
          </w:p>
        </w:tc>
        <w:tc>
          <w:tcPr>
            <w:tcW w:w="1309" w:type="dxa"/>
            <w:shd w:val="clear" w:color="auto" w:fill="auto"/>
            <w:noWrap/>
          </w:tcPr>
          <w:p w:rsidR="00410CB8" w:rsidRPr="003F6465" w:rsidRDefault="00410CB8" w:rsidP="005E2892">
            <w:pPr>
              <w:spacing w:line="240" w:lineRule="auto"/>
              <w:rPr>
                <w:rFonts w:ascii="Times New Roman" w:hAnsi="Times New Roman" w:cs="Times New Roman"/>
              </w:rPr>
            </w:pPr>
            <w:r>
              <w:rPr>
                <w:rFonts w:ascii="Times New Roman" w:hAnsi="Times New Roman" w:cs="Times New Roman"/>
              </w:rPr>
              <w:t>nėra</w:t>
            </w:r>
          </w:p>
        </w:tc>
        <w:tc>
          <w:tcPr>
            <w:tcW w:w="1242" w:type="dxa"/>
            <w:shd w:val="clear" w:color="auto" w:fill="auto"/>
            <w:noWrap/>
          </w:tcPr>
          <w:p w:rsidR="00410CB8" w:rsidRPr="003F6465" w:rsidRDefault="00410CB8" w:rsidP="005E2892">
            <w:pPr>
              <w:spacing w:line="240" w:lineRule="auto"/>
              <w:rPr>
                <w:rFonts w:ascii="Times New Roman" w:hAnsi="Times New Roman" w:cs="Times New Roman"/>
              </w:rPr>
            </w:pPr>
            <w:r>
              <w:rPr>
                <w:rFonts w:ascii="Times New Roman" w:hAnsi="Times New Roman" w:cs="Times New Roman"/>
              </w:rPr>
              <w:t>nėra</w:t>
            </w:r>
          </w:p>
        </w:tc>
      </w:tr>
      <w:tr w:rsidR="00410CB8" w:rsidRPr="003F6465" w:rsidTr="0068422D">
        <w:trPr>
          <w:trHeight w:val="291"/>
        </w:trPr>
        <w:tc>
          <w:tcPr>
            <w:tcW w:w="7621" w:type="dxa"/>
            <w:gridSpan w:val="2"/>
            <w:shd w:val="clear" w:color="auto" w:fill="auto"/>
            <w:noWrap/>
            <w:hideMark/>
          </w:tcPr>
          <w:p w:rsidR="00410CB8" w:rsidRPr="003F6465" w:rsidRDefault="00410CB8" w:rsidP="005E2892">
            <w:pPr>
              <w:spacing w:line="240" w:lineRule="auto"/>
              <w:contextualSpacing/>
              <w:rPr>
                <w:rFonts w:ascii="Times New Roman" w:eastAsia="Calibri" w:hAnsi="Times New Roman" w:cs="Times New Roman"/>
              </w:rPr>
            </w:pPr>
            <w:r w:rsidRPr="003F6465">
              <w:rPr>
                <w:rFonts w:ascii="Times New Roman" w:eastAsia="Calibri" w:hAnsi="Times New Roman" w:cs="Times New Roman"/>
              </w:rPr>
              <w:t> Nuotekų tvarkymo paslaugų prieinamumas vartotojams, proc.</w:t>
            </w:r>
          </w:p>
        </w:tc>
        <w:tc>
          <w:tcPr>
            <w:tcW w:w="1559" w:type="dxa"/>
            <w:shd w:val="clear" w:color="auto" w:fill="auto"/>
            <w:noWrap/>
          </w:tcPr>
          <w:p w:rsidR="00410CB8" w:rsidRPr="003F6465" w:rsidRDefault="00410CB8" w:rsidP="005E2892">
            <w:pPr>
              <w:spacing w:line="240" w:lineRule="auto"/>
              <w:contextualSpacing/>
              <w:jc w:val="center"/>
              <w:rPr>
                <w:rFonts w:ascii="Times New Roman" w:eastAsia="Calibri" w:hAnsi="Times New Roman" w:cs="Times New Roman"/>
              </w:rPr>
            </w:pPr>
            <w:r>
              <w:rPr>
                <w:rFonts w:ascii="Times New Roman" w:eastAsia="Calibri" w:hAnsi="Times New Roman" w:cs="Times New Roman"/>
              </w:rPr>
              <w:t>23978</w:t>
            </w:r>
          </w:p>
        </w:tc>
        <w:tc>
          <w:tcPr>
            <w:tcW w:w="1418" w:type="dxa"/>
            <w:shd w:val="clear" w:color="auto" w:fill="auto"/>
            <w:noWrap/>
          </w:tcPr>
          <w:p w:rsidR="00410CB8" w:rsidRPr="003F6465" w:rsidRDefault="00410CB8" w:rsidP="005E2892">
            <w:pPr>
              <w:spacing w:line="240" w:lineRule="auto"/>
              <w:contextualSpacing/>
              <w:jc w:val="center"/>
              <w:rPr>
                <w:rFonts w:ascii="Times New Roman" w:eastAsia="Calibri" w:hAnsi="Times New Roman" w:cs="Times New Roman"/>
              </w:rPr>
            </w:pPr>
            <w:r>
              <w:rPr>
                <w:rFonts w:ascii="Times New Roman" w:eastAsia="Calibri" w:hAnsi="Times New Roman" w:cs="Times New Roman"/>
              </w:rPr>
              <w:t>69,0</w:t>
            </w:r>
          </w:p>
        </w:tc>
        <w:tc>
          <w:tcPr>
            <w:tcW w:w="1134" w:type="dxa"/>
            <w:shd w:val="clear" w:color="auto" w:fill="auto"/>
            <w:noWrap/>
          </w:tcPr>
          <w:p w:rsidR="00410CB8" w:rsidRPr="003F6465" w:rsidRDefault="00410CB8" w:rsidP="005E2892">
            <w:pPr>
              <w:spacing w:line="240" w:lineRule="auto"/>
              <w:contextualSpacing/>
              <w:jc w:val="center"/>
              <w:rPr>
                <w:rFonts w:ascii="Times New Roman" w:eastAsia="Calibri" w:hAnsi="Times New Roman" w:cs="Times New Roman"/>
              </w:rPr>
            </w:pPr>
            <w:r>
              <w:rPr>
                <w:rFonts w:ascii="Times New Roman" w:eastAsia="Calibri" w:hAnsi="Times New Roman" w:cs="Times New Roman"/>
              </w:rPr>
              <w:t>nėra</w:t>
            </w:r>
          </w:p>
        </w:tc>
        <w:tc>
          <w:tcPr>
            <w:tcW w:w="1276" w:type="dxa"/>
            <w:shd w:val="clear" w:color="auto" w:fill="auto"/>
            <w:noWrap/>
          </w:tcPr>
          <w:p w:rsidR="00410CB8" w:rsidRPr="003F6465" w:rsidRDefault="00410CB8" w:rsidP="005E2892">
            <w:pPr>
              <w:spacing w:line="240" w:lineRule="auto"/>
              <w:rPr>
                <w:rFonts w:ascii="Times New Roman" w:hAnsi="Times New Roman" w:cs="Times New Roman"/>
              </w:rPr>
            </w:pPr>
            <w:r>
              <w:rPr>
                <w:rFonts w:ascii="Times New Roman" w:hAnsi="Times New Roman" w:cs="Times New Roman"/>
              </w:rPr>
              <w:t>nėra</w:t>
            </w:r>
          </w:p>
        </w:tc>
        <w:tc>
          <w:tcPr>
            <w:tcW w:w="1309" w:type="dxa"/>
            <w:shd w:val="clear" w:color="auto" w:fill="auto"/>
            <w:noWrap/>
          </w:tcPr>
          <w:p w:rsidR="00410CB8" w:rsidRPr="003F6465" w:rsidRDefault="00410CB8" w:rsidP="005E2892">
            <w:pPr>
              <w:spacing w:line="240" w:lineRule="auto"/>
              <w:rPr>
                <w:rFonts w:ascii="Times New Roman" w:hAnsi="Times New Roman" w:cs="Times New Roman"/>
              </w:rPr>
            </w:pPr>
            <w:r>
              <w:rPr>
                <w:rFonts w:ascii="Times New Roman" w:hAnsi="Times New Roman" w:cs="Times New Roman"/>
              </w:rPr>
              <w:t>nėra</w:t>
            </w:r>
          </w:p>
        </w:tc>
        <w:tc>
          <w:tcPr>
            <w:tcW w:w="1242" w:type="dxa"/>
            <w:shd w:val="clear" w:color="auto" w:fill="auto"/>
            <w:noWrap/>
          </w:tcPr>
          <w:p w:rsidR="00410CB8" w:rsidRPr="003F6465" w:rsidRDefault="00410CB8" w:rsidP="005E2892">
            <w:pPr>
              <w:spacing w:line="240" w:lineRule="auto"/>
              <w:rPr>
                <w:rFonts w:ascii="Times New Roman" w:hAnsi="Times New Roman" w:cs="Times New Roman"/>
              </w:rPr>
            </w:pPr>
            <w:r>
              <w:rPr>
                <w:rFonts w:ascii="Times New Roman" w:hAnsi="Times New Roman" w:cs="Times New Roman"/>
              </w:rPr>
              <w:t>nėra</w:t>
            </w:r>
          </w:p>
        </w:tc>
      </w:tr>
      <w:tr w:rsidR="00410CB8" w:rsidRPr="003F6465" w:rsidTr="0068422D">
        <w:trPr>
          <w:trHeight w:val="16"/>
        </w:trPr>
        <w:tc>
          <w:tcPr>
            <w:tcW w:w="15559" w:type="dxa"/>
            <w:gridSpan w:val="8"/>
            <w:shd w:val="clear" w:color="auto" w:fill="FBD4B4" w:themeFill="accent6" w:themeFillTint="66"/>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w:t>
            </w:r>
            <w:r w:rsidRPr="003F6465">
              <w:rPr>
                <w:rFonts w:ascii="Times New Roman" w:eastAsia="Calibri" w:hAnsi="Times New Roman" w:cs="Times New Roman"/>
                <w:b/>
                <w:bCs/>
              </w:rPr>
              <w:t>Tikslas 3. Formuoti sveiką gyvenseną ir jos kultūrą</w:t>
            </w:r>
          </w:p>
          <w:p w:rsidR="00410CB8" w:rsidRPr="003F6465" w:rsidRDefault="00410CB8" w:rsidP="005E2892">
            <w:pPr>
              <w:contextualSpacing/>
              <w:rPr>
                <w:rFonts w:ascii="Times New Roman" w:eastAsia="Calibri" w:hAnsi="Times New Roman" w:cs="Times New Roman"/>
                <w:b/>
                <w:bCs/>
              </w:rPr>
            </w:pPr>
            <w:r w:rsidRPr="003F6465">
              <w:rPr>
                <w:rFonts w:ascii="Times New Roman" w:eastAsia="Calibri" w:hAnsi="Times New Roman" w:cs="Times New Roman"/>
                <w:b/>
                <w:bCs/>
              </w:rPr>
              <w:t xml:space="preserve">3.1. Sumažinti alkoholinių gėrimų, tabako vartojimą, neteisėtą narkotinių ir psichotropinių medžiagų vartojimą ir prieinamumą </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Mirtingumas  dėl  priežasčių, susijusių  su narkotikų vartojimu, rodiklis  100 000 </w:t>
            </w:r>
            <w:proofErr w:type="spellStart"/>
            <w:r w:rsidRPr="003F6465">
              <w:rPr>
                <w:rFonts w:ascii="Times New Roman" w:eastAsia="Calibri" w:hAnsi="Times New Roman" w:cs="Times New Roman"/>
              </w:rPr>
              <w:lastRenderedPageBreak/>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lastRenderedPageBreak/>
              <w:t>0</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4,0</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13,2</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0,0</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lastRenderedPageBreak/>
              <w:t xml:space="preserve"> Standartizuotas mirtingumas dėl  narkotikų vartojimu, rodiklis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4,0</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13,2</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0,0</w:t>
            </w:r>
          </w:p>
        </w:tc>
      </w:tr>
      <w:tr w:rsidR="00410CB8" w:rsidRPr="003F6465" w:rsidTr="0068422D">
        <w:trPr>
          <w:trHeight w:val="16"/>
        </w:trPr>
        <w:tc>
          <w:tcPr>
            <w:tcW w:w="7621" w:type="dxa"/>
            <w:gridSpan w:val="2"/>
            <w:shd w:val="clear" w:color="auto" w:fill="FFFF00"/>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Mirtingumas dėl priežasčių, susijusių su alkoholio vartojimu, rodiklis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FFFF00"/>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w:t>
            </w:r>
          </w:p>
        </w:tc>
        <w:tc>
          <w:tcPr>
            <w:tcW w:w="1418" w:type="dxa"/>
            <w:shd w:val="clear" w:color="auto" w:fill="FFFF00"/>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17,5</w:t>
            </w:r>
          </w:p>
        </w:tc>
        <w:tc>
          <w:tcPr>
            <w:tcW w:w="1134" w:type="dxa"/>
            <w:shd w:val="clear" w:color="auto" w:fill="FFFF00"/>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20,5</w:t>
            </w:r>
          </w:p>
        </w:tc>
        <w:tc>
          <w:tcPr>
            <w:tcW w:w="1276" w:type="dxa"/>
            <w:shd w:val="clear" w:color="auto" w:fill="FFFF00"/>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3,3</w:t>
            </w:r>
          </w:p>
        </w:tc>
        <w:tc>
          <w:tcPr>
            <w:tcW w:w="1309"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57,8</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0,9</w:t>
            </w:r>
          </w:p>
        </w:tc>
      </w:tr>
      <w:tr w:rsidR="00410CB8" w:rsidRPr="003F6465" w:rsidTr="0068422D">
        <w:trPr>
          <w:trHeight w:val="16"/>
        </w:trPr>
        <w:tc>
          <w:tcPr>
            <w:tcW w:w="7621" w:type="dxa"/>
            <w:gridSpan w:val="2"/>
            <w:shd w:val="clear" w:color="auto" w:fill="FFFF00"/>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Standartizuotas  mirtingumas  dėl alkoholio vartojimu, rodiklis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FFFF00"/>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w:t>
            </w:r>
          </w:p>
        </w:tc>
        <w:tc>
          <w:tcPr>
            <w:tcW w:w="1418" w:type="dxa"/>
            <w:shd w:val="clear" w:color="auto" w:fill="FFFF00"/>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20,2</w:t>
            </w:r>
          </w:p>
        </w:tc>
        <w:tc>
          <w:tcPr>
            <w:tcW w:w="1134" w:type="dxa"/>
            <w:shd w:val="clear" w:color="auto" w:fill="FFFF00"/>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20,2</w:t>
            </w:r>
          </w:p>
        </w:tc>
        <w:tc>
          <w:tcPr>
            <w:tcW w:w="1276" w:type="dxa"/>
            <w:shd w:val="clear" w:color="auto" w:fill="FFFF00"/>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3,3</w:t>
            </w:r>
          </w:p>
        </w:tc>
        <w:tc>
          <w:tcPr>
            <w:tcW w:w="1309"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52,5</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0,9</w:t>
            </w:r>
          </w:p>
        </w:tc>
      </w:tr>
      <w:tr w:rsidR="00410CB8" w:rsidRPr="003F6465" w:rsidTr="0068422D">
        <w:trPr>
          <w:trHeight w:val="27"/>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Nusikalstamos veikos, susijusios su disponavimu narkotinėmis  medžiagomis  ir jų kontrabanda (nusikaltimai)</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26,3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53,6</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281,5</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0,5</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Gyventojų skaičius, tenkantis vienai licencijai verstis mažmenine prekyba tabako gaminiais</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221</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220,8</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186,9</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113,2</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376,9</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1,2</w:t>
            </w:r>
          </w:p>
        </w:tc>
      </w:tr>
      <w:tr w:rsidR="00410CB8" w:rsidRPr="003F6465" w:rsidTr="0068422D">
        <w:trPr>
          <w:trHeight w:val="28"/>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Gyventojų skaičius, tenkantis vienai licencijai verstis mažmenine prekyba alkoholiniais gėrimais</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222</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222,2</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164,7</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109,4</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325,3</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1,3</w:t>
            </w:r>
          </w:p>
        </w:tc>
      </w:tr>
      <w:tr w:rsidR="00410CB8" w:rsidRPr="003F6465" w:rsidTr="0068422D">
        <w:trPr>
          <w:trHeight w:val="13"/>
        </w:trPr>
        <w:tc>
          <w:tcPr>
            <w:tcW w:w="15559" w:type="dxa"/>
            <w:gridSpan w:val="8"/>
            <w:shd w:val="clear" w:color="auto" w:fill="FBD4B4" w:themeFill="accent6" w:themeFillTint="66"/>
            <w:noWrap/>
          </w:tcPr>
          <w:p w:rsidR="00410CB8" w:rsidRPr="003F6465" w:rsidRDefault="00410CB8" w:rsidP="005E2892">
            <w:pPr>
              <w:contextualSpacing/>
              <w:rPr>
                <w:rFonts w:ascii="Times New Roman" w:eastAsia="Calibri" w:hAnsi="Times New Roman" w:cs="Times New Roman"/>
                <w:b/>
                <w:bCs/>
              </w:rPr>
            </w:pPr>
            <w:r w:rsidRPr="003F6465">
              <w:rPr>
                <w:rFonts w:ascii="Times New Roman" w:eastAsia="Calibri" w:hAnsi="Times New Roman" w:cs="Times New Roman"/>
                <w:b/>
              </w:rPr>
              <w:t>3.2. Skatinti sveikos mitybos įpročius</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Kūdikių, išimtinai žindytų iki 6 mėn. amžiaus, dalis</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28</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10,6</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34,3</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10,6</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56,2</w:t>
            </w:r>
          </w:p>
        </w:tc>
        <w:tc>
          <w:tcPr>
            <w:tcW w:w="1242" w:type="dxa"/>
            <w:shd w:val="clear" w:color="auto" w:fill="FF00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0,3</w:t>
            </w:r>
          </w:p>
        </w:tc>
      </w:tr>
      <w:tr w:rsidR="00410CB8" w:rsidRPr="003F6465" w:rsidTr="0068422D">
        <w:trPr>
          <w:trHeight w:val="18"/>
        </w:trPr>
        <w:tc>
          <w:tcPr>
            <w:tcW w:w="15559" w:type="dxa"/>
            <w:gridSpan w:val="8"/>
            <w:shd w:val="clear" w:color="auto" w:fill="FBD4B4" w:themeFill="accent6" w:themeFillTint="66"/>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w:t>
            </w:r>
            <w:r w:rsidRPr="003F6465">
              <w:rPr>
                <w:rFonts w:ascii="Times New Roman" w:eastAsia="Calibri" w:hAnsi="Times New Roman" w:cs="Times New Roman"/>
                <w:b/>
                <w:bCs/>
              </w:rPr>
              <w:t>Tikslas 4. Užtikrinti kokybiškesnę  ir efektyvesnę sveikatos priežiūrą, orientuotą į gyventojų poreikius</w:t>
            </w:r>
          </w:p>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b/>
                <w:bCs/>
              </w:rPr>
              <w:t>4.1. Užtikrinti sveikatos sistemos tvarumą ir kokybę, plėtojant sveikatos technologijas, kurių efektyvumas pagrįstas mokslo įrodymais</w:t>
            </w:r>
          </w:p>
        </w:tc>
      </w:tr>
      <w:tr w:rsidR="00410CB8" w:rsidRPr="003F6465" w:rsidTr="0068422D">
        <w:trPr>
          <w:trHeight w:val="15"/>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Išvengiamų  </w:t>
            </w:r>
            <w:proofErr w:type="spellStart"/>
            <w:r w:rsidRPr="003F6465">
              <w:rPr>
                <w:rFonts w:ascii="Times New Roman" w:eastAsia="Calibri" w:hAnsi="Times New Roman" w:cs="Times New Roman"/>
              </w:rPr>
              <w:t>hospitalizacijų</w:t>
            </w:r>
            <w:proofErr w:type="spellEnd"/>
            <w:r w:rsidRPr="003F6465">
              <w:rPr>
                <w:rFonts w:ascii="Times New Roman" w:eastAsia="Calibri" w:hAnsi="Times New Roman" w:cs="Times New Roman"/>
              </w:rPr>
              <w:t xml:space="preserve">  skaičius 1 000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1385</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40,5</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33,1</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20,9</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56,7</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1,2</w:t>
            </w:r>
          </w:p>
        </w:tc>
      </w:tr>
      <w:tr w:rsidR="00410CB8" w:rsidRPr="003F6465" w:rsidTr="0068422D">
        <w:trPr>
          <w:trHeight w:val="27"/>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Išvengiamų  </w:t>
            </w:r>
            <w:proofErr w:type="spellStart"/>
            <w:r w:rsidRPr="003F6465">
              <w:rPr>
                <w:rFonts w:ascii="Times New Roman" w:eastAsia="Calibri" w:hAnsi="Times New Roman" w:cs="Times New Roman"/>
              </w:rPr>
              <w:t>hospitalizacijų</w:t>
            </w:r>
            <w:proofErr w:type="spellEnd"/>
            <w:r w:rsidRPr="003F6465">
              <w:rPr>
                <w:rFonts w:ascii="Times New Roman" w:eastAsia="Calibri" w:hAnsi="Times New Roman" w:cs="Times New Roman"/>
              </w:rPr>
              <w:t xml:space="preserve">  dėl  diabeto ir jo komplikacijų skaičius 1 000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151</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5,4</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6,5</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4,2</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9,5</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0,8</w:t>
            </w:r>
          </w:p>
        </w:tc>
      </w:tr>
      <w:tr w:rsidR="00410CB8" w:rsidRPr="003F6465" w:rsidTr="0068422D">
        <w:trPr>
          <w:trHeight w:val="14"/>
        </w:trPr>
        <w:tc>
          <w:tcPr>
            <w:tcW w:w="15559" w:type="dxa"/>
            <w:gridSpan w:val="8"/>
            <w:shd w:val="clear" w:color="auto" w:fill="FBD4B4" w:themeFill="accent6" w:themeFillTint="66"/>
            <w:noWrap/>
          </w:tcPr>
          <w:p w:rsidR="00410CB8" w:rsidRPr="003F6465" w:rsidRDefault="00410CB8" w:rsidP="005E2892">
            <w:pPr>
              <w:contextualSpacing/>
              <w:rPr>
                <w:rFonts w:ascii="Times New Roman" w:eastAsia="Calibri" w:hAnsi="Times New Roman" w:cs="Times New Roman"/>
                <w:b/>
                <w:bCs/>
              </w:rPr>
            </w:pPr>
            <w:r w:rsidRPr="003F6465">
              <w:rPr>
                <w:rFonts w:ascii="Times New Roman" w:eastAsia="Calibri" w:hAnsi="Times New Roman" w:cs="Times New Roman"/>
                <w:b/>
              </w:rPr>
              <w:t>4.2. Plėtoti sveikatos infrastruktūrą ir gerinti sveikatos priežiūros paslaugų kokybę, saugą, prieinamumą ir į pacientą orientuotą sveikatos priežiūrą</w:t>
            </w:r>
          </w:p>
        </w:tc>
      </w:tr>
      <w:tr w:rsidR="00410CB8" w:rsidRPr="003F6465" w:rsidTr="0068422D">
        <w:trPr>
          <w:trHeight w:val="14"/>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Slaugytojų, tenkančių vienam gydytojui, skaičius</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231</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2,0</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1,4</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3,9</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1,6</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Šeimos medicinos paslaugas teikiančių gydytojų skaičius 10 000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24</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7,7</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2,3</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13,3</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0,9</w:t>
            </w:r>
          </w:p>
        </w:tc>
      </w:tr>
      <w:tr w:rsidR="00410CB8" w:rsidRPr="003F6465" w:rsidTr="0068422D">
        <w:trPr>
          <w:trHeight w:val="28"/>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Apsilankymų pas gydytojus skaičius, tenkantis vienam gyventojui</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9,1</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6,8</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11,6</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1,0</w:t>
            </w:r>
          </w:p>
        </w:tc>
      </w:tr>
      <w:tr w:rsidR="00410CB8" w:rsidRPr="003F6465" w:rsidTr="0068422D">
        <w:trPr>
          <w:trHeight w:val="17"/>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Sergamumas  vaistams  atsparia tuberkulioze  10</w:t>
            </w:r>
            <w:r>
              <w:rPr>
                <w:rFonts w:ascii="Times New Roman" w:eastAsia="Calibri" w:hAnsi="Times New Roman" w:cs="Times New Roman"/>
              </w:rPr>
              <w:t>0</w:t>
            </w:r>
            <w:r w:rsidRPr="003F6465">
              <w:rPr>
                <w:rFonts w:ascii="Times New Roman" w:eastAsia="Calibri" w:hAnsi="Times New Roman" w:cs="Times New Roman"/>
              </w:rPr>
              <w:t xml:space="preserve">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3,9</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14,8</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0,0</w:t>
            </w:r>
          </w:p>
        </w:tc>
      </w:tr>
      <w:tr w:rsidR="00410CB8" w:rsidRPr="003F6465" w:rsidTr="0068422D">
        <w:trPr>
          <w:trHeight w:val="26"/>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Sergamumas ŽIV (B20-B24) ir  lytiškai plintančiomis ligomis (A50-A64)  10 000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3,1</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8,0</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0,1</w:t>
            </w:r>
          </w:p>
        </w:tc>
      </w:tr>
      <w:tr w:rsidR="00410CB8" w:rsidRPr="003F6465" w:rsidTr="0068422D">
        <w:trPr>
          <w:trHeight w:val="15"/>
        </w:trPr>
        <w:tc>
          <w:tcPr>
            <w:tcW w:w="15559" w:type="dxa"/>
            <w:gridSpan w:val="8"/>
            <w:shd w:val="clear" w:color="auto" w:fill="FBD4B4" w:themeFill="accent6" w:themeFillTint="66"/>
            <w:noWrap/>
          </w:tcPr>
          <w:p w:rsidR="00410CB8" w:rsidRPr="003F6465" w:rsidRDefault="00410CB8" w:rsidP="005E2892">
            <w:pPr>
              <w:contextualSpacing/>
              <w:rPr>
                <w:rFonts w:ascii="Times New Roman" w:eastAsia="Calibri" w:hAnsi="Times New Roman" w:cs="Times New Roman"/>
                <w:b/>
                <w:bCs/>
              </w:rPr>
            </w:pPr>
            <w:r w:rsidRPr="003F6465">
              <w:rPr>
                <w:rFonts w:ascii="Times New Roman" w:eastAsia="Calibri" w:hAnsi="Times New Roman" w:cs="Times New Roman"/>
                <w:b/>
              </w:rPr>
              <w:t>4.3. Pagerinti motinos ir vaiko sveikatą</w:t>
            </w:r>
          </w:p>
        </w:tc>
      </w:tr>
      <w:tr w:rsidR="00410CB8" w:rsidRPr="003F6465" w:rsidTr="0068422D">
        <w:trPr>
          <w:trHeight w:val="27"/>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Kūdikių  (vaikų  iki 1 m. amžiaus) mirtingumas  1 000 gyvų gimusių kūdikių</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2,8</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3,0</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9,9</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1,0</w:t>
            </w:r>
          </w:p>
        </w:tc>
      </w:tr>
      <w:tr w:rsidR="00410CB8" w:rsidRPr="003F6465" w:rsidTr="0068422D">
        <w:trPr>
          <w:trHeight w:val="27"/>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2 metų amžiaus vaikų MMR1 (tymų, epideminio parotito, raudonukės vakcina 1 dozė) skiepijimo apimtys proc.</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90,6</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93,5</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86,6</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99,4</w:t>
            </w:r>
          </w:p>
        </w:tc>
        <w:tc>
          <w:tcPr>
            <w:tcW w:w="1242" w:type="dxa"/>
            <w:shd w:val="clear" w:color="auto" w:fill="FF00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1,0</w:t>
            </w:r>
          </w:p>
        </w:tc>
      </w:tr>
      <w:tr w:rsidR="00410CB8" w:rsidRPr="003F6465" w:rsidTr="0068422D">
        <w:trPr>
          <w:trHeight w:val="17"/>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1 metų amžiaus vaikų DTP3 (difterijos, stabligės, kokliušo vakcina 3 dozės) skiepijimo apimtys proc.</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96,3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93,7</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87,0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99,3</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1,0</w:t>
            </w:r>
          </w:p>
        </w:tc>
      </w:tr>
      <w:tr w:rsidR="00410CB8" w:rsidRPr="003F6465" w:rsidTr="0068422D">
        <w:trPr>
          <w:trHeight w:val="42"/>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Tikslinės populiacijos dalis (proc.), dalyvavusi  vaikų krūminių  dantų  dengimo  </w:t>
            </w:r>
            <w:proofErr w:type="spellStart"/>
            <w:r w:rsidRPr="003F6465">
              <w:rPr>
                <w:rFonts w:ascii="Times New Roman" w:eastAsia="Calibri" w:hAnsi="Times New Roman" w:cs="Times New Roman"/>
              </w:rPr>
              <w:lastRenderedPageBreak/>
              <w:t>silantinėmis</w:t>
            </w:r>
            <w:proofErr w:type="spellEnd"/>
            <w:r w:rsidRPr="003F6465">
              <w:rPr>
                <w:rFonts w:ascii="Times New Roman" w:eastAsia="Calibri" w:hAnsi="Times New Roman" w:cs="Times New Roman"/>
              </w:rPr>
              <w:t xml:space="preserve">  medžiagomis programoje</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lastRenderedPageBreak/>
              <w:t>202</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6,7</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16,4</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2,2</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44,4</w:t>
            </w:r>
          </w:p>
        </w:tc>
        <w:tc>
          <w:tcPr>
            <w:tcW w:w="1242" w:type="dxa"/>
            <w:shd w:val="clear" w:color="auto" w:fill="FF00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0,4</w:t>
            </w:r>
          </w:p>
        </w:tc>
      </w:tr>
      <w:tr w:rsidR="00410CB8" w:rsidRPr="003F6465" w:rsidTr="0068422D">
        <w:trPr>
          <w:trHeight w:val="27"/>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lastRenderedPageBreak/>
              <w:t xml:space="preserve">Vaikų,  </w:t>
            </w:r>
            <w:r>
              <w:rPr>
                <w:rFonts w:ascii="Times New Roman" w:eastAsia="Calibri" w:hAnsi="Times New Roman" w:cs="Times New Roman"/>
              </w:rPr>
              <w:t>neturinčių ėduonies pažeistų, plo</w:t>
            </w:r>
            <w:r w:rsidR="00477CC2">
              <w:rPr>
                <w:rFonts w:ascii="Times New Roman" w:eastAsia="Calibri" w:hAnsi="Times New Roman" w:cs="Times New Roman"/>
              </w:rPr>
              <w:t>mbuotų ir išrautų dantų dalis</w:t>
            </w:r>
            <w:r>
              <w:rPr>
                <w:rFonts w:ascii="Times New Roman" w:eastAsia="Calibri" w:hAnsi="Times New Roman" w:cs="Times New Roman"/>
              </w:rPr>
              <w:t xml:space="preserve"> proc.</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466</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11,7</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18,0</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26,9</w:t>
            </w:r>
          </w:p>
        </w:tc>
        <w:tc>
          <w:tcPr>
            <w:tcW w:w="1242" w:type="dxa"/>
            <w:shd w:val="clear" w:color="auto" w:fill="FF00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0,7</w:t>
            </w:r>
          </w:p>
        </w:tc>
      </w:tr>
      <w:tr w:rsidR="00410CB8" w:rsidRPr="003F6465" w:rsidTr="0068422D">
        <w:trPr>
          <w:trHeight w:val="14"/>
        </w:trPr>
        <w:tc>
          <w:tcPr>
            <w:tcW w:w="7621" w:type="dxa"/>
            <w:gridSpan w:val="2"/>
            <w:shd w:val="clear" w:color="auto" w:fill="auto"/>
            <w:noWrap/>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Paauglių (15–17 m.) gimdymų skaičius 100 000 gyventojų</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1,8</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5,4</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0,0</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18,8</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0,3</w:t>
            </w:r>
          </w:p>
        </w:tc>
      </w:tr>
      <w:tr w:rsidR="00410CB8" w:rsidRPr="003F6465" w:rsidTr="0068422D">
        <w:trPr>
          <w:trHeight w:val="14"/>
        </w:trPr>
        <w:tc>
          <w:tcPr>
            <w:tcW w:w="15559" w:type="dxa"/>
            <w:gridSpan w:val="8"/>
            <w:shd w:val="clear" w:color="auto" w:fill="FBD4B4" w:themeFill="accent6" w:themeFillTint="66"/>
            <w:noWrap/>
          </w:tcPr>
          <w:p w:rsidR="00410CB8" w:rsidRPr="003F6465" w:rsidRDefault="00410CB8" w:rsidP="005E2892">
            <w:pPr>
              <w:contextualSpacing/>
              <w:rPr>
                <w:rFonts w:ascii="Times New Roman" w:eastAsia="Calibri" w:hAnsi="Times New Roman" w:cs="Times New Roman"/>
                <w:b/>
                <w:bCs/>
              </w:rPr>
            </w:pPr>
            <w:r w:rsidRPr="003F6465">
              <w:rPr>
                <w:rFonts w:ascii="Times New Roman" w:eastAsia="Calibri" w:hAnsi="Times New Roman" w:cs="Times New Roman"/>
                <w:b/>
              </w:rPr>
              <w:t>4.4. Stiprinti lėtinių neinfekcinių ligų prevenciją ir kontrolę</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Mirtingumas nuo kraujotakos sistemos ligų rodiklis (I00-I99),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363</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911,7</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795,9</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525,3</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1465,2</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1,1</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Standartizuotas mirtingumo nuo kraujotakos sistemos ligų rodiklis  (I00-I99),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312</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915,0</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773,3</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626,7</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1063,6</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1,1</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Mirtingumas nuo piktybinių navikų rodiklis  (C00-C97)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83</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242,5</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282,7</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201,6</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351,8</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0,9</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Standartizuotas mirtingumo nuo piktybinių navikų (C00-C97), rodiklis 100 000 gyventojų</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83</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238,9</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274,7</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201,6</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351,8</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0,9</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Mirtingumas nuo </w:t>
            </w:r>
            <w:proofErr w:type="spellStart"/>
            <w:r w:rsidRPr="003F6465">
              <w:rPr>
                <w:rFonts w:ascii="Times New Roman" w:eastAsia="Calibri" w:hAnsi="Times New Roman" w:cs="Times New Roman"/>
              </w:rPr>
              <w:t>cerebrovaskulinių</w:t>
            </w:r>
            <w:proofErr w:type="spellEnd"/>
            <w:r w:rsidRPr="003F6465">
              <w:rPr>
                <w:rFonts w:ascii="Times New Roman" w:eastAsia="Calibri" w:hAnsi="Times New Roman" w:cs="Times New Roman"/>
              </w:rPr>
              <w:t xml:space="preserve"> ligų (I60-I69)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47</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137,3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189,8</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107,7</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447,4</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0,7</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Standartizuotas mirtingumas nuo </w:t>
            </w:r>
            <w:proofErr w:type="spellStart"/>
            <w:r w:rsidRPr="003F6465">
              <w:rPr>
                <w:rFonts w:ascii="Times New Roman" w:eastAsia="Calibri" w:hAnsi="Times New Roman" w:cs="Times New Roman"/>
              </w:rPr>
              <w:t>cerebrovaskulinių</w:t>
            </w:r>
            <w:proofErr w:type="spellEnd"/>
            <w:r w:rsidRPr="003F6465">
              <w:rPr>
                <w:rFonts w:ascii="Times New Roman" w:eastAsia="Calibri" w:hAnsi="Times New Roman" w:cs="Times New Roman"/>
              </w:rPr>
              <w:t xml:space="preserve"> ligų (I60-I69)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47</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135,3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183,9</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107,7</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447,4</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0,7</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Sergamumas II tipo cukriniu diabetu (E11) 100 000 </w:t>
            </w:r>
            <w:proofErr w:type="spellStart"/>
            <w:r w:rsidRPr="003F6465">
              <w:rPr>
                <w:rFonts w:ascii="Times New Roman" w:eastAsia="Calibri" w:hAnsi="Times New Roman" w:cs="Times New Roman"/>
              </w:rPr>
              <w:t>gyv</w:t>
            </w:r>
            <w:proofErr w:type="spellEnd"/>
            <w:r w:rsidRPr="003F6465">
              <w:rPr>
                <w:rFonts w:ascii="Times New Roman" w:eastAsia="Calibri" w:hAnsi="Times New Roman" w:cs="Times New Roman"/>
              </w:rPr>
              <w:t>.</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96</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28,1</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62,3</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28,1</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103,00</w:t>
            </w:r>
          </w:p>
        </w:tc>
        <w:tc>
          <w:tcPr>
            <w:tcW w:w="1242" w:type="dxa"/>
            <w:shd w:val="clear" w:color="auto" w:fill="00B05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0,5</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xml:space="preserve"> Tikslinės populiacijos dalis (proc.), dalyvavusi atrankinės </w:t>
            </w:r>
            <w:proofErr w:type="spellStart"/>
            <w:r w:rsidRPr="003F6465">
              <w:rPr>
                <w:rFonts w:ascii="Times New Roman" w:eastAsia="Calibri" w:hAnsi="Times New Roman" w:cs="Times New Roman"/>
              </w:rPr>
              <w:t>mamografinės</w:t>
            </w:r>
            <w:proofErr w:type="spellEnd"/>
            <w:r w:rsidRPr="003F6465">
              <w:rPr>
                <w:rFonts w:ascii="Times New Roman" w:eastAsia="Calibri" w:hAnsi="Times New Roman" w:cs="Times New Roman"/>
              </w:rPr>
              <w:t xml:space="preserve"> patikros dėl krūties vėžio finansavimo programoje</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1478</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29,3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48,6</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17,9</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65,1</w:t>
            </w:r>
          </w:p>
        </w:tc>
        <w:tc>
          <w:tcPr>
            <w:tcW w:w="1242" w:type="dxa"/>
            <w:shd w:val="clear" w:color="auto" w:fill="FF00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0,6</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Tikslinės populiacijos dalis (proc.), dalyvavusi gimdos kaklelio piktybinių navikų prevencinių priemonių, apmokamų iš Privalomojo sveikatos draudimo biudžeto lėšų, finansavimo programoje</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3792</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46,3</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52,8</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35,7</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69,3</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0,9</w:t>
            </w:r>
          </w:p>
        </w:tc>
      </w:tr>
      <w:tr w:rsidR="00410CB8" w:rsidRPr="003F6465" w:rsidTr="0068422D">
        <w:trPr>
          <w:trHeight w:val="27"/>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Tikslinės populiacijos dalis (proc.), dalyvavusi storosios žarnos vėžio ankstyvosios diagnostikos finansavimo programoje</w:t>
            </w:r>
          </w:p>
        </w:tc>
        <w:tc>
          <w:tcPr>
            <w:tcW w:w="1559"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5298</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49,1</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52,5</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21,9</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66,1</w:t>
            </w:r>
          </w:p>
        </w:tc>
        <w:tc>
          <w:tcPr>
            <w:tcW w:w="1242" w:type="dxa"/>
            <w:tcBorders>
              <w:bottom w:val="single" w:sz="4" w:space="0" w:color="auto"/>
            </w:tcBorders>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0,9</w:t>
            </w:r>
          </w:p>
        </w:tc>
      </w:tr>
      <w:tr w:rsidR="00410CB8" w:rsidRPr="003F6465" w:rsidTr="0068422D">
        <w:trPr>
          <w:trHeight w:val="16"/>
        </w:trPr>
        <w:tc>
          <w:tcPr>
            <w:tcW w:w="7621" w:type="dxa"/>
            <w:gridSpan w:val="2"/>
            <w:shd w:val="clear" w:color="auto" w:fill="auto"/>
            <w:noWrap/>
            <w:hideMark/>
          </w:tcPr>
          <w:p w:rsidR="00410CB8" w:rsidRPr="003F6465" w:rsidRDefault="00410CB8" w:rsidP="005E2892">
            <w:pPr>
              <w:contextualSpacing/>
              <w:rPr>
                <w:rFonts w:ascii="Times New Roman" w:eastAsia="Calibri" w:hAnsi="Times New Roman" w:cs="Times New Roman"/>
              </w:rPr>
            </w:pPr>
            <w:r w:rsidRPr="003F6465">
              <w:rPr>
                <w:rFonts w:ascii="Times New Roman" w:eastAsia="Calibri" w:hAnsi="Times New Roman" w:cs="Times New Roman"/>
              </w:rPr>
              <w:t> Tikslinės populiacijos dalis (proc.), dalyvavusi asmenų, priskirtinų širdies ir kraujagyslių ligų didelės rizikos grupei, atrankos ir prevencijos priemonių finansavimo programoje</w:t>
            </w:r>
          </w:p>
        </w:tc>
        <w:tc>
          <w:tcPr>
            <w:tcW w:w="1559" w:type="dxa"/>
            <w:shd w:val="clear" w:color="auto" w:fill="auto"/>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3320</w:t>
            </w:r>
          </w:p>
        </w:tc>
        <w:tc>
          <w:tcPr>
            <w:tcW w:w="1418"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40,5</w:t>
            </w:r>
          </w:p>
        </w:tc>
        <w:tc>
          <w:tcPr>
            <w:tcW w:w="1134"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40,8</w:t>
            </w:r>
          </w:p>
        </w:tc>
        <w:tc>
          <w:tcPr>
            <w:tcW w:w="1276" w:type="dxa"/>
            <w:shd w:val="clear" w:color="auto" w:fill="auto"/>
            <w:noWrap/>
          </w:tcPr>
          <w:p w:rsidR="00410CB8" w:rsidRPr="003F6465" w:rsidRDefault="00410CB8" w:rsidP="005E2892">
            <w:pPr>
              <w:contextualSpacing/>
              <w:jc w:val="center"/>
              <w:rPr>
                <w:rFonts w:ascii="Times New Roman" w:eastAsia="Calibri" w:hAnsi="Times New Roman" w:cs="Times New Roman"/>
              </w:rPr>
            </w:pPr>
            <w:r>
              <w:rPr>
                <w:rFonts w:ascii="Times New Roman" w:eastAsia="Calibri" w:hAnsi="Times New Roman" w:cs="Times New Roman"/>
              </w:rPr>
              <w:t>21,7</w:t>
            </w:r>
          </w:p>
        </w:tc>
        <w:tc>
          <w:tcPr>
            <w:tcW w:w="1309" w:type="dxa"/>
            <w:shd w:val="clear" w:color="auto" w:fill="auto"/>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57,6</w:t>
            </w:r>
          </w:p>
        </w:tc>
        <w:tc>
          <w:tcPr>
            <w:tcW w:w="1242" w:type="dxa"/>
            <w:shd w:val="clear" w:color="auto" w:fill="FFFF00"/>
            <w:noWrap/>
          </w:tcPr>
          <w:p w:rsidR="00410CB8" w:rsidRPr="003F6465" w:rsidRDefault="00410CB8" w:rsidP="005E2892">
            <w:pPr>
              <w:contextualSpacing/>
              <w:jc w:val="center"/>
              <w:rPr>
                <w:rFonts w:ascii="Times New Roman" w:eastAsia="Calibri" w:hAnsi="Times New Roman" w:cs="Times New Roman"/>
                <w:bCs/>
              </w:rPr>
            </w:pPr>
            <w:r>
              <w:rPr>
                <w:rFonts w:ascii="Times New Roman" w:eastAsia="Calibri" w:hAnsi="Times New Roman" w:cs="Times New Roman"/>
                <w:bCs/>
              </w:rPr>
              <w:t>1,0</w:t>
            </w:r>
          </w:p>
        </w:tc>
      </w:tr>
      <w:tr w:rsidR="00410CB8" w:rsidRPr="00826566" w:rsidTr="0068422D">
        <w:trPr>
          <w:trHeight w:val="16"/>
        </w:trPr>
        <w:tc>
          <w:tcPr>
            <w:tcW w:w="15559" w:type="dxa"/>
            <w:gridSpan w:val="8"/>
            <w:tcBorders>
              <w:top w:val="nil"/>
              <w:left w:val="nil"/>
              <w:bottom w:val="nil"/>
              <w:right w:val="nil"/>
            </w:tcBorders>
            <w:shd w:val="clear" w:color="auto" w:fill="auto"/>
            <w:noWrap/>
            <w:hideMark/>
          </w:tcPr>
          <w:p w:rsidR="00410CB8" w:rsidRPr="00826566" w:rsidRDefault="00410CB8" w:rsidP="005E2892">
            <w:pPr>
              <w:spacing w:after="0" w:line="240" w:lineRule="auto"/>
              <w:rPr>
                <w:rFonts w:ascii="Times New Roman" w:eastAsia="Times New Roman" w:hAnsi="Times New Roman" w:cs="Times New Roman"/>
                <w:lang w:eastAsia="lt-LT"/>
              </w:rPr>
            </w:pPr>
            <w:r w:rsidRPr="003F6465">
              <w:rPr>
                <w:rFonts w:ascii="Times New Roman" w:eastAsia="Calibri" w:hAnsi="Times New Roman" w:cs="Times New Roman"/>
              </w:rPr>
              <w:t> </w:t>
            </w:r>
            <w:r w:rsidRPr="003F6465">
              <w:rPr>
                <w:rFonts w:ascii="Times New Roman" w:eastAsia="Times New Roman" w:hAnsi="Times New Roman" w:cs="Times New Roman"/>
                <w:lang w:eastAsia="lt-LT"/>
              </w:rPr>
              <w:t>.</w:t>
            </w:r>
            <w:r w:rsidRPr="00826566">
              <w:rPr>
                <w:rFonts w:ascii="Times New Roman" w:eastAsia="Times New Roman" w:hAnsi="Times New Roman" w:cs="Times New Roman"/>
                <w:lang w:eastAsia="lt-LT"/>
              </w:rPr>
              <w:t xml:space="preserve"> </w:t>
            </w:r>
          </w:p>
          <w:p w:rsidR="00410CB8" w:rsidRPr="00826566" w:rsidRDefault="00410CB8" w:rsidP="005E2892">
            <w:pPr>
              <w:contextualSpacing/>
              <w:rPr>
                <w:rFonts w:ascii="Times New Roman" w:eastAsia="Calibri" w:hAnsi="Times New Roman" w:cs="Times New Roman"/>
                <w:b/>
                <w:bCs/>
              </w:rPr>
            </w:pPr>
          </w:p>
        </w:tc>
      </w:tr>
      <w:tr w:rsidR="00410CB8" w:rsidRPr="00826566" w:rsidTr="0068422D">
        <w:trPr>
          <w:trHeight w:val="688"/>
        </w:trPr>
        <w:tc>
          <w:tcPr>
            <w:tcW w:w="15559" w:type="dxa"/>
            <w:gridSpan w:val="8"/>
            <w:tcBorders>
              <w:top w:val="nil"/>
              <w:left w:val="nil"/>
              <w:bottom w:val="nil"/>
              <w:right w:val="nil"/>
            </w:tcBorders>
            <w:shd w:val="clear" w:color="auto" w:fill="auto"/>
            <w:noWrap/>
          </w:tcPr>
          <w:p w:rsidR="00410CB8" w:rsidRPr="00826566" w:rsidRDefault="00410CB8" w:rsidP="005E2892">
            <w:pPr>
              <w:contextualSpacing/>
              <w:rPr>
                <w:rFonts w:ascii="Times New Roman" w:eastAsia="Calibri" w:hAnsi="Times New Roman" w:cs="Times New Roman"/>
                <w:b/>
                <w:bCs/>
              </w:rPr>
            </w:pPr>
          </w:p>
        </w:tc>
      </w:tr>
    </w:tbl>
    <w:p w:rsidR="00410CB8" w:rsidRPr="003E36CD" w:rsidRDefault="00410CB8" w:rsidP="00410CB8">
      <w:pPr>
        <w:rPr>
          <w:rFonts w:ascii="Times New Roman" w:hAnsi="Times New Roman" w:cs="Times New Roman"/>
          <w:sz w:val="24"/>
          <w:szCs w:val="24"/>
        </w:rPr>
      </w:pPr>
    </w:p>
    <w:p w:rsidR="00B56CA6" w:rsidRDefault="00B56CA6">
      <w:pPr>
        <w:rPr>
          <w:rFonts w:ascii="Times New Roman" w:hAnsi="Times New Roman" w:cs="Times New Roman"/>
          <w:sz w:val="24"/>
          <w:szCs w:val="24"/>
        </w:rPr>
      </w:pPr>
    </w:p>
    <w:p w:rsidR="000C6C99" w:rsidRDefault="000C6C99" w:rsidP="0068422D">
      <w:pPr>
        <w:framePr w:w="15445" w:wrap="auto" w:hAnchor="text"/>
        <w:tabs>
          <w:tab w:val="left" w:pos="2010"/>
        </w:tabs>
        <w:spacing w:after="0"/>
        <w:ind w:firstLine="567"/>
        <w:rPr>
          <w:rFonts w:ascii="Times New Roman" w:hAnsi="Times New Roman" w:cs="Times New Roman"/>
          <w:sz w:val="28"/>
          <w:szCs w:val="28"/>
        </w:rPr>
        <w:sectPr w:rsidR="000C6C99" w:rsidSect="005C0981">
          <w:headerReference w:type="default" r:id="rId15"/>
          <w:footerReference w:type="default" r:id="rId16"/>
          <w:headerReference w:type="first" r:id="rId17"/>
          <w:pgSz w:w="16838" w:h="11906" w:orient="landscape" w:code="9"/>
          <w:pgMar w:top="1701" w:right="1134" w:bottom="567" w:left="1134" w:header="567" w:footer="567" w:gutter="0"/>
          <w:cols w:space="1296"/>
          <w:titlePg/>
          <w:docGrid w:linePitch="360"/>
        </w:sectPr>
      </w:pPr>
    </w:p>
    <w:p w:rsidR="00B56CA6" w:rsidRDefault="00B56CA6" w:rsidP="00213B07">
      <w:pPr>
        <w:tabs>
          <w:tab w:val="left" w:pos="2010"/>
        </w:tabs>
        <w:spacing w:after="0"/>
        <w:ind w:firstLine="567"/>
        <w:rPr>
          <w:rFonts w:ascii="Times New Roman" w:hAnsi="Times New Roman" w:cs="Times New Roman"/>
          <w:sz w:val="28"/>
          <w:szCs w:val="28"/>
        </w:rPr>
      </w:pPr>
    </w:p>
    <w:p w:rsidR="00B56CA6" w:rsidRDefault="009A7CF8" w:rsidP="00751A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Iš 1 lentelėje „</w:t>
      </w:r>
      <w:r>
        <w:rPr>
          <w:rFonts w:ascii="Times New Roman" w:hAnsi="Times New Roman" w:cs="Times New Roman"/>
          <w:i/>
          <w:sz w:val="24"/>
          <w:szCs w:val="24"/>
        </w:rPr>
        <w:t xml:space="preserve">Plungės rajono savivaldybės visuomenės sveikatos </w:t>
      </w:r>
      <w:proofErr w:type="spellStart"/>
      <w:r>
        <w:rPr>
          <w:rFonts w:ascii="Times New Roman" w:hAnsi="Times New Roman" w:cs="Times New Roman"/>
          <w:i/>
          <w:sz w:val="24"/>
          <w:szCs w:val="24"/>
        </w:rPr>
        <w:t>stebėsenos</w:t>
      </w:r>
      <w:proofErr w:type="spellEnd"/>
      <w:r>
        <w:rPr>
          <w:rFonts w:ascii="Times New Roman" w:hAnsi="Times New Roman" w:cs="Times New Roman"/>
          <w:i/>
          <w:sz w:val="24"/>
          <w:szCs w:val="24"/>
        </w:rPr>
        <w:t xml:space="preserve"> rodiklių profilis 2017m.“ </w:t>
      </w:r>
      <w:r>
        <w:rPr>
          <w:rFonts w:ascii="Times New Roman" w:hAnsi="Times New Roman" w:cs="Times New Roman"/>
          <w:sz w:val="24"/>
          <w:szCs w:val="24"/>
        </w:rPr>
        <w:t xml:space="preserve">Pateiktų PRS </w:t>
      </w:r>
      <w:r w:rsidR="00167D18">
        <w:rPr>
          <w:rFonts w:ascii="Times New Roman" w:hAnsi="Times New Roman" w:cs="Times New Roman"/>
          <w:sz w:val="24"/>
          <w:szCs w:val="24"/>
        </w:rPr>
        <w:t>r</w:t>
      </w:r>
      <w:r>
        <w:rPr>
          <w:rFonts w:ascii="Times New Roman" w:hAnsi="Times New Roman" w:cs="Times New Roman"/>
          <w:sz w:val="24"/>
          <w:szCs w:val="24"/>
        </w:rPr>
        <w:t xml:space="preserve">odiklių reikšmių </w:t>
      </w:r>
      <w:r w:rsidR="00167D18">
        <w:rPr>
          <w:rFonts w:ascii="Times New Roman" w:hAnsi="Times New Roman" w:cs="Times New Roman"/>
          <w:sz w:val="24"/>
          <w:szCs w:val="24"/>
        </w:rPr>
        <w:t>Plungės rajono savivaldybėje palyginimo su atitinkamu Lietuvos vidurkio rodikliu matyti, kad (</w:t>
      </w:r>
      <w:r w:rsidR="00167D18">
        <w:rPr>
          <w:rFonts w:ascii="Times New Roman" w:hAnsi="Times New Roman" w:cs="Times New Roman"/>
          <w:color w:val="00B050"/>
          <w:sz w:val="24"/>
          <w:szCs w:val="24"/>
        </w:rPr>
        <w:t>žalioji zona</w:t>
      </w:r>
      <w:r w:rsidR="00167D18">
        <w:rPr>
          <w:rFonts w:ascii="Times New Roman" w:hAnsi="Times New Roman" w:cs="Times New Roman"/>
          <w:sz w:val="24"/>
          <w:szCs w:val="24"/>
        </w:rPr>
        <w:t>):</w:t>
      </w:r>
    </w:p>
    <w:p w:rsidR="00167D18" w:rsidRPr="007D03BA" w:rsidRDefault="007D03BA"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Išvengiamas mirtingumas;</w:t>
      </w:r>
    </w:p>
    <w:p w:rsidR="007D03BA" w:rsidRPr="007D03BA" w:rsidRDefault="007D03BA"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Mirtingumas dėl savižudybių (X60-X84)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7D03BA" w:rsidRPr="007D03BA" w:rsidRDefault="007D03BA"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Standartizuotas mirtingumas dėl savižudybių (X60- X84)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7D03BA" w:rsidRPr="007D03BA" w:rsidRDefault="007D03BA"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Mirtingumas dėl išorinių priežasčių rodiklis (V01- Y98)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7D03BA" w:rsidRPr="007D03BA" w:rsidRDefault="007D03BA"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Standartizuotas mirtingumas dėl išorinių priežasčių rodiklis (V01- Y98)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w:t>
      </w:r>
    </w:p>
    <w:p w:rsidR="007D03BA" w:rsidRPr="007D03BA" w:rsidRDefault="007D03BA"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Mirtingumas dėl priežasčių, susijusių su narkotikų vartojimu, rodiklis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7D03BA" w:rsidRPr="007D03BA" w:rsidRDefault="007D03BA"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Standartizuotas mirtingumas dėl priežasčių, susijusių su narkotikų vartojimu, rodiklis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7D03BA" w:rsidRPr="007D03BA" w:rsidRDefault="007D03BA"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Slaugytojų, tenkančių vienam gydytojui, skaičius ;</w:t>
      </w:r>
    </w:p>
    <w:p w:rsidR="007D03BA" w:rsidRPr="00FF5D1B" w:rsidRDefault="00FF5D1B"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Sergamumas vaistams atsparia tuberkulioze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FF5D1B" w:rsidRPr="00FF5D1B" w:rsidRDefault="00FF5D1B"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Sergamumas ŽIV (B20- B24) ir lytiškai plintančiomis ligomis (A50- A64) 10 000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FF5D1B" w:rsidRPr="00FF5D1B" w:rsidRDefault="00FF5D1B"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Paauglių (15- 17 m.) gimdymų skaičius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FF5D1B" w:rsidRPr="00FF5D1B" w:rsidRDefault="00FF5D1B"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Mirtingumas nuo piktybinių navikų, rodiklis (C00- C97), rodiklis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8A2675" w:rsidRPr="008A2675" w:rsidRDefault="008A2675"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Standartizuotas mirtingumas nuo piktybinių navikų (C00- C97) , rodiklis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8A2675" w:rsidRPr="008A2675" w:rsidRDefault="008A2675"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Mirtingumas nuo </w:t>
      </w:r>
      <w:proofErr w:type="spellStart"/>
      <w:r>
        <w:rPr>
          <w:rFonts w:ascii="Times New Roman" w:hAnsi="Times New Roman" w:cs="Times New Roman"/>
          <w:sz w:val="24"/>
          <w:szCs w:val="24"/>
        </w:rPr>
        <w:t>cerebrovaskulinių</w:t>
      </w:r>
      <w:proofErr w:type="spellEnd"/>
      <w:r>
        <w:rPr>
          <w:rFonts w:ascii="Times New Roman" w:hAnsi="Times New Roman" w:cs="Times New Roman"/>
          <w:sz w:val="24"/>
          <w:szCs w:val="24"/>
        </w:rPr>
        <w:t xml:space="preserve"> ligų (I60- I69)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8A2675" w:rsidRPr="008A2675" w:rsidRDefault="008A2675"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Standartizuotas mirtingumas nuo </w:t>
      </w:r>
      <w:proofErr w:type="spellStart"/>
      <w:r>
        <w:rPr>
          <w:rFonts w:ascii="Times New Roman" w:hAnsi="Times New Roman" w:cs="Times New Roman"/>
          <w:sz w:val="24"/>
          <w:szCs w:val="24"/>
        </w:rPr>
        <w:t>cerebrovaskulinių</w:t>
      </w:r>
      <w:proofErr w:type="spellEnd"/>
      <w:r>
        <w:rPr>
          <w:rFonts w:ascii="Times New Roman" w:hAnsi="Times New Roman" w:cs="Times New Roman"/>
          <w:sz w:val="24"/>
          <w:szCs w:val="24"/>
        </w:rPr>
        <w:t xml:space="preserve"> ligų (I60- I69)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8A2675" w:rsidRPr="008A2675" w:rsidRDefault="008A2675" w:rsidP="00274BC0">
      <w:pPr>
        <w:pStyle w:val="Sraopastraipa"/>
        <w:numPr>
          <w:ilvl w:val="0"/>
          <w:numId w:val="11"/>
        </w:numPr>
        <w:spacing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Sergamumas II tipo cukriniu diabetu (E11) 100 000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8A2675" w:rsidRDefault="008A2675" w:rsidP="00274BC0">
      <w:pPr>
        <w:pStyle w:val="Sraopastraip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Šių Plungės rajono savivaldybės rodiklių reikšmės patenka į prasčiausių savivaldybių kvantilių grupę (</w:t>
      </w:r>
      <w:r>
        <w:rPr>
          <w:rFonts w:ascii="Times New Roman" w:hAnsi="Times New Roman" w:cs="Times New Roman"/>
          <w:color w:val="FF0000"/>
          <w:sz w:val="24"/>
          <w:szCs w:val="24"/>
        </w:rPr>
        <w:t>raudonoji zona</w:t>
      </w:r>
      <w:r>
        <w:rPr>
          <w:rFonts w:ascii="Times New Roman" w:hAnsi="Times New Roman" w:cs="Times New Roman"/>
          <w:sz w:val="24"/>
          <w:szCs w:val="24"/>
        </w:rPr>
        <w:t>):</w:t>
      </w:r>
    </w:p>
    <w:p w:rsidR="008A2675" w:rsidRPr="00971313" w:rsidRDefault="00971313" w:rsidP="00274BC0">
      <w:pPr>
        <w:pStyle w:val="Sraopastraipa"/>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Asmenų, žuvusių ir sunkiai sužalotų dėl nelaimingų atsitikimų darbe, skaičius 10 000 darbingo amžiaus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971313" w:rsidRPr="00971313" w:rsidRDefault="00971313" w:rsidP="00274BC0">
      <w:pPr>
        <w:pStyle w:val="Sraopastraipa"/>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Susižalojimo dėl nukritimo atvejų skaičius (W00- W19) 65+ amžiaus grupėje 10 000 </w:t>
      </w:r>
      <w:proofErr w:type="spellStart"/>
      <w:r>
        <w:rPr>
          <w:rFonts w:ascii="Times New Roman" w:hAnsi="Times New Roman" w:cs="Times New Roman"/>
          <w:sz w:val="24"/>
          <w:szCs w:val="24"/>
        </w:rPr>
        <w:t>gyv</w:t>
      </w:r>
      <w:proofErr w:type="spellEnd"/>
      <w:r>
        <w:rPr>
          <w:rFonts w:ascii="Times New Roman" w:hAnsi="Times New Roman" w:cs="Times New Roman"/>
          <w:sz w:val="24"/>
          <w:szCs w:val="24"/>
        </w:rPr>
        <w:t>. ;</w:t>
      </w:r>
    </w:p>
    <w:p w:rsidR="00971313" w:rsidRPr="00971313" w:rsidRDefault="00971313" w:rsidP="00274BC0">
      <w:pPr>
        <w:pStyle w:val="Sraopastraipa"/>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Kūdikių, išimtinai žindytų iki 6 mėn. amžiaus, dalis ;</w:t>
      </w:r>
    </w:p>
    <w:p w:rsidR="00971313" w:rsidRPr="00971313" w:rsidRDefault="00971313" w:rsidP="00274BC0">
      <w:pPr>
        <w:pStyle w:val="Sraopastraipa"/>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2 metų amžiaus vaikų MMR1 (tymų, epideminio parotito, raudonukės vakcina 1 dozė) skiepijimo apimtys, proc. ;</w:t>
      </w:r>
    </w:p>
    <w:p w:rsidR="004E700F" w:rsidRPr="004E700F" w:rsidRDefault="00971313" w:rsidP="00274BC0">
      <w:pPr>
        <w:pStyle w:val="Sraopastraipa"/>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Tikslinės populiacijos dalis </w:t>
      </w:r>
      <w:r w:rsidR="004E700F">
        <w:rPr>
          <w:rFonts w:ascii="Times New Roman" w:hAnsi="Times New Roman" w:cs="Times New Roman"/>
          <w:sz w:val="24"/>
          <w:szCs w:val="24"/>
        </w:rPr>
        <w:t xml:space="preserve">(proc.), dalyvavusi vaikų krūminių dantų dengimo </w:t>
      </w:r>
      <w:proofErr w:type="spellStart"/>
      <w:r w:rsidR="004E700F">
        <w:rPr>
          <w:rFonts w:ascii="Times New Roman" w:hAnsi="Times New Roman" w:cs="Times New Roman"/>
          <w:sz w:val="24"/>
          <w:szCs w:val="24"/>
        </w:rPr>
        <w:t>silantinėmis</w:t>
      </w:r>
      <w:proofErr w:type="spellEnd"/>
      <w:r w:rsidR="004E700F">
        <w:rPr>
          <w:rFonts w:ascii="Times New Roman" w:hAnsi="Times New Roman" w:cs="Times New Roman"/>
          <w:sz w:val="24"/>
          <w:szCs w:val="24"/>
        </w:rPr>
        <w:t xml:space="preserve"> medžiagomis programoje;</w:t>
      </w:r>
    </w:p>
    <w:p w:rsidR="004E700F" w:rsidRPr="004E700F" w:rsidRDefault="004E700F" w:rsidP="00274BC0">
      <w:pPr>
        <w:pStyle w:val="Sraopastraipa"/>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Vaikų, neturinčių ėduonies pažeistų, plombuotų ir išrautų dantų dalis, proc.;</w:t>
      </w:r>
    </w:p>
    <w:p w:rsidR="00971313" w:rsidRPr="003D5B73" w:rsidRDefault="004E700F" w:rsidP="00274BC0">
      <w:pPr>
        <w:pStyle w:val="Sraopastraipa"/>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4"/>
          <w:szCs w:val="24"/>
        </w:rPr>
        <w:t xml:space="preserve">Tikslinės populiacijos </w:t>
      </w:r>
      <w:r w:rsidR="003D5B73">
        <w:rPr>
          <w:rFonts w:ascii="Times New Roman" w:hAnsi="Times New Roman" w:cs="Times New Roman"/>
          <w:sz w:val="24"/>
          <w:szCs w:val="24"/>
        </w:rPr>
        <w:t xml:space="preserve">dalis (proc.), dalyvavusi atrankinės </w:t>
      </w:r>
      <w:proofErr w:type="spellStart"/>
      <w:r w:rsidR="003D5B73">
        <w:rPr>
          <w:rFonts w:ascii="Times New Roman" w:hAnsi="Times New Roman" w:cs="Times New Roman"/>
          <w:sz w:val="24"/>
          <w:szCs w:val="24"/>
        </w:rPr>
        <w:t>mamografinės</w:t>
      </w:r>
      <w:proofErr w:type="spellEnd"/>
      <w:r w:rsidR="003D5B73">
        <w:rPr>
          <w:rFonts w:ascii="Times New Roman" w:hAnsi="Times New Roman" w:cs="Times New Roman"/>
          <w:sz w:val="24"/>
          <w:szCs w:val="24"/>
        </w:rPr>
        <w:t xml:space="preserve"> patikros dėl krūties vėžio finansavimo programoje.</w:t>
      </w:r>
    </w:p>
    <w:p w:rsidR="003D5B73" w:rsidRPr="005E2892" w:rsidRDefault="003D5B73" w:rsidP="00274BC0">
      <w:pPr>
        <w:pStyle w:val="Sraopastraipa"/>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Kiti rodikliai patenka į Lietuvos vidurkį atitinkančią kvantilių grupę ir yra žymimi </w:t>
      </w:r>
      <w:r w:rsidRPr="005E2892">
        <w:rPr>
          <w:rFonts w:ascii="Times New Roman" w:hAnsi="Times New Roman" w:cs="Times New Roman"/>
          <w:b/>
          <w:color w:val="FFFF00"/>
          <w:sz w:val="24"/>
          <w:szCs w:val="24"/>
        </w:rPr>
        <w:t>geltona spalva</w:t>
      </w:r>
      <w:r w:rsidRPr="005E2892">
        <w:rPr>
          <w:rFonts w:ascii="Times New Roman" w:hAnsi="Times New Roman" w:cs="Times New Roman"/>
          <w:b/>
          <w:sz w:val="24"/>
          <w:szCs w:val="24"/>
        </w:rPr>
        <w:t xml:space="preserve">. </w:t>
      </w:r>
    </w:p>
    <w:p w:rsidR="003D5B73" w:rsidRDefault="003D5B73" w:rsidP="00274BC0">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Kaip prioritetinės sveikatos sritys ir detali analizė atlikta, pasirinkus šiuos rodiklius:</w:t>
      </w:r>
    </w:p>
    <w:p w:rsidR="003D5B73" w:rsidRPr="00195F9B" w:rsidRDefault="00195F9B" w:rsidP="00274BC0">
      <w:pPr>
        <w:pStyle w:val="Sraopastraipa"/>
        <w:numPr>
          <w:ilvl w:val="0"/>
          <w:numId w:val="14"/>
        </w:numPr>
        <w:spacing w:after="0" w:line="240" w:lineRule="auto"/>
        <w:ind w:left="0" w:firstLine="567"/>
        <w:jc w:val="both"/>
        <w:rPr>
          <w:rFonts w:ascii="Times New Roman" w:hAnsi="Times New Roman" w:cs="Times New Roman"/>
          <w:i/>
          <w:sz w:val="28"/>
          <w:szCs w:val="28"/>
        </w:rPr>
      </w:pPr>
      <w:r>
        <w:rPr>
          <w:rFonts w:ascii="Times New Roman" w:hAnsi="Times New Roman" w:cs="Times New Roman"/>
          <w:i/>
          <w:sz w:val="24"/>
          <w:szCs w:val="24"/>
        </w:rPr>
        <w:t xml:space="preserve">Plungės rajono vaikų burnos sveikata </w:t>
      </w:r>
      <w:r w:rsidR="00864089" w:rsidRPr="00195F9B">
        <w:rPr>
          <w:rFonts w:ascii="Times New Roman" w:hAnsi="Times New Roman" w:cs="Times New Roman"/>
          <w:i/>
          <w:sz w:val="24"/>
          <w:szCs w:val="24"/>
        </w:rPr>
        <w:t>;</w:t>
      </w:r>
    </w:p>
    <w:p w:rsidR="00864089" w:rsidRPr="008E0B98" w:rsidRDefault="00864089" w:rsidP="00274BC0">
      <w:pPr>
        <w:pStyle w:val="Sraopastraipa"/>
        <w:numPr>
          <w:ilvl w:val="0"/>
          <w:numId w:val="13"/>
        </w:numPr>
        <w:spacing w:after="0" w:line="240" w:lineRule="auto"/>
        <w:ind w:left="0" w:firstLine="567"/>
        <w:jc w:val="both"/>
        <w:rPr>
          <w:rFonts w:ascii="Times New Roman" w:hAnsi="Times New Roman" w:cs="Times New Roman"/>
          <w:i/>
          <w:sz w:val="28"/>
          <w:szCs w:val="28"/>
        </w:rPr>
      </w:pPr>
      <w:r w:rsidRPr="008E0B98">
        <w:rPr>
          <w:rFonts w:ascii="Times New Roman" w:hAnsi="Times New Roman" w:cs="Times New Roman"/>
          <w:i/>
          <w:sz w:val="24"/>
          <w:szCs w:val="24"/>
        </w:rPr>
        <w:t>Kūdikių, išimtinai žindytų iki 6 mėn. amžiaus;</w:t>
      </w:r>
    </w:p>
    <w:p w:rsidR="00864089" w:rsidRPr="008E0B98" w:rsidRDefault="00864089" w:rsidP="00274BC0">
      <w:pPr>
        <w:pStyle w:val="Sraopastraipa"/>
        <w:numPr>
          <w:ilvl w:val="0"/>
          <w:numId w:val="13"/>
        </w:numPr>
        <w:spacing w:after="0" w:line="240" w:lineRule="auto"/>
        <w:ind w:left="0" w:firstLine="567"/>
        <w:jc w:val="both"/>
        <w:rPr>
          <w:rFonts w:ascii="Times New Roman" w:hAnsi="Times New Roman" w:cs="Times New Roman"/>
          <w:i/>
          <w:sz w:val="28"/>
          <w:szCs w:val="28"/>
        </w:rPr>
      </w:pPr>
      <w:r w:rsidRPr="008E0B98">
        <w:rPr>
          <w:rFonts w:ascii="Times New Roman" w:hAnsi="Times New Roman" w:cs="Times New Roman"/>
          <w:i/>
          <w:sz w:val="24"/>
          <w:szCs w:val="24"/>
        </w:rPr>
        <w:t>Tikslinės populiacijos dalis dalyvavusi atrankinėse prevencinėse programose, dalis analizės apims</w:t>
      </w:r>
      <w:r w:rsidR="00336810" w:rsidRPr="008E0B98">
        <w:rPr>
          <w:rFonts w:ascii="Times New Roman" w:hAnsi="Times New Roman" w:cs="Times New Roman"/>
          <w:i/>
          <w:sz w:val="24"/>
          <w:szCs w:val="24"/>
        </w:rPr>
        <w:t xml:space="preserve"> raudonos ir geltonos zonos rodiklius.</w:t>
      </w:r>
    </w:p>
    <w:p w:rsidR="00336810" w:rsidRDefault="00336810" w:rsidP="00336810">
      <w:pPr>
        <w:pStyle w:val="Sraopastraipa"/>
        <w:spacing w:after="0"/>
        <w:ind w:left="567"/>
        <w:jc w:val="both"/>
        <w:rPr>
          <w:rFonts w:ascii="Times New Roman" w:hAnsi="Times New Roman" w:cs="Times New Roman"/>
          <w:sz w:val="24"/>
          <w:szCs w:val="24"/>
        </w:rPr>
      </w:pPr>
    </w:p>
    <w:p w:rsidR="00274BC0" w:rsidRDefault="00274BC0" w:rsidP="00A80A96">
      <w:pPr>
        <w:pStyle w:val="Sraopastraipa"/>
        <w:spacing w:after="0"/>
        <w:ind w:left="0" w:firstLine="567"/>
        <w:jc w:val="center"/>
        <w:rPr>
          <w:rFonts w:ascii="Times New Roman" w:hAnsi="Times New Roman" w:cs="Times New Roman"/>
          <w:b/>
          <w:sz w:val="24"/>
          <w:szCs w:val="24"/>
        </w:rPr>
      </w:pPr>
    </w:p>
    <w:p w:rsidR="00274BC0" w:rsidRDefault="00274BC0" w:rsidP="00A80A96">
      <w:pPr>
        <w:pStyle w:val="Sraopastraipa"/>
        <w:spacing w:after="0"/>
        <w:ind w:left="0" w:firstLine="567"/>
        <w:jc w:val="center"/>
        <w:rPr>
          <w:rFonts w:ascii="Times New Roman" w:hAnsi="Times New Roman" w:cs="Times New Roman"/>
          <w:b/>
          <w:sz w:val="24"/>
          <w:szCs w:val="24"/>
        </w:rPr>
      </w:pPr>
    </w:p>
    <w:p w:rsidR="004C624D" w:rsidRDefault="00790AA9" w:rsidP="00A80A96">
      <w:pPr>
        <w:pStyle w:val="Sraopastraipa"/>
        <w:spacing w:after="0"/>
        <w:ind w:left="0" w:firstLine="567"/>
        <w:jc w:val="center"/>
        <w:rPr>
          <w:rFonts w:ascii="Times New Roman" w:hAnsi="Times New Roman" w:cs="Times New Roman"/>
          <w:b/>
          <w:sz w:val="24"/>
          <w:szCs w:val="24"/>
        </w:rPr>
      </w:pPr>
      <w:r>
        <w:rPr>
          <w:rFonts w:ascii="Times New Roman" w:hAnsi="Times New Roman" w:cs="Times New Roman"/>
          <w:b/>
          <w:sz w:val="24"/>
          <w:szCs w:val="24"/>
        </w:rPr>
        <w:lastRenderedPageBreak/>
        <w:t>2. SPECIALIOJI D</w:t>
      </w:r>
      <w:r w:rsidR="00F8792C">
        <w:rPr>
          <w:rFonts w:ascii="Times New Roman" w:hAnsi="Times New Roman" w:cs="Times New Roman"/>
          <w:b/>
          <w:sz w:val="24"/>
          <w:szCs w:val="24"/>
        </w:rPr>
        <w:t>A</w:t>
      </w:r>
      <w:r>
        <w:rPr>
          <w:rFonts w:ascii="Times New Roman" w:hAnsi="Times New Roman" w:cs="Times New Roman"/>
          <w:b/>
          <w:sz w:val="24"/>
          <w:szCs w:val="24"/>
        </w:rPr>
        <w:t>LIS</w:t>
      </w:r>
    </w:p>
    <w:p w:rsidR="00790AA9" w:rsidRDefault="00790AA9" w:rsidP="00A80A96">
      <w:pPr>
        <w:pStyle w:val="Sraopastraipa"/>
        <w:spacing w:after="0"/>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2.1 PLUNGĖS RAJONO </w:t>
      </w:r>
      <w:r w:rsidR="002752C7">
        <w:rPr>
          <w:rFonts w:ascii="Times New Roman" w:hAnsi="Times New Roman" w:cs="Times New Roman"/>
          <w:b/>
          <w:sz w:val="24"/>
          <w:szCs w:val="24"/>
        </w:rPr>
        <w:t xml:space="preserve">SAVIVALDYBĖS </w:t>
      </w:r>
      <w:r>
        <w:rPr>
          <w:rFonts w:ascii="Times New Roman" w:hAnsi="Times New Roman" w:cs="Times New Roman"/>
          <w:b/>
          <w:sz w:val="24"/>
          <w:szCs w:val="24"/>
        </w:rPr>
        <w:t>VAIKŲ BURNOS SVEIKATA</w:t>
      </w:r>
    </w:p>
    <w:p w:rsidR="00A51CDD" w:rsidRDefault="00A51CDD" w:rsidP="00A80A96">
      <w:pPr>
        <w:pStyle w:val="Sraopastraipa"/>
        <w:spacing w:after="0"/>
        <w:ind w:left="0" w:firstLine="567"/>
        <w:jc w:val="center"/>
        <w:rPr>
          <w:rFonts w:ascii="Times New Roman" w:hAnsi="Times New Roman" w:cs="Times New Roman"/>
          <w:b/>
          <w:sz w:val="24"/>
          <w:szCs w:val="24"/>
        </w:rPr>
      </w:pPr>
    </w:p>
    <w:p w:rsidR="00790AA9" w:rsidRDefault="00BC3E2B" w:rsidP="00751AC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Kasmet kiekvienas moksleivis į mokyklą turi pristatyti pažymą apie dantų būklę (2017 metais 83,7 proc. vaikų atnešė šią pažymą). 18 proc. vaikų neturėjo ėduonies pažeistų, plombuotų ir išrautų dantų. Paskaičiavus mokinių pieninių ir nuolatinių dantų ėduonies intensyvumo indeksą (</w:t>
      </w:r>
      <w:proofErr w:type="spellStart"/>
      <w:r>
        <w:rPr>
          <w:rFonts w:ascii="Times New Roman" w:hAnsi="Times New Roman" w:cs="Times New Roman"/>
          <w:sz w:val="24"/>
          <w:szCs w:val="24"/>
        </w:rPr>
        <w:t>kpi</w:t>
      </w:r>
      <w:proofErr w:type="spellEnd"/>
      <w:r w:rsidR="0054601A">
        <w:rPr>
          <w:rFonts w:ascii="Times New Roman" w:hAnsi="Times New Roman" w:cs="Times New Roman"/>
          <w:sz w:val="24"/>
          <w:szCs w:val="24"/>
        </w:rPr>
        <w:t xml:space="preserve"> </w:t>
      </w:r>
      <w:r>
        <w:rPr>
          <w:rFonts w:ascii="Times New Roman" w:hAnsi="Times New Roman" w:cs="Times New Roman"/>
          <w:sz w:val="24"/>
          <w:szCs w:val="24"/>
        </w:rPr>
        <w:t>+ KPI*) gauta, kad Lietuvos vaikų KPI yra vidutinis</w:t>
      </w:r>
      <w:r w:rsidR="005E2892">
        <w:rPr>
          <w:rFonts w:ascii="Times New Roman" w:hAnsi="Times New Roman" w:cs="Times New Roman"/>
          <w:sz w:val="24"/>
          <w:szCs w:val="24"/>
        </w:rPr>
        <w:t xml:space="preserve"> -</w:t>
      </w:r>
      <w:r>
        <w:rPr>
          <w:rFonts w:ascii="Times New Roman" w:hAnsi="Times New Roman" w:cs="Times New Roman"/>
          <w:sz w:val="24"/>
          <w:szCs w:val="24"/>
        </w:rPr>
        <w:t xml:space="preserve"> 4,27, Plungės rajono – 4,73. (2 pav.)</w:t>
      </w:r>
    </w:p>
    <w:p w:rsidR="00084F65" w:rsidRDefault="00084F65" w:rsidP="00274BC0">
      <w:pPr>
        <w:pStyle w:val="Sraopastraipa"/>
        <w:spacing w:after="0" w:line="240" w:lineRule="auto"/>
        <w:ind w:left="0" w:firstLine="567"/>
        <w:jc w:val="both"/>
        <w:rPr>
          <w:rFonts w:ascii="Times New Roman" w:hAnsi="Times New Roman" w:cs="Times New Roman"/>
          <w:sz w:val="24"/>
          <w:szCs w:val="24"/>
        </w:rPr>
      </w:pPr>
    </w:p>
    <w:p w:rsidR="00BC3E2B" w:rsidRDefault="00BC3E2B" w:rsidP="00BC3E2B">
      <w:pPr>
        <w:pStyle w:val="Sraopastraip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6120130" cy="1647727"/>
            <wp:effectExtent l="0" t="0" r="0" b="0"/>
            <wp:docPr id="5" name="Paveikslėlis 5" descr="C:\Users\Asus\Desktop\metinė ataskaita\KPI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metinė ataskaita\KPI 201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647727"/>
                    </a:xfrm>
                    <a:prstGeom prst="rect">
                      <a:avLst/>
                    </a:prstGeom>
                    <a:noFill/>
                    <a:ln>
                      <a:noFill/>
                    </a:ln>
                  </pic:spPr>
                </pic:pic>
              </a:graphicData>
            </a:graphic>
          </wp:inline>
        </w:drawing>
      </w:r>
    </w:p>
    <w:p w:rsidR="00084F65" w:rsidRDefault="00084F65" w:rsidP="00EA3572">
      <w:pPr>
        <w:pStyle w:val="Sraopastraipa"/>
        <w:spacing w:after="0"/>
        <w:ind w:left="0"/>
        <w:jc w:val="center"/>
        <w:rPr>
          <w:rFonts w:ascii="Times New Roman" w:hAnsi="Times New Roman" w:cs="Times New Roman"/>
          <w:b/>
          <w:sz w:val="24"/>
          <w:szCs w:val="24"/>
        </w:rPr>
      </w:pPr>
    </w:p>
    <w:p w:rsidR="00BC3E2B" w:rsidRDefault="00BC3E2B" w:rsidP="00EA3572">
      <w:pPr>
        <w:pStyle w:val="Sraopastraipa"/>
        <w:spacing w:after="0"/>
        <w:ind w:left="0"/>
        <w:jc w:val="center"/>
        <w:rPr>
          <w:rFonts w:ascii="Times New Roman" w:hAnsi="Times New Roman" w:cs="Times New Roman"/>
          <w:b/>
          <w:sz w:val="24"/>
          <w:szCs w:val="24"/>
        </w:rPr>
      </w:pPr>
      <w:r w:rsidRPr="00EA3572">
        <w:rPr>
          <w:rFonts w:ascii="Times New Roman" w:hAnsi="Times New Roman" w:cs="Times New Roman"/>
          <w:b/>
          <w:sz w:val="24"/>
          <w:szCs w:val="24"/>
        </w:rPr>
        <w:t xml:space="preserve">2 pav. </w:t>
      </w:r>
      <w:r w:rsidR="00675EEE" w:rsidRPr="00EA3572">
        <w:rPr>
          <w:rFonts w:ascii="Times New Roman" w:hAnsi="Times New Roman" w:cs="Times New Roman"/>
          <w:b/>
          <w:sz w:val="24"/>
          <w:szCs w:val="24"/>
        </w:rPr>
        <w:t>Vaikų neturinčių ėduonies pažeistų, plombuotų ir išrautų dantų</w:t>
      </w:r>
      <w:r w:rsidR="00EA3572">
        <w:rPr>
          <w:rFonts w:ascii="Times New Roman" w:hAnsi="Times New Roman" w:cs="Times New Roman"/>
          <w:b/>
          <w:sz w:val="24"/>
          <w:szCs w:val="24"/>
        </w:rPr>
        <w:t>, dalis proc. Lietuvoje 2017m.</w:t>
      </w:r>
    </w:p>
    <w:p w:rsidR="00EA3572" w:rsidRDefault="00EA3572" w:rsidP="00EA3572">
      <w:pPr>
        <w:pStyle w:val="Sraopastraipa"/>
        <w:spacing w:after="0"/>
        <w:ind w:left="0"/>
        <w:jc w:val="center"/>
        <w:rPr>
          <w:rFonts w:ascii="Times New Roman" w:hAnsi="Times New Roman" w:cs="Times New Roman"/>
          <w:i/>
          <w:sz w:val="24"/>
          <w:szCs w:val="24"/>
        </w:rPr>
      </w:pPr>
      <w:r>
        <w:rPr>
          <w:rFonts w:ascii="Times New Roman" w:hAnsi="Times New Roman" w:cs="Times New Roman"/>
          <w:i/>
          <w:sz w:val="24"/>
          <w:szCs w:val="24"/>
        </w:rPr>
        <w:t>Šaltinis: Higienos instituto Sveikatos informacijos centras</w:t>
      </w:r>
    </w:p>
    <w:p w:rsidR="00EA3572" w:rsidRDefault="00EA3572" w:rsidP="00EA3572">
      <w:pPr>
        <w:pStyle w:val="Sraopastraipa"/>
        <w:spacing w:after="0"/>
        <w:ind w:left="0" w:firstLine="567"/>
        <w:jc w:val="both"/>
        <w:rPr>
          <w:rFonts w:ascii="Times New Roman" w:hAnsi="Times New Roman" w:cs="Times New Roman"/>
          <w:sz w:val="24"/>
          <w:szCs w:val="24"/>
        </w:rPr>
      </w:pPr>
    </w:p>
    <w:p w:rsidR="00EA3572" w:rsidRDefault="00EA3572" w:rsidP="00751AC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Kasmet pieninių ir nuolatinių dantų ėduonies intensyvumo indeksas prastėja. Nors 2017 metais stebimas nežymus pagerėjimas, tačiau per paskutinius ketverius metus šis rodiklis suprastėjo nuo 3,95 iki 4,73. Tiek šalyje tiek ir apskrityje šis rodiklis prastėja. (3 pav.)</w:t>
      </w:r>
    </w:p>
    <w:p w:rsidR="00EA3572" w:rsidRDefault="00EA3572" w:rsidP="00EA3572">
      <w:pPr>
        <w:pStyle w:val="Sraopastraipa"/>
        <w:spacing w:after="0"/>
        <w:ind w:left="0" w:firstLine="567"/>
        <w:jc w:val="both"/>
        <w:rPr>
          <w:rFonts w:ascii="Times New Roman" w:hAnsi="Times New Roman" w:cs="Times New Roman"/>
          <w:sz w:val="24"/>
          <w:szCs w:val="24"/>
        </w:rPr>
      </w:pPr>
    </w:p>
    <w:p w:rsidR="00EA3572" w:rsidRDefault="00EA3572" w:rsidP="00EA3572">
      <w:pPr>
        <w:pStyle w:val="Sraopastraipa"/>
        <w:spacing w:after="0"/>
        <w:ind w:left="0" w:firstLine="567"/>
        <w:jc w:val="both"/>
        <w:rPr>
          <w:rFonts w:ascii="Times New Roman" w:hAnsi="Times New Roman" w:cs="Times New Roman"/>
          <w:sz w:val="24"/>
          <w:szCs w:val="24"/>
        </w:rPr>
      </w:pPr>
      <w:r>
        <w:rPr>
          <w:noProof/>
          <w:lang w:eastAsia="lt-LT"/>
        </w:rPr>
        <w:drawing>
          <wp:inline distT="0" distB="0" distL="0" distR="0" wp14:anchorId="3B67329E" wp14:editId="010DB836">
            <wp:extent cx="5476875" cy="2581275"/>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4F65" w:rsidRDefault="00084F65" w:rsidP="00EA3572">
      <w:pPr>
        <w:pStyle w:val="Sraopastraipa"/>
        <w:spacing w:after="0"/>
        <w:ind w:left="0" w:firstLine="567"/>
        <w:jc w:val="center"/>
        <w:rPr>
          <w:rFonts w:ascii="Times New Roman" w:hAnsi="Times New Roman" w:cs="Times New Roman"/>
          <w:b/>
          <w:sz w:val="24"/>
          <w:szCs w:val="24"/>
        </w:rPr>
      </w:pPr>
    </w:p>
    <w:p w:rsidR="00EA3572" w:rsidRDefault="00EA3572" w:rsidP="00EA3572">
      <w:pPr>
        <w:pStyle w:val="Sraopastraipa"/>
        <w:spacing w:after="0"/>
        <w:ind w:left="0" w:firstLine="567"/>
        <w:jc w:val="center"/>
        <w:rPr>
          <w:rFonts w:ascii="Times New Roman" w:hAnsi="Times New Roman" w:cs="Times New Roman"/>
          <w:b/>
          <w:sz w:val="24"/>
          <w:szCs w:val="24"/>
        </w:rPr>
      </w:pPr>
      <w:r w:rsidRPr="00EA3572">
        <w:rPr>
          <w:rFonts w:ascii="Times New Roman" w:hAnsi="Times New Roman" w:cs="Times New Roman"/>
          <w:b/>
          <w:sz w:val="24"/>
          <w:szCs w:val="24"/>
        </w:rPr>
        <w:t>3 pav. Mokinių dantų ėduonies intensyvumo indeksas Plungės r. sav., Telšių apsk., Lietuvoje 2014-2017 m.</w:t>
      </w:r>
    </w:p>
    <w:p w:rsidR="00084F65" w:rsidRDefault="00EA3572" w:rsidP="00EA3572">
      <w:pPr>
        <w:pStyle w:val="Sraopastraipa"/>
        <w:spacing w:after="0"/>
        <w:ind w:left="0" w:firstLine="567"/>
        <w:jc w:val="center"/>
        <w:rPr>
          <w:rFonts w:ascii="Times New Roman" w:hAnsi="Times New Roman" w:cs="Times New Roman"/>
          <w:i/>
          <w:sz w:val="24"/>
          <w:szCs w:val="24"/>
        </w:rPr>
      </w:pPr>
      <w:r>
        <w:rPr>
          <w:rFonts w:ascii="Times New Roman" w:hAnsi="Times New Roman" w:cs="Times New Roman"/>
          <w:i/>
          <w:sz w:val="24"/>
          <w:szCs w:val="24"/>
        </w:rPr>
        <w:t>Šaltinis: Higienos institut</w:t>
      </w:r>
      <w:r w:rsidR="00655ECD">
        <w:rPr>
          <w:rFonts w:ascii="Times New Roman" w:hAnsi="Times New Roman" w:cs="Times New Roman"/>
          <w:i/>
          <w:sz w:val="24"/>
          <w:szCs w:val="24"/>
        </w:rPr>
        <w:t>a</w:t>
      </w:r>
      <w:r>
        <w:rPr>
          <w:rFonts w:ascii="Times New Roman" w:hAnsi="Times New Roman" w:cs="Times New Roman"/>
          <w:i/>
          <w:sz w:val="24"/>
          <w:szCs w:val="24"/>
        </w:rPr>
        <w:t>s Sveikatos informacijos centra</w:t>
      </w:r>
      <w:r w:rsidR="00084F65">
        <w:rPr>
          <w:rFonts w:ascii="Times New Roman" w:hAnsi="Times New Roman" w:cs="Times New Roman"/>
          <w:i/>
          <w:sz w:val="24"/>
          <w:szCs w:val="24"/>
        </w:rPr>
        <w:t>s</w:t>
      </w:r>
    </w:p>
    <w:p w:rsidR="00EA3572" w:rsidRDefault="00EA3572" w:rsidP="00EA3572">
      <w:pPr>
        <w:pStyle w:val="Sraopastraipa"/>
        <w:spacing w:after="0"/>
        <w:ind w:left="0" w:firstLine="567"/>
        <w:jc w:val="center"/>
        <w:rPr>
          <w:rFonts w:ascii="Times New Roman" w:hAnsi="Times New Roman" w:cs="Times New Roman"/>
          <w:i/>
          <w:sz w:val="24"/>
          <w:szCs w:val="24"/>
        </w:rPr>
      </w:pPr>
    </w:p>
    <w:p w:rsidR="00655ECD" w:rsidRDefault="005B4ACE" w:rsidP="00751AC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Mokinių dantų ligas įtakoja netinkama dantų higiena, neracionali mityba, per dažnai vartojamas daug cukraus turintis maistas. Išanalizavus vaikų pateiktas formas Nr. 027-1/a nustatyta, </w:t>
      </w:r>
      <w:r>
        <w:rPr>
          <w:rFonts w:ascii="Times New Roman" w:hAnsi="Times New Roman" w:cs="Times New Roman"/>
          <w:sz w:val="24"/>
          <w:szCs w:val="24"/>
        </w:rPr>
        <w:lastRenderedPageBreak/>
        <w:t xml:space="preserve">kad tik kas ketvirto vaiko nuolatiniai dantys nėra pažeisti ėduonies, plombuoti ar išrauti. Dažniausiai vaikų neturinčių nuolatinių ėduonies pažeistų, plombuotų ar išrautų dantų, nustatyta PUG ir pradinėse klasėse (44,6 proc. visų pasitikrinusiųjų). (4 pav.) </w:t>
      </w:r>
    </w:p>
    <w:p w:rsidR="00084F65" w:rsidRDefault="00084F65" w:rsidP="00751ACA">
      <w:pPr>
        <w:pStyle w:val="Sraopastraipa"/>
        <w:spacing w:after="0" w:line="240" w:lineRule="auto"/>
        <w:ind w:left="0" w:firstLine="720"/>
        <w:jc w:val="both"/>
        <w:rPr>
          <w:rFonts w:ascii="Times New Roman" w:hAnsi="Times New Roman" w:cs="Times New Roman"/>
          <w:sz w:val="24"/>
          <w:szCs w:val="24"/>
        </w:rPr>
      </w:pPr>
    </w:p>
    <w:p w:rsidR="005B4ACE" w:rsidRDefault="00CC0138" w:rsidP="00CC0138">
      <w:pPr>
        <w:pStyle w:val="Sraopastraipa"/>
        <w:spacing w:after="0"/>
        <w:ind w:left="0"/>
        <w:jc w:val="both"/>
        <w:rPr>
          <w:rFonts w:ascii="Times New Roman" w:hAnsi="Times New Roman" w:cs="Times New Roman"/>
          <w:sz w:val="24"/>
          <w:szCs w:val="24"/>
        </w:rPr>
      </w:pPr>
      <w:r>
        <w:rPr>
          <w:noProof/>
          <w:lang w:eastAsia="lt-LT"/>
        </w:rPr>
        <w:drawing>
          <wp:inline distT="0" distB="0" distL="0" distR="0" wp14:anchorId="539ED11A" wp14:editId="467A3C2E">
            <wp:extent cx="6120130" cy="4056151"/>
            <wp:effectExtent l="0" t="0" r="0" b="190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4F65" w:rsidRDefault="00084F65" w:rsidP="00CC0138">
      <w:pPr>
        <w:pStyle w:val="Sraopastraipa"/>
        <w:spacing w:after="0"/>
        <w:ind w:left="0"/>
        <w:jc w:val="center"/>
        <w:rPr>
          <w:rFonts w:ascii="Times New Roman" w:hAnsi="Times New Roman" w:cs="Times New Roman"/>
          <w:b/>
          <w:sz w:val="24"/>
          <w:szCs w:val="24"/>
        </w:rPr>
      </w:pPr>
    </w:p>
    <w:p w:rsidR="00CC0138" w:rsidRDefault="00CC0138" w:rsidP="00CC0138">
      <w:pPr>
        <w:pStyle w:val="Sraopastraipa"/>
        <w:spacing w:after="0"/>
        <w:ind w:left="0"/>
        <w:jc w:val="center"/>
        <w:rPr>
          <w:rFonts w:ascii="Times New Roman" w:hAnsi="Times New Roman" w:cs="Times New Roman"/>
          <w:b/>
          <w:sz w:val="24"/>
          <w:szCs w:val="24"/>
        </w:rPr>
      </w:pPr>
      <w:r w:rsidRPr="00CC0138">
        <w:rPr>
          <w:rFonts w:ascii="Times New Roman" w:hAnsi="Times New Roman" w:cs="Times New Roman"/>
          <w:b/>
          <w:sz w:val="24"/>
          <w:szCs w:val="24"/>
        </w:rPr>
        <w:t xml:space="preserve">4 pav. Vaikų, kurie neturi dantų ėduonies pažeistų, plombuotų ar išrautų dantų, proc. Plungės r. sav. 2016-2018 m. m. </w:t>
      </w:r>
    </w:p>
    <w:p w:rsidR="00CC0138" w:rsidRDefault="00CC0138" w:rsidP="00CC0138">
      <w:pPr>
        <w:pStyle w:val="Sraopastraipa"/>
        <w:spacing w:after="0"/>
        <w:ind w:left="0"/>
        <w:jc w:val="center"/>
        <w:rPr>
          <w:rFonts w:ascii="Times New Roman" w:hAnsi="Times New Roman" w:cs="Times New Roman"/>
          <w:i/>
          <w:sz w:val="24"/>
          <w:szCs w:val="24"/>
        </w:rPr>
      </w:pPr>
      <w:r>
        <w:rPr>
          <w:rFonts w:ascii="Times New Roman" w:hAnsi="Times New Roman" w:cs="Times New Roman"/>
          <w:i/>
          <w:sz w:val="24"/>
          <w:szCs w:val="24"/>
        </w:rPr>
        <w:t>Šaltinis: Plungės rajono savivaldybės visuomenės sveikatos biuras</w:t>
      </w:r>
    </w:p>
    <w:p w:rsidR="00A44253" w:rsidRDefault="00A44253" w:rsidP="00A44253">
      <w:pPr>
        <w:pStyle w:val="Sraopastraipa"/>
        <w:spacing w:after="0"/>
        <w:ind w:left="0" w:firstLine="567"/>
        <w:jc w:val="both"/>
        <w:rPr>
          <w:rFonts w:ascii="Times New Roman" w:hAnsi="Times New Roman" w:cs="Times New Roman"/>
          <w:sz w:val="24"/>
          <w:szCs w:val="24"/>
        </w:rPr>
      </w:pPr>
    </w:p>
    <w:p w:rsidR="00A44253" w:rsidRDefault="00A44253" w:rsidP="00751AC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Nuo 2017 metų sausio 1 dienos vaikų dantų </w:t>
      </w:r>
      <w:proofErr w:type="spellStart"/>
      <w:r>
        <w:rPr>
          <w:rFonts w:ascii="Times New Roman" w:hAnsi="Times New Roman" w:cs="Times New Roman"/>
          <w:sz w:val="24"/>
          <w:szCs w:val="24"/>
        </w:rPr>
        <w:t>silantavimo</w:t>
      </w:r>
      <w:proofErr w:type="spellEnd"/>
      <w:r>
        <w:rPr>
          <w:rFonts w:ascii="Times New Roman" w:hAnsi="Times New Roman" w:cs="Times New Roman"/>
          <w:sz w:val="24"/>
          <w:szCs w:val="24"/>
        </w:rPr>
        <w:t xml:space="preserve"> programa nebėra priskiriama prie prevencinių programų, tačiau ši programa ir toli</w:t>
      </w:r>
      <w:r w:rsidR="00F8792C">
        <w:rPr>
          <w:rFonts w:ascii="Times New Roman" w:hAnsi="Times New Roman" w:cs="Times New Roman"/>
          <w:sz w:val="24"/>
          <w:szCs w:val="24"/>
        </w:rPr>
        <w:t>a</w:t>
      </w:r>
      <w:r>
        <w:rPr>
          <w:rFonts w:ascii="Times New Roman" w:hAnsi="Times New Roman" w:cs="Times New Roman"/>
          <w:sz w:val="24"/>
          <w:szCs w:val="24"/>
        </w:rPr>
        <w:t xml:space="preserve">u apmokama iš privalomojo sveikatos draudimo fondo lėšų. </w:t>
      </w:r>
      <w:proofErr w:type="spellStart"/>
      <w:r>
        <w:rPr>
          <w:rFonts w:ascii="Times New Roman" w:hAnsi="Times New Roman" w:cs="Times New Roman"/>
          <w:sz w:val="24"/>
          <w:szCs w:val="24"/>
        </w:rPr>
        <w:t>Silantai-</w:t>
      </w:r>
      <w:proofErr w:type="spellEnd"/>
      <w:r>
        <w:rPr>
          <w:rFonts w:ascii="Times New Roman" w:hAnsi="Times New Roman" w:cs="Times New Roman"/>
          <w:sz w:val="24"/>
          <w:szCs w:val="24"/>
        </w:rPr>
        <w:t xml:space="preserve"> medžiagos, kurios apsaugo nuo dantų ėduonies (karieso). </w:t>
      </w:r>
      <w:proofErr w:type="spellStart"/>
      <w:r>
        <w:rPr>
          <w:rFonts w:ascii="Times New Roman" w:hAnsi="Times New Roman" w:cs="Times New Roman"/>
          <w:sz w:val="24"/>
          <w:szCs w:val="24"/>
        </w:rPr>
        <w:t>Silantais</w:t>
      </w:r>
      <w:proofErr w:type="spellEnd"/>
      <w:r>
        <w:rPr>
          <w:rFonts w:ascii="Times New Roman" w:hAnsi="Times New Roman" w:cs="Times New Roman"/>
          <w:sz w:val="24"/>
          <w:szCs w:val="24"/>
        </w:rPr>
        <w:t xml:space="preserve"> dengiami tik nesugedę nuolatiniai krūminiai dantys.</w:t>
      </w:r>
      <w:r w:rsidR="00BE75C3">
        <w:rPr>
          <w:rFonts w:ascii="Times New Roman" w:hAnsi="Times New Roman" w:cs="Times New Roman"/>
          <w:sz w:val="24"/>
          <w:szCs w:val="24"/>
        </w:rPr>
        <w:t xml:space="preserve"> </w:t>
      </w:r>
      <w:r w:rsidR="00B6733D">
        <w:rPr>
          <w:rFonts w:ascii="Times New Roman" w:hAnsi="Times New Roman" w:cs="Times New Roman"/>
          <w:sz w:val="24"/>
          <w:szCs w:val="24"/>
        </w:rPr>
        <w:t>2012-2017m. laikotarpiu dalyvavusių vaikų šioje programoje sumažėjo 1,7 karto. 2017m. vaikų 6-1</w:t>
      </w:r>
      <w:r w:rsidR="004626BC">
        <w:rPr>
          <w:rFonts w:ascii="Times New Roman" w:hAnsi="Times New Roman" w:cs="Times New Roman"/>
          <w:sz w:val="24"/>
          <w:szCs w:val="24"/>
        </w:rPr>
        <w:t>4</w:t>
      </w:r>
      <w:r w:rsidR="00BB0FE2">
        <w:rPr>
          <w:rFonts w:ascii="Times New Roman" w:hAnsi="Times New Roman" w:cs="Times New Roman"/>
          <w:sz w:val="24"/>
          <w:szCs w:val="24"/>
        </w:rPr>
        <w:t xml:space="preserve"> </w:t>
      </w:r>
      <w:r w:rsidR="004626BC">
        <w:rPr>
          <w:rFonts w:ascii="Times New Roman" w:hAnsi="Times New Roman" w:cs="Times New Roman"/>
          <w:sz w:val="24"/>
          <w:szCs w:val="24"/>
        </w:rPr>
        <w:t>m. amžiaus buvo 2886, iš jų 202</w:t>
      </w:r>
      <w:r w:rsidR="00B6733D">
        <w:rPr>
          <w:rFonts w:ascii="Times New Roman" w:hAnsi="Times New Roman" w:cs="Times New Roman"/>
          <w:sz w:val="24"/>
          <w:szCs w:val="24"/>
        </w:rPr>
        <w:t xml:space="preserve"> dalyvavo vaikų krūminių dantų dengimo </w:t>
      </w:r>
      <w:proofErr w:type="spellStart"/>
      <w:r w:rsidR="00B6733D">
        <w:rPr>
          <w:rFonts w:ascii="Times New Roman" w:hAnsi="Times New Roman" w:cs="Times New Roman"/>
          <w:sz w:val="24"/>
          <w:szCs w:val="24"/>
        </w:rPr>
        <w:t>silantinėmis</w:t>
      </w:r>
      <w:proofErr w:type="spellEnd"/>
      <w:r w:rsidR="00B6733D">
        <w:rPr>
          <w:rFonts w:ascii="Times New Roman" w:hAnsi="Times New Roman" w:cs="Times New Roman"/>
          <w:sz w:val="24"/>
          <w:szCs w:val="24"/>
        </w:rPr>
        <w:t xml:space="preserve"> medžiagomis programoje</w:t>
      </w:r>
      <w:r w:rsidR="004626BC">
        <w:rPr>
          <w:rFonts w:ascii="Times New Roman" w:hAnsi="Times New Roman" w:cs="Times New Roman"/>
          <w:sz w:val="24"/>
          <w:szCs w:val="24"/>
        </w:rPr>
        <w:t>, tai sudarė 7</w:t>
      </w:r>
      <w:r w:rsidR="00B6733D">
        <w:rPr>
          <w:rFonts w:ascii="Times New Roman" w:hAnsi="Times New Roman" w:cs="Times New Roman"/>
          <w:sz w:val="24"/>
          <w:szCs w:val="24"/>
        </w:rPr>
        <w:t xml:space="preserve"> proc.</w:t>
      </w:r>
      <w:r>
        <w:rPr>
          <w:rFonts w:ascii="Times New Roman" w:hAnsi="Times New Roman" w:cs="Times New Roman"/>
          <w:sz w:val="24"/>
          <w:szCs w:val="24"/>
        </w:rPr>
        <w:t xml:space="preserve"> </w:t>
      </w:r>
      <w:r w:rsidR="006D03AA">
        <w:rPr>
          <w:rFonts w:ascii="Times New Roman" w:hAnsi="Times New Roman" w:cs="Times New Roman"/>
          <w:sz w:val="24"/>
          <w:szCs w:val="24"/>
        </w:rPr>
        <w:t>(5pav.)</w:t>
      </w:r>
    </w:p>
    <w:p w:rsidR="004626BC" w:rsidRDefault="004626BC" w:rsidP="00A44253">
      <w:pPr>
        <w:pStyle w:val="Sraopastraipa"/>
        <w:spacing w:after="0"/>
        <w:ind w:left="0" w:firstLine="567"/>
        <w:jc w:val="both"/>
        <w:rPr>
          <w:rFonts w:ascii="Times New Roman" w:hAnsi="Times New Roman" w:cs="Times New Roman"/>
          <w:sz w:val="24"/>
          <w:szCs w:val="24"/>
        </w:rPr>
      </w:pPr>
    </w:p>
    <w:p w:rsidR="004626BC" w:rsidRDefault="004626BC" w:rsidP="00A44253">
      <w:pPr>
        <w:pStyle w:val="Sraopastraipa"/>
        <w:spacing w:after="0"/>
        <w:ind w:left="0" w:firstLine="567"/>
        <w:jc w:val="both"/>
        <w:rPr>
          <w:rFonts w:ascii="Times New Roman" w:hAnsi="Times New Roman" w:cs="Times New Roman"/>
          <w:sz w:val="24"/>
          <w:szCs w:val="24"/>
        </w:rPr>
      </w:pPr>
      <w:r>
        <w:rPr>
          <w:noProof/>
          <w:lang w:eastAsia="lt-LT"/>
        </w:rPr>
        <w:lastRenderedPageBreak/>
        <w:drawing>
          <wp:inline distT="0" distB="0" distL="0" distR="0" wp14:anchorId="2F9CED82" wp14:editId="32505A49">
            <wp:extent cx="6048375" cy="2847976"/>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4F65" w:rsidRDefault="00084F65" w:rsidP="000C1D08">
      <w:pPr>
        <w:pStyle w:val="Sraopastraipa"/>
        <w:spacing w:after="0"/>
        <w:ind w:left="0" w:firstLine="567"/>
        <w:jc w:val="center"/>
        <w:rPr>
          <w:rFonts w:ascii="Times New Roman" w:hAnsi="Times New Roman" w:cs="Times New Roman"/>
          <w:b/>
          <w:sz w:val="24"/>
          <w:szCs w:val="24"/>
        </w:rPr>
      </w:pPr>
    </w:p>
    <w:p w:rsidR="000C1D08" w:rsidRDefault="000C1D08" w:rsidP="000C1D08">
      <w:pPr>
        <w:pStyle w:val="Sraopastraipa"/>
        <w:spacing w:after="0"/>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5 pav. Vaikų krūminių dantų dengimo </w:t>
      </w:r>
      <w:proofErr w:type="spellStart"/>
      <w:r>
        <w:rPr>
          <w:rFonts w:ascii="Times New Roman" w:hAnsi="Times New Roman" w:cs="Times New Roman"/>
          <w:b/>
          <w:sz w:val="24"/>
          <w:szCs w:val="24"/>
        </w:rPr>
        <w:t>silantinėmis</w:t>
      </w:r>
      <w:proofErr w:type="spellEnd"/>
      <w:r>
        <w:rPr>
          <w:rFonts w:ascii="Times New Roman" w:hAnsi="Times New Roman" w:cs="Times New Roman"/>
          <w:b/>
          <w:sz w:val="24"/>
          <w:szCs w:val="24"/>
        </w:rPr>
        <w:t xml:space="preserve"> medžiagomis programoje dalyvavę vaikai (proc.) pagal pirminius sveikatos centrus 2012-2017 metais.</w:t>
      </w:r>
    </w:p>
    <w:p w:rsidR="000C1D08" w:rsidRDefault="000C1D08" w:rsidP="000C1D08">
      <w:pPr>
        <w:pStyle w:val="Sraopastraipa"/>
        <w:spacing w:after="0"/>
        <w:ind w:left="0" w:firstLine="567"/>
        <w:jc w:val="center"/>
        <w:rPr>
          <w:rFonts w:ascii="Times New Roman" w:hAnsi="Times New Roman" w:cs="Times New Roman"/>
          <w:i/>
          <w:sz w:val="24"/>
          <w:szCs w:val="24"/>
        </w:rPr>
      </w:pPr>
      <w:r>
        <w:rPr>
          <w:rFonts w:ascii="Times New Roman" w:hAnsi="Times New Roman" w:cs="Times New Roman"/>
          <w:i/>
          <w:sz w:val="24"/>
          <w:szCs w:val="24"/>
        </w:rPr>
        <w:t>Šaltinis: Šiaulių TLK duomenys</w:t>
      </w:r>
    </w:p>
    <w:p w:rsidR="000C1D08" w:rsidRDefault="000C1D08" w:rsidP="000C1D08">
      <w:pPr>
        <w:pStyle w:val="Sraopastraipa"/>
        <w:spacing w:after="0"/>
        <w:ind w:left="0" w:firstLine="567"/>
        <w:jc w:val="both"/>
        <w:rPr>
          <w:rFonts w:ascii="Times New Roman" w:hAnsi="Times New Roman" w:cs="Times New Roman"/>
          <w:sz w:val="24"/>
          <w:szCs w:val="24"/>
        </w:rPr>
      </w:pPr>
    </w:p>
    <w:p w:rsidR="00B6733D" w:rsidRPr="000C1D08" w:rsidRDefault="000C1D08" w:rsidP="00751AC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Lyginant visų savivaldybių rodiklius su šalies, Plungės rajono savivaldybės vaikai vis dar vieni iš pasyviausiai dalyvaujančių šioje programoje. (6 pav.)</w:t>
      </w:r>
    </w:p>
    <w:p w:rsidR="00CC0138" w:rsidRPr="00CC0138" w:rsidRDefault="00CC0138" w:rsidP="00CC0138">
      <w:pPr>
        <w:pStyle w:val="Sraopastraipa"/>
        <w:spacing w:after="0"/>
        <w:ind w:left="0"/>
        <w:jc w:val="center"/>
        <w:rPr>
          <w:rFonts w:ascii="Times New Roman" w:hAnsi="Times New Roman" w:cs="Times New Roman"/>
          <w:i/>
          <w:sz w:val="24"/>
          <w:szCs w:val="24"/>
        </w:rPr>
      </w:pPr>
    </w:p>
    <w:p w:rsidR="00CC0138" w:rsidRDefault="006D03AA" w:rsidP="00CC0138">
      <w:pPr>
        <w:pStyle w:val="Sraopastraipa"/>
        <w:spacing w:after="0"/>
        <w:ind w:left="0"/>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6120130" cy="1688750"/>
            <wp:effectExtent l="0" t="0" r="0" b="6985"/>
            <wp:docPr id="3" name="Paveikslėlis 3" descr="C:\Users\Asus\Desktop\metinė ataskaita\silant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metinė ataskaita\silanta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688750"/>
                    </a:xfrm>
                    <a:prstGeom prst="rect">
                      <a:avLst/>
                    </a:prstGeom>
                    <a:noFill/>
                    <a:ln>
                      <a:noFill/>
                    </a:ln>
                  </pic:spPr>
                </pic:pic>
              </a:graphicData>
            </a:graphic>
          </wp:inline>
        </w:drawing>
      </w:r>
    </w:p>
    <w:p w:rsidR="00084F65" w:rsidRDefault="00084F65" w:rsidP="00CC0138">
      <w:pPr>
        <w:pStyle w:val="Sraopastraipa"/>
        <w:spacing w:after="0"/>
        <w:ind w:left="0"/>
        <w:jc w:val="center"/>
        <w:rPr>
          <w:rFonts w:ascii="Times New Roman" w:hAnsi="Times New Roman" w:cs="Times New Roman"/>
          <w:b/>
          <w:sz w:val="24"/>
          <w:szCs w:val="24"/>
        </w:rPr>
      </w:pPr>
    </w:p>
    <w:p w:rsidR="006D03AA" w:rsidRDefault="000C1D08" w:rsidP="00CC0138">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6 </w:t>
      </w:r>
      <w:r w:rsidR="006D03AA">
        <w:rPr>
          <w:rFonts w:ascii="Times New Roman" w:hAnsi="Times New Roman" w:cs="Times New Roman"/>
          <w:b/>
          <w:sz w:val="24"/>
          <w:szCs w:val="24"/>
        </w:rPr>
        <w:t xml:space="preserve">pav. Tikslinės populiacijos (6-14 m.) dalis, dalyvavusi vaikų krūminių dantų dengimo </w:t>
      </w:r>
      <w:proofErr w:type="spellStart"/>
      <w:r w:rsidR="006D03AA">
        <w:rPr>
          <w:rFonts w:ascii="Times New Roman" w:hAnsi="Times New Roman" w:cs="Times New Roman"/>
          <w:b/>
          <w:sz w:val="24"/>
          <w:szCs w:val="24"/>
        </w:rPr>
        <w:t>silantinėmis</w:t>
      </w:r>
      <w:proofErr w:type="spellEnd"/>
      <w:r w:rsidR="006D03AA">
        <w:rPr>
          <w:rFonts w:ascii="Times New Roman" w:hAnsi="Times New Roman" w:cs="Times New Roman"/>
          <w:b/>
          <w:sz w:val="24"/>
          <w:szCs w:val="24"/>
        </w:rPr>
        <w:t xml:space="preserve"> medžiagomis programoje, proc.</w:t>
      </w:r>
    </w:p>
    <w:p w:rsidR="00EA3572" w:rsidRPr="00764F1A" w:rsidRDefault="006D03AA" w:rsidP="00764F1A">
      <w:pPr>
        <w:pStyle w:val="Sraopastraipa"/>
        <w:spacing w:after="0"/>
        <w:ind w:left="0"/>
        <w:jc w:val="center"/>
        <w:rPr>
          <w:rFonts w:ascii="Times New Roman" w:hAnsi="Times New Roman" w:cs="Times New Roman"/>
          <w:i/>
          <w:sz w:val="24"/>
          <w:szCs w:val="24"/>
        </w:rPr>
      </w:pPr>
      <w:r>
        <w:rPr>
          <w:rFonts w:ascii="Times New Roman" w:hAnsi="Times New Roman" w:cs="Times New Roman"/>
          <w:i/>
          <w:sz w:val="24"/>
          <w:szCs w:val="24"/>
        </w:rPr>
        <w:t>Šalt</w:t>
      </w:r>
      <w:r w:rsidR="00E16B2E">
        <w:rPr>
          <w:rFonts w:ascii="Times New Roman" w:hAnsi="Times New Roman" w:cs="Times New Roman"/>
          <w:i/>
          <w:sz w:val="24"/>
          <w:szCs w:val="24"/>
        </w:rPr>
        <w:t>inis: Higienos institutas</w:t>
      </w:r>
      <w:r>
        <w:rPr>
          <w:rFonts w:ascii="Times New Roman" w:hAnsi="Times New Roman" w:cs="Times New Roman"/>
          <w:i/>
          <w:sz w:val="24"/>
          <w:szCs w:val="24"/>
        </w:rPr>
        <w:t xml:space="preserve"> Sveikatos informacijos</w:t>
      </w:r>
      <w:r w:rsidR="00764F1A">
        <w:rPr>
          <w:rFonts w:ascii="Times New Roman" w:hAnsi="Times New Roman" w:cs="Times New Roman"/>
          <w:i/>
          <w:sz w:val="24"/>
          <w:szCs w:val="24"/>
        </w:rPr>
        <w:t xml:space="preserve"> centras</w:t>
      </w:r>
      <w:r w:rsidR="00EA3572" w:rsidRPr="00764F1A">
        <w:rPr>
          <w:rFonts w:ascii="Times New Roman" w:hAnsi="Times New Roman" w:cs="Times New Roman"/>
          <w:sz w:val="24"/>
          <w:szCs w:val="24"/>
        </w:rPr>
        <w:t xml:space="preserve"> </w:t>
      </w:r>
    </w:p>
    <w:p w:rsidR="00A51CDD" w:rsidRDefault="00A51CDD" w:rsidP="00A80A96">
      <w:pPr>
        <w:pStyle w:val="Sraopastraipa"/>
        <w:spacing w:after="0"/>
        <w:ind w:left="0" w:firstLine="567"/>
        <w:jc w:val="center"/>
        <w:rPr>
          <w:rFonts w:ascii="Times New Roman" w:hAnsi="Times New Roman" w:cs="Times New Roman"/>
          <w:b/>
          <w:sz w:val="24"/>
          <w:szCs w:val="24"/>
        </w:rPr>
      </w:pPr>
    </w:p>
    <w:p w:rsidR="00A80A96" w:rsidRDefault="00A80A96" w:rsidP="00A80A96">
      <w:pPr>
        <w:pStyle w:val="Sraopastraipa"/>
        <w:spacing w:after="0"/>
        <w:ind w:left="0" w:firstLine="567"/>
        <w:jc w:val="center"/>
        <w:rPr>
          <w:rFonts w:ascii="Times New Roman" w:hAnsi="Times New Roman" w:cs="Times New Roman"/>
          <w:b/>
          <w:sz w:val="24"/>
          <w:szCs w:val="24"/>
        </w:rPr>
      </w:pPr>
      <w:r w:rsidRPr="00A80A96">
        <w:rPr>
          <w:rFonts w:ascii="Times New Roman" w:hAnsi="Times New Roman" w:cs="Times New Roman"/>
          <w:b/>
          <w:sz w:val="24"/>
          <w:szCs w:val="24"/>
        </w:rPr>
        <w:t xml:space="preserve">2.2 </w:t>
      </w:r>
      <w:r w:rsidR="00084F65">
        <w:rPr>
          <w:rFonts w:ascii="Times New Roman" w:hAnsi="Times New Roman" w:cs="Times New Roman"/>
          <w:b/>
          <w:sz w:val="24"/>
          <w:szCs w:val="24"/>
        </w:rPr>
        <w:t>KŪDIKI</w:t>
      </w:r>
      <w:r w:rsidR="005E2892">
        <w:rPr>
          <w:rFonts w:ascii="Times New Roman" w:hAnsi="Times New Roman" w:cs="Times New Roman"/>
          <w:b/>
          <w:sz w:val="24"/>
          <w:szCs w:val="24"/>
        </w:rPr>
        <w:t>Ų</w:t>
      </w:r>
      <w:r w:rsidR="0029326E">
        <w:rPr>
          <w:rFonts w:ascii="Times New Roman" w:hAnsi="Times New Roman" w:cs="Times New Roman"/>
          <w:b/>
          <w:sz w:val="24"/>
          <w:szCs w:val="24"/>
        </w:rPr>
        <w:t>,</w:t>
      </w:r>
      <w:r w:rsidR="00084F65">
        <w:rPr>
          <w:rFonts w:ascii="Times New Roman" w:hAnsi="Times New Roman" w:cs="Times New Roman"/>
          <w:b/>
          <w:sz w:val="24"/>
          <w:szCs w:val="24"/>
        </w:rPr>
        <w:t xml:space="preserve"> IŠIMTI</w:t>
      </w:r>
      <w:r>
        <w:rPr>
          <w:rFonts w:ascii="Times New Roman" w:hAnsi="Times New Roman" w:cs="Times New Roman"/>
          <w:b/>
          <w:sz w:val="24"/>
          <w:szCs w:val="24"/>
        </w:rPr>
        <w:t>NAI ŽINDYTŲ IKI 6 MĖN. AMŽIAUS</w:t>
      </w:r>
      <w:r w:rsidR="00F46800">
        <w:rPr>
          <w:rFonts w:ascii="Times New Roman" w:hAnsi="Times New Roman" w:cs="Times New Roman"/>
          <w:b/>
          <w:sz w:val="24"/>
          <w:szCs w:val="24"/>
        </w:rPr>
        <w:t xml:space="preserve"> DALIS</w:t>
      </w:r>
    </w:p>
    <w:p w:rsidR="00A51CDD" w:rsidRDefault="00A51CDD" w:rsidP="00F46800">
      <w:pPr>
        <w:pStyle w:val="Sraopastraipa"/>
        <w:spacing w:after="0"/>
        <w:ind w:left="0" w:firstLine="567"/>
        <w:jc w:val="both"/>
        <w:rPr>
          <w:rFonts w:ascii="Times New Roman" w:hAnsi="Times New Roman" w:cs="Times New Roman"/>
          <w:b/>
          <w:sz w:val="24"/>
          <w:szCs w:val="24"/>
        </w:rPr>
      </w:pPr>
    </w:p>
    <w:p w:rsidR="00F46800" w:rsidRDefault="00FA2DDC" w:rsidP="00E3289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Pasaulio sveiktos</w:t>
      </w:r>
      <w:r w:rsidR="000D206F">
        <w:rPr>
          <w:rFonts w:ascii="Times New Roman" w:hAnsi="Times New Roman" w:cs="Times New Roman"/>
          <w:sz w:val="24"/>
          <w:szCs w:val="24"/>
        </w:rPr>
        <w:t xml:space="preserve"> organizacija (PSO) yra patvirtinusi pasaulinę visuomenės sveiktos rekomendaciją, kad, siekiant užtikrinti optimalų kūdikių augimą, vystymąsi ir sveikatą, jie turėtų būti išimtin</w:t>
      </w:r>
      <w:r w:rsidR="004D7B4E">
        <w:rPr>
          <w:rFonts w:ascii="Times New Roman" w:hAnsi="Times New Roman" w:cs="Times New Roman"/>
          <w:sz w:val="24"/>
          <w:szCs w:val="24"/>
        </w:rPr>
        <w:t>a</w:t>
      </w:r>
      <w:r w:rsidR="000D206F">
        <w:rPr>
          <w:rFonts w:ascii="Times New Roman" w:hAnsi="Times New Roman" w:cs="Times New Roman"/>
          <w:sz w:val="24"/>
          <w:szCs w:val="24"/>
        </w:rPr>
        <w:t xml:space="preserve">i žindomi pirmus šešis gyvenimo mėnesius. Išimtinis žindymas suprantamas toks kūdikių maitinimas, kai jiems duodamas tik motinos pienas, neprimaitinant kitais produktais ir neduodant gerti kitų skysčių, įskaitant vandenį ar </w:t>
      </w:r>
      <w:proofErr w:type="spellStart"/>
      <w:r w:rsidR="000D206F">
        <w:rPr>
          <w:rFonts w:ascii="Times New Roman" w:hAnsi="Times New Roman" w:cs="Times New Roman"/>
          <w:sz w:val="24"/>
          <w:szCs w:val="24"/>
        </w:rPr>
        <w:t>sultis</w:t>
      </w:r>
      <w:proofErr w:type="spellEnd"/>
      <w:r w:rsidR="000D206F">
        <w:rPr>
          <w:rFonts w:ascii="Times New Roman" w:hAnsi="Times New Roman" w:cs="Times New Roman"/>
          <w:sz w:val="24"/>
          <w:szCs w:val="24"/>
        </w:rPr>
        <w:t>.</w:t>
      </w:r>
    </w:p>
    <w:p w:rsidR="00446A86" w:rsidRDefault="005E2892" w:rsidP="00E3289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Vaikų per 2017 </w:t>
      </w:r>
      <w:r w:rsidR="000D206F">
        <w:rPr>
          <w:rFonts w:ascii="Times New Roman" w:hAnsi="Times New Roman" w:cs="Times New Roman"/>
          <w:sz w:val="24"/>
          <w:szCs w:val="24"/>
        </w:rPr>
        <w:t>metus sulaukusių vienerių metų amžiaus Lietuvoje buvo 26 384. Apie trečdalis (9</w:t>
      </w:r>
      <w:r w:rsidR="00446A86">
        <w:rPr>
          <w:rFonts w:ascii="Times New Roman" w:hAnsi="Times New Roman" w:cs="Times New Roman"/>
          <w:sz w:val="24"/>
          <w:szCs w:val="24"/>
        </w:rPr>
        <w:t> </w:t>
      </w:r>
      <w:r w:rsidR="000D206F">
        <w:rPr>
          <w:rFonts w:ascii="Times New Roman" w:hAnsi="Times New Roman" w:cs="Times New Roman"/>
          <w:sz w:val="24"/>
          <w:szCs w:val="24"/>
        </w:rPr>
        <w:t>058</w:t>
      </w:r>
      <w:r w:rsidR="00446A86">
        <w:rPr>
          <w:rFonts w:ascii="Times New Roman" w:hAnsi="Times New Roman" w:cs="Times New Roman"/>
          <w:sz w:val="24"/>
          <w:szCs w:val="24"/>
        </w:rPr>
        <w:t xml:space="preserve"> kūdikiai</w:t>
      </w:r>
      <w:r w:rsidR="000D206F">
        <w:rPr>
          <w:rFonts w:ascii="Times New Roman" w:hAnsi="Times New Roman" w:cs="Times New Roman"/>
          <w:sz w:val="24"/>
          <w:szCs w:val="24"/>
        </w:rPr>
        <w:t>)</w:t>
      </w:r>
      <w:r w:rsidR="00446A86">
        <w:rPr>
          <w:rFonts w:ascii="Times New Roman" w:hAnsi="Times New Roman" w:cs="Times New Roman"/>
          <w:sz w:val="24"/>
          <w:szCs w:val="24"/>
        </w:rPr>
        <w:t xml:space="preserve"> iki 6 mėnesių amžiaus buvo maitinti išimtinai tik motinos pienu. Plungės </w:t>
      </w:r>
      <w:proofErr w:type="spellStart"/>
      <w:r w:rsidR="00446A86">
        <w:rPr>
          <w:rFonts w:ascii="Times New Roman" w:hAnsi="Times New Roman" w:cs="Times New Roman"/>
          <w:sz w:val="24"/>
          <w:szCs w:val="24"/>
        </w:rPr>
        <w:lastRenderedPageBreak/>
        <w:t>raj</w:t>
      </w:r>
      <w:proofErr w:type="spellEnd"/>
      <w:r w:rsidR="00446A86">
        <w:rPr>
          <w:rFonts w:ascii="Times New Roman" w:hAnsi="Times New Roman" w:cs="Times New Roman"/>
          <w:sz w:val="24"/>
          <w:szCs w:val="24"/>
        </w:rPr>
        <w:t xml:space="preserve">., Šalčininkų </w:t>
      </w:r>
      <w:proofErr w:type="spellStart"/>
      <w:r w:rsidR="00446A86">
        <w:rPr>
          <w:rFonts w:ascii="Times New Roman" w:hAnsi="Times New Roman" w:cs="Times New Roman"/>
          <w:sz w:val="24"/>
          <w:szCs w:val="24"/>
        </w:rPr>
        <w:t>raj</w:t>
      </w:r>
      <w:proofErr w:type="spellEnd"/>
      <w:r w:rsidR="00446A86">
        <w:rPr>
          <w:rFonts w:ascii="Times New Roman" w:hAnsi="Times New Roman" w:cs="Times New Roman"/>
          <w:sz w:val="24"/>
          <w:szCs w:val="24"/>
        </w:rPr>
        <w:t xml:space="preserve">., Šiaulių </w:t>
      </w:r>
      <w:proofErr w:type="spellStart"/>
      <w:r w:rsidR="00446A86">
        <w:rPr>
          <w:rFonts w:ascii="Times New Roman" w:hAnsi="Times New Roman" w:cs="Times New Roman"/>
          <w:sz w:val="24"/>
          <w:szCs w:val="24"/>
        </w:rPr>
        <w:t>raj</w:t>
      </w:r>
      <w:proofErr w:type="spellEnd"/>
      <w:r w:rsidR="00446A86">
        <w:rPr>
          <w:rFonts w:ascii="Times New Roman" w:hAnsi="Times New Roman" w:cs="Times New Roman"/>
          <w:sz w:val="24"/>
          <w:szCs w:val="24"/>
        </w:rPr>
        <w:t xml:space="preserve">., Kretingos </w:t>
      </w:r>
      <w:proofErr w:type="spellStart"/>
      <w:r w:rsidR="00446A86">
        <w:rPr>
          <w:rFonts w:ascii="Times New Roman" w:hAnsi="Times New Roman" w:cs="Times New Roman"/>
          <w:sz w:val="24"/>
          <w:szCs w:val="24"/>
        </w:rPr>
        <w:t>raj</w:t>
      </w:r>
      <w:proofErr w:type="spellEnd"/>
      <w:r w:rsidR="00446A86">
        <w:rPr>
          <w:rFonts w:ascii="Times New Roman" w:hAnsi="Times New Roman" w:cs="Times New Roman"/>
          <w:sz w:val="24"/>
          <w:szCs w:val="24"/>
        </w:rPr>
        <w:t xml:space="preserve">. ir Biržų </w:t>
      </w:r>
      <w:proofErr w:type="spellStart"/>
      <w:r w:rsidR="00446A86">
        <w:rPr>
          <w:rFonts w:ascii="Times New Roman" w:hAnsi="Times New Roman" w:cs="Times New Roman"/>
          <w:sz w:val="24"/>
          <w:szCs w:val="24"/>
        </w:rPr>
        <w:t>raj</w:t>
      </w:r>
      <w:proofErr w:type="spellEnd"/>
      <w:r w:rsidR="00446A86">
        <w:rPr>
          <w:rFonts w:ascii="Times New Roman" w:hAnsi="Times New Roman" w:cs="Times New Roman"/>
          <w:sz w:val="24"/>
          <w:szCs w:val="24"/>
        </w:rPr>
        <w:t xml:space="preserve">. savivaldybėse gyvenantys kūdikiai,  maitinami motinos pienu buvo trumpiausiai, t. y. šiose savivaldybėse tik 10-17 proc. kūdikių žindomi iki 6 mėn. amžiaus. </w:t>
      </w:r>
    </w:p>
    <w:p w:rsidR="000D206F" w:rsidRDefault="00446A86" w:rsidP="00E3289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Plungės rajono savivaldybėje 2017m. gimė 353 naujagimiai. Iš jų tik 10,6 proc.</w:t>
      </w:r>
      <w:r w:rsidR="004F31DD">
        <w:rPr>
          <w:rFonts w:ascii="Times New Roman" w:hAnsi="Times New Roman" w:cs="Times New Roman"/>
          <w:sz w:val="24"/>
          <w:szCs w:val="24"/>
        </w:rPr>
        <w:t xml:space="preserve"> (28 kūdikiai) buvo žindyti išimtinai iki 6 mėnesių amžiaus, </w:t>
      </w:r>
      <w:r w:rsidR="004C624D">
        <w:rPr>
          <w:rFonts w:ascii="Times New Roman" w:hAnsi="Times New Roman" w:cs="Times New Roman"/>
          <w:sz w:val="24"/>
          <w:szCs w:val="24"/>
        </w:rPr>
        <w:t>tai yra mažiausias rodiklis</w:t>
      </w:r>
      <w:r>
        <w:rPr>
          <w:rFonts w:ascii="Times New Roman" w:hAnsi="Times New Roman" w:cs="Times New Roman"/>
          <w:sz w:val="24"/>
          <w:szCs w:val="24"/>
        </w:rPr>
        <w:t xml:space="preserve"> </w:t>
      </w:r>
      <w:r w:rsidR="004C624D">
        <w:rPr>
          <w:rFonts w:ascii="Times New Roman" w:hAnsi="Times New Roman" w:cs="Times New Roman"/>
          <w:sz w:val="24"/>
          <w:szCs w:val="24"/>
        </w:rPr>
        <w:t>iš visų savivaldybių ir 3,2 karto mažesnis nei Lietuvos vidurkis</w:t>
      </w:r>
      <w:r w:rsidR="00D04A9A">
        <w:rPr>
          <w:rFonts w:ascii="Times New Roman" w:hAnsi="Times New Roman" w:cs="Times New Roman"/>
          <w:sz w:val="24"/>
          <w:szCs w:val="24"/>
        </w:rPr>
        <w:t>, bei 2,4 karto mažesnis nei apskrities</w:t>
      </w:r>
      <w:r w:rsidR="004C624D">
        <w:rPr>
          <w:rFonts w:ascii="Times New Roman" w:hAnsi="Times New Roman" w:cs="Times New Roman"/>
          <w:sz w:val="24"/>
          <w:szCs w:val="24"/>
        </w:rPr>
        <w:t>. (</w:t>
      </w:r>
      <w:r w:rsidR="00274BC0">
        <w:rPr>
          <w:rFonts w:ascii="Times New Roman" w:hAnsi="Times New Roman" w:cs="Times New Roman"/>
          <w:sz w:val="24"/>
          <w:szCs w:val="24"/>
        </w:rPr>
        <w:t>7 pav</w:t>
      </w:r>
      <w:r w:rsidR="004C624D">
        <w:rPr>
          <w:rFonts w:ascii="Times New Roman" w:hAnsi="Times New Roman" w:cs="Times New Roman"/>
          <w:b/>
          <w:sz w:val="24"/>
          <w:szCs w:val="24"/>
        </w:rPr>
        <w:t>.</w:t>
      </w:r>
      <w:r w:rsidR="004C624D">
        <w:rPr>
          <w:rFonts w:ascii="Times New Roman" w:hAnsi="Times New Roman" w:cs="Times New Roman"/>
          <w:sz w:val="24"/>
          <w:szCs w:val="24"/>
        </w:rPr>
        <w:t>)</w:t>
      </w:r>
      <w:r>
        <w:rPr>
          <w:rFonts w:ascii="Times New Roman" w:hAnsi="Times New Roman" w:cs="Times New Roman"/>
          <w:sz w:val="24"/>
          <w:szCs w:val="24"/>
        </w:rPr>
        <w:t xml:space="preserve"> </w:t>
      </w:r>
    </w:p>
    <w:p w:rsidR="00084F65" w:rsidRDefault="00084F65" w:rsidP="00274BC0">
      <w:pPr>
        <w:pStyle w:val="Sraopastraipa"/>
        <w:spacing w:after="0" w:line="240" w:lineRule="auto"/>
        <w:ind w:left="0" w:firstLine="567"/>
        <w:jc w:val="both"/>
        <w:rPr>
          <w:rFonts w:ascii="Times New Roman" w:hAnsi="Times New Roman" w:cs="Times New Roman"/>
          <w:sz w:val="24"/>
          <w:szCs w:val="24"/>
        </w:rPr>
      </w:pPr>
    </w:p>
    <w:p w:rsidR="00D83DE9" w:rsidRDefault="00D83DE9" w:rsidP="00872076">
      <w:pPr>
        <w:pStyle w:val="Sraopastraipa"/>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6000750" cy="1885950"/>
            <wp:effectExtent l="0" t="0" r="0" b="0"/>
            <wp:docPr id="10" name="Paveikslėlis 10" descr="C:\Users\Asus\Desktop\metinė ataskaita\žindy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metinė ataskaita\žindyma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1263" cy="1892397"/>
                    </a:xfrm>
                    <a:prstGeom prst="rect">
                      <a:avLst/>
                    </a:prstGeom>
                    <a:noFill/>
                    <a:ln>
                      <a:noFill/>
                    </a:ln>
                  </pic:spPr>
                </pic:pic>
              </a:graphicData>
            </a:graphic>
          </wp:inline>
        </w:drawing>
      </w:r>
    </w:p>
    <w:p w:rsidR="004C624D" w:rsidRDefault="004C624D" w:rsidP="004C624D">
      <w:pPr>
        <w:pStyle w:val="Sraopastraipa"/>
        <w:spacing w:after="0"/>
        <w:ind w:left="0" w:firstLine="567"/>
        <w:rPr>
          <w:rFonts w:ascii="Times New Roman" w:hAnsi="Times New Roman" w:cs="Times New Roman"/>
          <w:sz w:val="24"/>
          <w:szCs w:val="24"/>
        </w:rPr>
      </w:pPr>
    </w:p>
    <w:p w:rsidR="000D206F" w:rsidRDefault="00F05777" w:rsidP="00872076">
      <w:pPr>
        <w:pStyle w:val="Sraopastraipa"/>
        <w:spacing w:after="0"/>
        <w:ind w:left="0" w:firstLine="567"/>
        <w:jc w:val="center"/>
        <w:rPr>
          <w:rFonts w:ascii="Times New Roman" w:hAnsi="Times New Roman" w:cs="Times New Roman"/>
          <w:b/>
          <w:sz w:val="24"/>
          <w:szCs w:val="24"/>
        </w:rPr>
      </w:pPr>
      <w:r>
        <w:rPr>
          <w:rFonts w:ascii="Times New Roman" w:hAnsi="Times New Roman" w:cs="Times New Roman"/>
          <w:b/>
          <w:sz w:val="24"/>
          <w:szCs w:val="24"/>
        </w:rPr>
        <w:t>7</w:t>
      </w:r>
      <w:r w:rsidR="00872076">
        <w:rPr>
          <w:rFonts w:ascii="Times New Roman" w:hAnsi="Times New Roman" w:cs="Times New Roman"/>
          <w:b/>
          <w:sz w:val="24"/>
          <w:szCs w:val="24"/>
        </w:rPr>
        <w:t xml:space="preserve"> pav. Kūdikių išimtinai žindytų iki 6 mėn. amžiaus, dalis (proc.)</w:t>
      </w:r>
    </w:p>
    <w:p w:rsidR="00102A13" w:rsidRPr="00102A13" w:rsidRDefault="00872076" w:rsidP="00102A13">
      <w:pPr>
        <w:pStyle w:val="Sraopastraipa"/>
        <w:spacing w:after="0"/>
        <w:ind w:left="0" w:firstLine="567"/>
        <w:jc w:val="center"/>
        <w:rPr>
          <w:rFonts w:ascii="Times New Roman" w:hAnsi="Times New Roman" w:cs="Times New Roman"/>
          <w:i/>
          <w:sz w:val="24"/>
          <w:szCs w:val="24"/>
        </w:rPr>
      </w:pPr>
      <w:r>
        <w:rPr>
          <w:rFonts w:ascii="Times New Roman" w:hAnsi="Times New Roman" w:cs="Times New Roman"/>
          <w:i/>
          <w:sz w:val="24"/>
          <w:szCs w:val="24"/>
        </w:rPr>
        <w:t>Šaltinis</w:t>
      </w:r>
      <w:r w:rsidR="00E16B2E">
        <w:rPr>
          <w:rFonts w:ascii="Times New Roman" w:hAnsi="Times New Roman" w:cs="Times New Roman"/>
          <w:i/>
          <w:sz w:val="24"/>
          <w:szCs w:val="24"/>
        </w:rPr>
        <w:t>: Higienos institutas</w:t>
      </w:r>
      <w:r>
        <w:rPr>
          <w:rFonts w:ascii="Times New Roman" w:hAnsi="Times New Roman" w:cs="Times New Roman"/>
          <w:i/>
          <w:sz w:val="24"/>
          <w:szCs w:val="24"/>
        </w:rPr>
        <w:t xml:space="preserve"> Sveikatos informacijos centras</w:t>
      </w:r>
    </w:p>
    <w:p w:rsidR="000B182A" w:rsidRDefault="000B182A" w:rsidP="000B182A">
      <w:pPr>
        <w:pStyle w:val="Sraopastraipa"/>
        <w:spacing w:after="0"/>
        <w:ind w:left="0" w:firstLine="567"/>
        <w:jc w:val="center"/>
        <w:rPr>
          <w:rFonts w:ascii="Times New Roman" w:hAnsi="Times New Roman" w:cs="Times New Roman"/>
          <w:i/>
          <w:sz w:val="24"/>
          <w:szCs w:val="24"/>
        </w:rPr>
      </w:pPr>
    </w:p>
    <w:p w:rsidR="00501B34" w:rsidRDefault="000B182A" w:rsidP="00E3289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Pasaulinė sveikatos organizacija praneša, kad motinos pienu žindyti kūdikiai, lyginant su nežindytais 2 kart</w:t>
      </w:r>
      <w:r w:rsidR="00137C8D">
        <w:rPr>
          <w:rFonts w:ascii="Times New Roman" w:hAnsi="Times New Roman" w:cs="Times New Roman"/>
          <w:sz w:val="24"/>
          <w:szCs w:val="24"/>
        </w:rPr>
        <w:t xml:space="preserve">us rečiau sirgo ausies uždegimu ir 5 kartus rečiau sirgo šlapimo takų infekcijomis. Motinos pienu žindytiems kūdikiams rečiau pasireiškia: įvairios alergijos, </w:t>
      </w:r>
      <w:proofErr w:type="spellStart"/>
      <w:r w:rsidR="00137C8D">
        <w:rPr>
          <w:rFonts w:ascii="Times New Roman" w:hAnsi="Times New Roman" w:cs="Times New Roman"/>
          <w:sz w:val="24"/>
          <w:szCs w:val="24"/>
        </w:rPr>
        <w:t>atopinis</w:t>
      </w:r>
      <w:proofErr w:type="spellEnd"/>
      <w:r w:rsidR="00137C8D">
        <w:rPr>
          <w:rFonts w:ascii="Times New Roman" w:hAnsi="Times New Roman" w:cs="Times New Roman"/>
          <w:sz w:val="24"/>
          <w:szCs w:val="24"/>
        </w:rPr>
        <w:t xml:space="preserve"> dermatitas,</w:t>
      </w:r>
      <w:r w:rsidR="00F84976">
        <w:rPr>
          <w:rFonts w:ascii="Times New Roman" w:hAnsi="Times New Roman" w:cs="Times New Roman"/>
          <w:sz w:val="24"/>
          <w:szCs w:val="24"/>
        </w:rPr>
        <w:t xml:space="preserve"> egzema, kvėpavimo takų infekcijos, virškinamojo trakto ligos, astma. Motinos pienas turi įtakos ir svorio augimui. 80 proc. motinos pienu žindomų ir tik 43 proc. motinos pienu nežindomų vaikų yra normalaus svorio. </w:t>
      </w:r>
      <w:r w:rsidR="00501B34">
        <w:rPr>
          <w:rFonts w:ascii="Times New Roman" w:hAnsi="Times New Roman" w:cs="Times New Roman"/>
          <w:sz w:val="24"/>
          <w:szCs w:val="24"/>
        </w:rPr>
        <w:t xml:space="preserve">Suaugusieji, kurie buvo maitinti motinos pienu yra mažiau linkę į nutukimą ir diabetą, tai pat turi mažesnę riziką susirgti širdies ligomis ar turėti padidėjusį kraujo spaudimą. Motinos pienu žindyti vaikai pasižymi aukštesniu intelekto koeficientu, jie rečiau turi psichologinių, elgesio ar mokymosi problemų, vaiko raida būna sklandesnė bei tokių vaikų pieniniai dantys būna sveikesni. </w:t>
      </w:r>
    </w:p>
    <w:p w:rsidR="00BA624C" w:rsidRDefault="00501B34" w:rsidP="00E3289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Žindant motinos organizme gaminasi du svarbūs hormonai- </w:t>
      </w:r>
      <w:proofErr w:type="spellStart"/>
      <w:r>
        <w:rPr>
          <w:rFonts w:ascii="Times New Roman" w:hAnsi="Times New Roman" w:cs="Times New Roman"/>
          <w:sz w:val="24"/>
          <w:szCs w:val="24"/>
        </w:rPr>
        <w:t>oksitocinas</w:t>
      </w:r>
      <w:proofErr w:type="spellEnd"/>
      <w:r>
        <w:rPr>
          <w:rFonts w:ascii="Times New Roman" w:hAnsi="Times New Roman" w:cs="Times New Roman"/>
          <w:sz w:val="24"/>
          <w:szCs w:val="24"/>
        </w:rPr>
        <w:t xml:space="preserve"> ir prolaktinas. Šie hormonai atpalaiduoja ir sukelia ramybės pojūtį, slopina kiaušinėlių brendimą kiaušidėse ir ovuliaciją. Krūtimi maitinanti moteris per dieną sunaudoja apie 500 kcal- tiek kalorijų galima sudeginti vieną valandą važinėjant dviračiu. Pieno gamyba reikalauja moters </w:t>
      </w:r>
      <w:r w:rsidR="00BA624C">
        <w:rPr>
          <w:rFonts w:ascii="Times New Roman" w:hAnsi="Times New Roman" w:cs="Times New Roman"/>
          <w:sz w:val="24"/>
          <w:szCs w:val="24"/>
        </w:rPr>
        <w:t>organizme mobilizuoti maistines ir biologiškai aktyvias medžiagas ir „sudeginti“ būtent nėštumo metu priaugtus kilogramus.</w:t>
      </w:r>
    </w:p>
    <w:p w:rsidR="00102A13" w:rsidRDefault="00102A13" w:rsidP="00E3289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Nuo 2014 metų žindomų kūdikių išimtinai iki 6 mėn. amžiaus Plungės rajono savivaldybėje sumažėjo 3 kartus. </w:t>
      </w:r>
      <w:r w:rsidR="00F86214">
        <w:rPr>
          <w:rFonts w:ascii="Times New Roman" w:hAnsi="Times New Roman" w:cs="Times New Roman"/>
          <w:sz w:val="24"/>
          <w:szCs w:val="24"/>
        </w:rPr>
        <w:t>Šalyje šis rodiklis didesnis 3,2 karto, o apskrityje 2,4 karto. (8 pav.)</w:t>
      </w:r>
    </w:p>
    <w:p w:rsidR="00F86214" w:rsidRDefault="00F86214" w:rsidP="000B182A">
      <w:pPr>
        <w:pStyle w:val="Sraopastraipa"/>
        <w:spacing w:after="0"/>
        <w:ind w:left="0" w:firstLine="567"/>
        <w:jc w:val="both"/>
        <w:rPr>
          <w:rFonts w:ascii="Times New Roman" w:hAnsi="Times New Roman" w:cs="Times New Roman"/>
          <w:sz w:val="24"/>
          <w:szCs w:val="24"/>
        </w:rPr>
      </w:pPr>
    </w:p>
    <w:p w:rsidR="00F86214" w:rsidRDefault="00F86214" w:rsidP="000B182A">
      <w:pPr>
        <w:pStyle w:val="Sraopastraipa"/>
        <w:spacing w:after="0"/>
        <w:ind w:left="0" w:firstLine="567"/>
        <w:jc w:val="both"/>
        <w:rPr>
          <w:rFonts w:ascii="Times New Roman" w:hAnsi="Times New Roman" w:cs="Times New Roman"/>
          <w:sz w:val="24"/>
          <w:szCs w:val="24"/>
        </w:rPr>
      </w:pPr>
      <w:r>
        <w:rPr>
          <w:noProof/>
          <w:lang w:eastAsia="lt-LT"/>
        </w:rPr>
        <w:lastRenderedPageBreak/>
        <w:drawing>
          <wp:inline distT="0" distB="0" distL="0" distR="0" wp14:anchorId="18CDADF4" wp14:editId="2597201E">
            <wp:extent cx="4838701" cy="24384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84F65" w:rsidRDefault="00084F65" w:rsidP="0086294B">
      <w:pPr>
        <w:pStyle w:val="Sraopastraipa"/>
        <w:spacing w:after="0"/>
        <w:ind w:left="0" w:firstLine="567"/>
        <w:jc w:val="center"/>
        <w:rPr>
          <w:rFonts w:ascii="Times New Roman" w:hAnsi="Times New Roman" w:cs="Times New Roman"/>
          <w:b/>
          <w:sz w:val="24"/>
          <w:szCs w:val="24"/>
        </w:rPr>
      </w:pPr>
    </w:p>
    <w:p w:rsidR="0086294B" w:rsidRDefault="0086294B" w:rsidP="0086294B">
      <w:pPr>
        <w:pStyle w:val="Sraopastraipa"/>
        <w:spacing w:after="0"/>
        <w:ind w:left="0" w:firstLine="567"/>
        <w:jc w:val="center"/>
        <w:rPr>
          <w:rFonts w:ascii="Times New Roman" w:hAnsi="Times New Roman" w:cs="Times New Roman"/>
          <w:b/>
          <w:sz w:val="24"/>
          <w:szCs w:val="24"/>
        </w:rPr>
      </w:pPr>
      <w:r>
        <w:rPr>
          <w:rFonts w:ascii="Times New Roman" w:hAnsi="Times New Roman" w:cs="Times New Roman"/>
          <w:b/>
          <w:sz w:val="24"/>
          <w:szCs w:val="24"/>
        </w:rPr>
        <w:t>8 pav. Kūdikių išimtinai žindytų iki 6 mėn. amžiaus, dalis proc. 2014-2017 m. Plungės r. sav., Telšių apskr., Lietuvoje</w:t>
      </w:r>
    </w:p>
    <w:p w:rsidR="0086294B" w:rsidRPr="0086294B" w:rsidRDefault="00E16B2E" w:rsidP="0086294B">
      <w:pPr>
        <w:pStyle w:val="Sraopastraipa"/>
        <w:spacing w:after="0"/>
        <w:ind w:left="0" w:firstLine="567"/>
        <w:jc w:val="center"/>
        <w:rPr>
          <w:rFonts w:ascii="Times New Roman" w:hAnsi="Times New Roman" w:cs="Times New Roman"/>
          <w:b/>
          <w:sz w:val="24"/>
          <w:szCs w:val="24"/>
        </w:rPr>
      </w:pPr>
      <w:r>
        <w:rPr>
          <w:rFonts w:ascii="Times New Roman" w:hAnsi="Times New Roman" w:cs="Times New Roman"/>
          <w:i/>
          <w:sz w:val="24"/>
          <w:szCs w:val="24"/>
        </w:rPr>
        <w:t>Šaltinis: Higienos institutas</w:t>
      </w:r>
      <w:r w:rsidR="0086294B">
        <w:rPr>
          <w:rFonts w:ascii="Times New Roman" w:hAnsi="Times New Roman" w:cs="Times New Roman"/>
          <w:i/>
          <w:sz w:val="24"/>
          <w:szCs w:val="24"/>
        </w:rPr>
        <w:t xml:space="preserve"> Sveikatos informacijos centras</w:t>
      </w:r>
      <w:r w:rsidR="0086294B">
        <w:rPr>
          <w:rFonts w:ascii="Times New Roman" w:hAnsi="Times New Roman" w:cs="Times New Roman"/>
          <w:b/>
          <w:sz w:val="24"/>
          <w:szCs w:val="24"/>
        </w:rPr>
        <w:t xml:space="preserve"> </w:t>
      </w:r>
    </w:p>
    <w:p w:rsidR="00F42D43" w:rsidRDefault="00F42D43" w:rsidP="000B182A">
      <w:pPr>
        <w:pStyle w:val="Sraopastraipa"/>
        <w:spacing w:after="0"/>
        <w:ind w:left="0" w:firstLine="567"/>
        <w:jc w:val="both"/>
        <w:rPr>
          <w:rFonts w:ascii="Times New Roman" w:hAnsi="Times New Roman" w:cs="Times New Roman"/>
          <w:sz w:val="24"/>
          <w:szCs w:val="24"/>
        </w:rPr>
      </w:pPr>
    </w:p>
    <w:p w:rsidR="00F42D43" w:rsidRDefault="00F42D43" w:rsidP="00F42D43">
      <w:pPr>
        <w:pStyle w:val="Sraopastraipa"/>
        <w:spacing w:after="0"/>
        <w:ind w:left="0" w:firstLine="567"/>
        <w:jc w:val="center"/>
        <w:rPr>
          <w:rFonts w:ascii="Times New Roman" w:hAnsi="Times New Roman" w:cs="Times New Roman"/>
          <w:b/>
          <w:sz w:val="24"/>
          <w:szCs w:val="24"/>
        </w:rPr>
      </w:pPr>
      <w:r w:rsidRPr="00422BDC">
        <w:rPr>
          <w:rFonts w:ascii="Times New Roman" w:hAnsi="Times New Roman" w:cs="Times New Roman"/>
          <w:b/>
          <w:sz w:val="24"/>
          <w:szCs w:val="24"/>
        </w:rPr>
        <w:t>2.3</w:t>
      </w:r>
      <w:r w:rsidR="00422BDC" w:rsidRPr="00422BDC">
        <w:rPr>
          <w:rFonts w:ascii="Times New Roman" w:hAnsi="Times New Roman" w:cs="Times New Roman"/>
          <w:b/>
          <w:sz w:val="24"/>
          <w:szCs w:val="24"/>
        </w:rPr>
        <w:t xml:space="preserve"> TIKSLINĖS POPULIACIJOS DALIS</w:t>
      </w:r>
      <w:r w:rsidR="005E2892">
        <w:rPr>
          <w:rFonts w:ascii="Times New Roman" w:hAnsi="Times New Roman" w:cs="Times New Roman"/>
          <w:b/>
          <w:sz w:val="24"/>
          <w:szCs w:val="24"/>
        </w:rPr>
        <w:t xml:space="preserve"> </w:t>
      </w:r>
      <w:r w:rsidR="00422BDC" w:rsidRPr="00422BDC">
        <w:rPr>
          <w:rFonts w:ascii="Times New Roman" w:hAnsi="Times New Roman" w:cs="Times New Roman"/>
          <w:b/>
          <w:sz w:val="24"/>
          <w:szCs w:val="24"/>
        </w:rPr>
        <w:t>DALYVAVUSI ATRANKINĖSE PREVENCINĖSE PROGRAMOSE</w:t>
      </w:r>
    </w:p>
    <w:p w:rsidR="00A51CDD" w:rsidRDefault="00A51CDD" w:rsidP="00F42D43">
      <w:pPr>
        <w:pStyle w:val="Sraopastraipa"/>
        <w:spacing w:after="0"/>
        <w:ind w:left="0" w:firstLine="567"/>
        <w:jc w:val="center"/>
        <w:rPr>
          <w:rFonts w:ascii="Times New Roman" w:hAnsi="Times New Roman" w:cs="Times New Roman"/>
          <w:b/>
          <w:sz w:val="24"/>
          <w:szCs w:val="24"/>
        </w:rPr>
      </w:pPr>
    </w:p>
    <w:p w:rsidR="005F355B" w:rsidRDefault="005F355B" w:rsidP="00E3289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Privalomojo sveikatos draudimo fondo biudžeto lėšomis vykdomos prevencinės programos- tai galimybė nurodyto amžiaus asmenims, kurie jaučiasi sveiki, nemokamai pasitikrinti, ar neserga tam tikromis ligomis. Galimybė pasitikrinti sudaroma kas keleri (1-3 m.), priklausomai nuo kiekvienoje programoje nustatyto laikotarpio.</w:t>
      </w:r>
    </w:p>
    <w:p w:rsidR="005F355B" w:rsidRDefault="005F355B" w:rsidP="00E3289A">
      <w:pPr>
        <w:pStyle w:val="Sraopastrai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Šiaulių teritorinės ligonių kasos duomenimis 2017 m. Plungės rajono savivaldybėje vykdytos šios prevencinės programos:</w:t>
      </w:r>
    </w:p>
    <w:p w:rsidR="005F355B" w:rsidRDefault="005F355B" w:rsidP="00274BC0">
      <w:pPr>
        <w:pStyle w:val="Sraopastraipa"/>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gimdos kaklelio piktybinių navikų prevencinių priemonių programa;</w:t>
      </w:r>
    </w:p>
    <w:p w:rsidR="005F355B" w:rsidRDefault="005F355B" w:rsidP="00274BC0">
      <w:pPr>
        <w:pStyle w:val="Sraopastraipa"/>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atrankinė </w:t>
      </w:r>
      <w:proofErr w:type="spellStart"/>
      <w:r>
        <w:rPr>
          <w:rFonts w:ascii="Times New Roman" w:hAnsi="Times New Roman" w:cs="Times New Roman"/>
          <w:sz w:val="24"/>
          <w:szCs w:val="24"/>
        </w:rPr>
        <w:t>mamografinės</w:t>
      </w:r>
      <w:proofErr w:type="spellEnd"/>
      <w:r>
        <w:rPr>
          <w:rFonts w:ascii="Times New Roman" w:hAnsi="Times New Roman" w:cs="Times New Roman"/>
          <w:sz w:val="24"/>
          <w:szCs w:val="24"/>
        </w:rPr>
        <w:t xml:space="preserve"> patikros dėl krūties vėžio prevencinė programa;</w:t>
      </w:r>
    </w:p>
    <w:p w:rsidR="005F355B" w:rsidRDefault="005F355B" w:rsidP="00274BC0">
      <w:pPr>
        <w:pStyle w:val="Sraopastraipa"/>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storosios žarnos ankstyvosios diagnostikos prevencinė programa;</w:t>
      </w:r>
    </w:p>
    <w:p w:rsidR="005F355B" w:rsidRDefault="005F355B" w:rsidP="00274BC0">
      <w:pPr>
        <w:pStyle w:val="Sraopastraipa"/>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priešinės liaukos vėžio ankstyvosios diagnostikos programa;</w:t>
      </w:r>
    </w:p>
    <w:p w:rsidR="005F355B" w:rsidRDefault="005F355B" w:rsidP="00274BC0">
      <w:pPr>
        <w:pStyle w:val="Sraopastraipa"/>
        <w:numPr>
          <w:ilvl w:val="0"/>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asmenų priskirtų širdies ir kraujagyslių ligų didelės rizikos grupei.</w:t>
      </w:r>
    </w:p>
    <w:p w:rsidR="0086587B" w:rsidRDefault="005F355B" w:rsidP="00E328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2017 metais Plungės</w:t>
      </w:r>
      <w:r w:rsidR="0086587B">
        <w:rPr>
          <w:rFonts w:ascii="Times New Roman" w:hAnsi="Times New Roman" w:cs="Times New Roman"/>
          <w:sz w:val="24"/>
          <w:szCs w:val="24"/>
        </w:rPr>
        <w:t xml:space="preserve"> rajono savivaldybėje nemokamas profilaktines prevencines programas teikė trys pirminės sveikatos priežiūros įstaigos.</w:t>
      </w:r>
    </w:p>
    <w:p w:rsidR="0086587B" w:rsidRDefault="0086587B" w:rsidP="00E328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Aktyviausiai Plungės rajono savivaldybės gyventojai dalyvauja storosios žarnos vėžio ankstyvosios diagnostikos prevencinėje programoje (53,1 proc.), o pasyviausiai- atrankinės </w:t>
      </w:r>
      <w:proofErr w:type="spellStart"/>
      <w:r>
        <w:rPr>
          <w:rFonts w:ascii="Times New Roman" w:hAnsi="Times New Roman" w:cs="Times New Roman"/>
          <w:sz w:val="24"/>
          <w:szCs w:val="24"/>
        </w:rPr>
        <w:t>mamografinės</w:t>
      </w:r>
      <w:proofErr w:type="spellEnd"/>
      <w:r>
        <w:rPr>
          <w:rFonts w:ascii="Times New Roman" w:hAnsi="Times New Roman" w:cs="Times New Roman"/>
          <w:sz w:val="24"/>
          <w:szCs w:val="24"/>
        </w:rPr>
        <w:t xml:space="preserve"> patikros dėl krūties vėžio prevencinėje programoje (23,9 proc.). (9 pav.)</w:t>
      </w:r>
    </w:p>
    <w:p w:rsidR="0086587B" w:rsidRDefault="0086587B" w:rsidP="0086587B">
      <w:pPr>
        <w:spacing w:after="0"/>
        <w:jc w:val="both"/>
        <w:rPr>
          <w:rFonts w:ascii="Times New Roman" w:hAnsi="Times New Roman" w:cs="Times New Roman"/>
          <w:sz w:val="24"/>
          <w:szCs w:val="24"/>
        </w:rPr>
      </w:pPr>
      <w:r>
        <w:rPr>
          <w:noProof/>
          <w:lang w:eastAsia="lt-LT"/>
        </w:rPr>
        <w:lastRenderedPageBreak/>
        <w:drawing>
          <wp:inline distT="0" distB="0" distL="0" distR="0" wp14:anchorId="345509F5" wp14:editId="3D6BBF84">
            <wp:extent cx="5791200" cy="3667125"/>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84F65" w:rsidRDefault="00084F65" w:rsidP="0086587B">
      <w:pPr>
        <w:spacing w:after="0"/>
        <w:jc w:val="center"/>
        <w:rPr>
          <w:rFonts w:ascii="Times New Roman" w:hAnsi="Times New Roman" w:cs="Times New Roman"/>
          <w:b/>
          <w:sz w:val="24"/>
          <w:szCs w:val="24"/>
        </w:rPr>
      </w:pPr>
    </w:p>
    <w:p w:rsidR="0086587B" w:rsidRDefault="0086587B" w:rsidP="007E197E">
      <w:pPr>
        <w:spacing w:after="0" w:line="240" w:lineRule="auto"/>
        <w:jc w:val="center"/>
        <w:rPr>
          <w:rFonts w:ascii="Times New Roman" w:hAnsi="Times New Roman" w:cs="Times New Roman"/>
          <w:b/>
          <w:sz w:val="24"/>
          <w:szCs w:val="24"/>
        </w:rPr>
      </w:pPr>
      <w:r w:rsidRPr="0086587B">
        <w:rPr>
          <w:rFonts w:ascii="Times New Roman" w:hAnsi="Times New Roman" w:cs="Times New Roman"/>
          <w:b/>
          <w:sz w:val="24"/>
          <w:szCs w:val="24"/>
        </w:rPr>
        <w:t>9 pav. 2017 m. Plungės r. sav. gyventojų dalyvavusių prevencinėse profilaktinėse programose santykis su Lietuvos vidurkiu</w:t>
      </w:r>
    </w:p>
    <w:p w:rsidR="0086587B" w:rsidRDefault="0086587B" w:rsidP="0086587B">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Šaltinis: Higienos institutas Sveikatos informacijos centras; Šiaulių TLK </w:t>
      </w:r>
    </w:p>
    <w:p w:rsidR="00E16B2E" w:rsidRDefault="00E16B2E" w:rsidP="0086587B">
      <w:pPr>
        <w:spacing w:after="0"/>
        <w:jc w:val="center"/>
        <w:rPr>
          <w:rFonts w:ascii="Times New Roman" w:hAnsi="Times New Roman" w:cs="Times New Roman"/>
          <w:i/>
          <w:sz w:val="24"/>
          <w:szCs w:val="24"/>
        </w:rPr>
      </w:pPr>
    </w:p>
    <w:p w:rsidR="00E16B2E" w:rsidRDefault="00E16B2E" w:rsidP="007E19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Krūties vėžio ankstyvosios diagnostikos programa skirta moterims nuo 50- 69 metų amžiaus imtinai, kurioms kartą per du metus gali būti atliekamas </w:t>
      </w:r>
      <w:proofErr w:type="spellStart"/>
      <w:r>
        <w:rPr>
          <w:rFonts w:ascii="Times New Roman" w:hAnsi="Times New Roman" w:cs="Times New Roman"/>
          <w:sz w:val="24"/>
          <w:szCs w:val="24"/>
        </w:rPr>
        <w:t>mamografinis</w:t>
      </w:r>
      <w:proofErr w:type="spellEnd"/>
      <w:r>
        <w:rPr>
          <w:rFonts w:ascii="Times New Roman" w:hAnsi="Times New Roman" w:cs="Times New Roman"/>
          <w:sz w:val="24"/>
          <w:szCs w:val="24"/>
        </w:rPr>
        <w:t xml:space="preserve"> tyrimas. Ši programa vykdoma aplinkiniuose rajonuose </w:t>
      </w:r>
      <w:proofErr w:type="spellStart"/>
      <w:r>
        <w:rPr>
          <w:rFonts w:ascii="Times New Roman" w:hAnsi="Times New Roman" w:cs="Times New Roman"/>
          <w:sz w:val="24"/>
          <w:szCs w:val="24"/>
        </w:rPr>
        <w:t>mamografijos</w:t>
      </w:r>
      <w:proofErr w:type="spellEnd"/>
      <w:r>
        <w:rPr>
          <w:rFonts w:ascii="Times New Roman" w:hAnsi="Times New Roman" w:cs="Times New Roman"/>
          <w:sz w:val="24"/>
          <w:szCs w:val="24"/>
        </w:rPr>
        <w:t xml:space="preserve"> įrenginius turinčiose sveikatos priežiūros įstaigose.</w:t>
      </w:r>
    </w:p>
    <w:p w:rsidR="00961729" w:rsidRDefault="009143C6" w:rsidP="007E19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2016-</w:t>
      </w:r>
      <w:r w:rsidR="00961729">
        <w:rPr>
          <w:rFonts w:ascii="Times New Roman" w:hAnsi="Times New Roman" w:cs="Times New Roman"/>
          <w:sz w:val="24"/>
          <w:szCs w:val="24"/>
        </w:rPr>
        <w:t>2017 m. moterų dalyvavusių šioje prevencinėje programoje mažėjo, tačiau 2018</w:t>
      </w:r>
      <w:r w:rsidR="00E16B2E">
        <w:rPr>
          <w:rFonts w:ascii="Times New Roman" w:hAnsi="Times New Roman" w:cs="Times New Roman"/>
          <w:sz w:val="24"/>
          <w:szCs w:val="24"/>
        </w:rPr>
        <w:t xml:space="preserve"> I </w:t>
      </w:r>
      <w:proofErr w:type="spellStart"/>
      <w:r w:rsidR="00E16B2E">
        <w:rPr>
          <w:rFonts w:ascii="Times New Roman" w:hAnsi="Times New Roman" w:cs="Times New Roman"/>
          <w:sz w:val="24"/>
          <w:szCs w:val="24"/>
        </w:rPr>
        <w:t>pusm</w:t>
      </w:r>
      <w:proofErr w:type="spellEnd"/>
      <w:r w:rsidR="00E16B2E">
        <w:rPr>
          <w:rFonts w:ascii="Times New Roman" w:hAnsi="Times New Roman" w:cs="Times New Roman"/>
          <w:sz w:val="24"/>
          <w:szCs w:val="24"/>
        </w:rPr>
        <w:t xml:space="preserve">. </w:t>
      </w:r>
      <w:r w:rsidR="00961729">
        <w:rPr>
          <w:rFonts w:ascii="Times New Roman" w:hAnsi="Times New Roman" w:cs="Times New Roman"/>
          <w:sz w:val="24"/>
          <w:szCs w:val="24"/>
        </w:rPr>
        <w:t>dalyvaujančių moterų padaugėjo. (10 pav.)</w:t>
      </w:r>
    </w:p>
    <w:p w:rsidR="00CB79F6" w:rsidRDefault="00CB79F6" w:rsidP="00274BC0">
      <w:pPr>
        <w:spacing w:after="0" w:line="240" w:lineRule="auto"/>
        <w:jc w:val="both"/>
        <w:rPr>
          <w:rFonts w:ascii="Times New Roman" w:hAnsi="Times New Roman" w:cs="Times New Roman"/>
          <w:sz w:val="24"/>
          <w:szCs w:val="24"/>
        </w:rPr>
      </w:pPr>
    </w:p>
    <w:p w:rsidR="00E16B2E" w:rsidRDefault="00E16B2E" w:rsidP="00E16B2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6153">
        <w:rPr>
          <w:noProof/>
          <w:lang w:eastAsia="lt-LT"/>
        </w:rPr>
        <w:drawing>
          <wp:inline distT="0" distB="0" distL="0" distR="0" wp14:anchorId="3B26E592" wp14:editId="1FC9C205">
            <wp:extent cx="5334000" cy="238125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84F65" w:rsidRDefault="00084F65" w:rsidP="00961729">
      <w:pPr>
        <w:spacing w:after="0"/>
        <w:jc w:val="center"/>
        <w:rPr>
          <w:rFonts w:ascii="Times New Roman" w:hAnsi="Times New Roman" w:cs="Times New Roman"/>
          <w:b/>
          <w:sz w:val="24"/>
          <w:szCs w:val="24"/>
        </w:rPr>
      </w:pPr>
    </w:p>
    <w:p w:rsidR="00961729" w:rsidRDefault="00961729" w:rsidP="007E19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 pav. Atrankinėje </w:t>
      </w:r>
      <w:proofErr w:type="spellStart"/>
      <w:r>
        <w:rPr>
          <w:rFonts w:ascii="Times New Roman" w:hAnsi="Times New Roman" w:cs="Times New Roman"/>
          <w:b/>
          <w:sz w:val="24"/>
          <w:szCs w:val="24"/>
        </w:rPr>
        <w:t>mamografinės</w:t>
      </w:r>
      <w:proofErr w:type="spellEnd"/>
      <w:r>
        <w:rPr>
          <w:rFonts w:ascii="Times New Roman" w:hAnsi="Times New Roman" w:cs="Times New Roman"/>
          <w:b/>
          <w:sz w:val="24"/>
          <w:szCs w:val="24"/>
        </w:rPr>
        <w:t xml:space="preserve"> patikros dėl krūties vėžio dalyvavusios moterys pagal pirminius sveikatos centrus , proc. 2016 I </w:t>
      </w:r>
      <w:proofErr w:type="spellStart"/>
      <w:r>
        <w:rPr>
          <w:rFonts w:ascii="Times New Roman" w:hAnsi="Times New Roman" w:cs="Times New Roman"/>
          <w:b/>
          <w:sz w:val="24"/>
          <w:szCs w:val="24"/>
        </w:rPr>
        <w:t>pusm</w:t>
      </w:r>
      <w:proofErr w:type="spellEnd"/>
      <w:r>
        <w:rPr>
          <w:rFonts w:ascii="Times New Roman" w:hAnsi="Times New Roman" w:cs="Times New Roman"/>
          <w:b/>
          <w:sz w:val="24"/>
          <w:szCs w:val="24"/>
        </w:rPr>
        <w:t>.</w:t>
      </w:r>
      <w:r w:rsidR="00587769">
        <w:rPr>
          <w:rFonts w:ascii="Times New Roman" w:hAnsi="Times New Roman" w:cs="Times New Roman"/>
          <w:b/>
          <w:sz w:val="24"/>
          <w:szCs w:val="24"/>
        </w:rPr>
        <w:t xml:space="preserve"> </w:t>
      </w:r>
      <w:r>
        <w:rPr>
          <w:rFonts w:ascii="Times New Roman" w:hAnsi="Times New Roman" w:cs="Times New Roman"/>
          <w:b/>
          <w:sz w:val="24"/>
          <w:szCs w:val="24"/>
        </w:rPr>
        <w:t xml:space="preserve">- 2018 I </w:t>
      </w:r>
      <w:proofErr w:type="spellStart"/>
      <w:r>
        <w:rPr>
          <w:rFonts w:ascii="Times New Roman" w:hAnsi="Times New Roman" w:cs="Times New Roman"/>
          <w:b/>
          <w:sz w:val="24"/>
          <w:szCs w:val="24"/>
        </w:rPr>
        <w:t>pusm</w:t>
      </w:r>
      <w:proofErr w:type="spellEnd"/>
      <w:r>
        <w:rPr>
          <w:rFonts w:ascii="Times New Roman" w:hAnsi="Times New Roman" w:cs="Times New Roman"/>
          <w:b/>
          <w:sz w:val="24"/>
          <w:szCs w:val="24"/>
        </w:rPr>
        <w:t>.</w:t>
      </w:r>
    </w:p>
    <w:p w:rsidR="00961729" w:rsidRDefault="00961729" w:rsidP="00961729">
      <w:pPr>
        <w:spacing w:after="0"/>
        <w:jc w:val="center"/>
        <w:rPr>
          <w:rFonts w:ascii="Times New Roman" w:hAnsi="Times New Roman" w:cs="Times New Roman"/>
          <w:i/>
          <w:sz w:val="24"/>
          <w:szCs w:val="24"/>
        </w:rPr>
      </w:pPr>
      <w:r>
        <w:rPr>
          <w:rFonts w:ascii="Times New Roman" w:hAnsi="Times New Roman" w:cs="Times New Roman"/>
          <w:i/>
          <w:sz w:val="24"/>
          <w:szCs w:val="24"/>
        </w:rPr>
        <w:t>Šaltinis: Šiaulių TLK duomenys</w:t>
      </w:r>
    </w:p>
    <w:p w:rsidR="00961729" w:rsidRDefault="00961729" w:rsidP="00961729">
      <w:pPr>
        <w:spacing w:after="0"/>
        <w:jc w:val="center"/>
        <w:rPr>
          <w:rFonts w:ascii="Times New Roman" w:hAnsi="Times New Roman" w:cs="Times New Roman"/>
          <w:i/>
          <w:sz w:val="24"/>
          <w:szCs w:val="24"/>
        </w:rPr>
      </w:pPr>
    </w:p>
    <w:p w:rsidR="00961729" w:rsidRDefault="00CE24F5" w:rsidP="00274B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Nors kasmet </w:t>
      </w:r>
      <w:r w:rsidR="00C06D0C">
        <w:rPr>
          <w:rFonts w:ascii="Times New Roman" w:hAnsi="Times New Roman" w:cs="Times New Roman"/>
          <w:sz w:val="24"/>
          <w:szCs w:val="24"/>
        </w:rPr>
        <w:t xml:space="preserve">moterų dalyvaujančių atrankinės </w:t>
      </w:r>
      <w:proofErr w:type="spellStart"/>
      <w:r w:rsidR="00C06D0C">
        <w:rPr>
          <w:rFonts w:ascii="Times New Roman" w:hAnsi="Times New Roman" w:cs="Times New Roman"/>
          <w:sz w:val="24"/>
          <w:szCs w:val="24"/>
        </w:rPr>
        <w:t>mamografinės</w:t>
      </w:r>
      <w:proofErr w:type="spellEnd"/>
      <w:r w:rsidR="00C06D0C">
        <w:rPr>
          <w:rFonts w:ascii="Times New Roman" w:hAnsi="Times New Roman" w:cs="Times New Roman"/>
          <w:sz w:val="24"/>
          <w:szCs w:val="24"/>
        </w:rPr>
        <w:t xml:space="preserve"> patikros dėl krūties vėžio prevencinėje programoje daugėja, bet vidurkis vis tiek išlieka mažesnis nei šalies, ir Plungės rajono savivaldybė patenka tarp mažiausiai šioje programoje dalyvaujančių savivaldybių. (11 pav.)</w:t>
      </w:r>
    </w:p>
    <w:p w:rsidR="00084F65" w:rsidRDefault="00084F65" w:rsidP="00274BC0">
      <w:pPr>
        <w:spacing w:after="0" w:line="240" w:lineRule="auto"/>
        <w:ind w:firstLine="567"/>
        <w:jc w:val="both"/>
        <w:rPr>
          <w:rFonts w:ascii="Times New Roman" w:hAnsi="Times New Roman" w:cs="Times New Roman"/>
          <w:sz w:val="24"/>
          <w:szCs w:val="24"/>
        </w:rPr>
      </w:pPr>
    </w:p>
    <w:p w:rsidR="00C06D0C" w:rsidRDefault="00C06D0C" w:rsidP="00C06D0C">
      <w:pPr>
        <w:spacing w:after="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6120130" cy="1735088"/>
            <wp:effectExtent l="0" t="0" r="0" b="0"/>
            <wp:docPr id="15" name="Paveikslėlis 15" descr="C:\Users\Asus\Desktop\metinė ataskaita\ma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metinė ataskaita\mamo.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1735088"/>
                    </a:xfrm>
                    <a:prstGeom prst="rect">
                      <a:avLst/>
                    </a:prstGeom>
                    <a:noFill/>
                    <a:ln>
                      <a:noFill/>
                    </a:ln>
                  </pic:spPr>
                </pic:pic>
              </a:graphicData>
            </a:graphic>
          </wp:inline>
        </w:drawing>
      </w:r>
    </w:p>
    <w:p w:rsidR="00C06D0C" w:rsidRDefault="00C06D0C" w:rsidP="00C06D0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11 pav. Tikslinės populiacijos dalis (proc.), dalyvavusi atrankinės </w:t>
      </w:r>
      <w:proofErr w:type="spellStart"/>
      <w:r>
        <w:rPr>
          <w:rFonts w:ascii="Times New Roman" w:hAnsi="Times New Roman" w:cs="Times New Roman"/>
          <w:b/>
          <w:sz w:val="24"/>
          <w:szCs w:val="24"/>
        </w:rPr>
        <w:t>mamografinės</w:t>
      </w:r>
      <w:proofErr w:type="spellEnd"/>
      <w:r>
        <w:rPr>
          <w:rFonts w:ascii="Times New Roman" w:hAnsi="Times New Roman" w:cs="Times New Roman"/>
          <w:b/>
          <w:sz w:val="24"/>
          <w:szCs w:val="24"/>
        </w:rPr>
        <w:t xml:space="preserve"> patikros dėl krūties vėžio prevencinėje programoje, rodiklio santykis su </w:t>
      </w:r>
      <w:r w:rsidR="00E25F82">
        <w:rPr>
          <w:rFonts w:ascii="Times New Roman" w:hAnsi="Times New Roman" w:cs="Times New Roman"/>
          <w:b/>
          <w:sz w:val="24"/>
          <w:szCs w:val="24"/>
        </w:rPr>
        <w:t xml:space="preserve">Lietuva ir pasiskirstymas tarp savivaldybių 2017 m. </w:t>
      </w:r>
    </w:p>
    <w:p w:rsidR="00E25F82" w:rsidRDefault="00E25F82" w:rsidP="00C06D0C">
      <w:pPr>
        <w:spacing w:after="0"/>
        <w:jc w:val="center"/>
        <w:rPr>
          <w:rFonts w:ascii="Times New Roman" w:hAnsi="Times New Roman" w:cs="Times New Roman"/>
          <w:i/>
          <w:sz w:val="24"/>
          <w:szCs w:val="24"/>
        </w:rPr>
      </w:pPr>
      <w:r>
        <w:rPr>
          <w:rFonts w:ascii="Times New Roman" w:hAnsi="Times New Roman" w:cs="Times New Roman"/>
          <w:i/>
          <w:sz w:val="24"/>
          <w:szCs w:val="24"/>
        </w:rPr>
        <w:t>Šaltinis: Higienos institutas Sveikatos informacijos centras</w:t>
      </w:r>
    </w:p>
    <w:p w:rsidR="00A51CDD" w:rsidRDefault="00A51CDD" w:rsidP="00C06D0C">
      <w:pPr>
        <w:spacing w:after="0"/>
        <w:jc w:val="center"/>
        <w:rPr>
          <w:rFonts w:ascii="Times New Roman" w:hAnsi="Times New Roman" w:cs="Times New Roman"/>
          <w:sz w:val="24"/>
          <w:szCs w:val="24"/>
        </w:rPr>
      </w:pPr>
    </w:p>
    <w:p w:rsidR="00955D6F" w:rsidRPr="00955D6F" w:rsidRDefault="00955D6F" w:rsidP="00955D6F">
      <w:pPr>
        <w:spacing w:after="0"/>
        <w:ind w:left="360"/>
        <w:jc w:val="center"/>
        <w:rPr>
          <w:rFonts w:ascii="Times New Roman" w:hAnsi="Times New Roman" w:cs="Times New Roman"/>
          <w:b/>
          <w:sz w:val="24"/>
          <w:szCs w:val="24"/>
        </w:rPr>
      </w:pPr>
      <w:r w:rsidRPr="00955D6F">
        <w:rPr>
          <w:rFonts w:ascii="Times New Roman" w:hAnsi="Times New Roman" w:cs="Times New Roman"/>
          <w:b/>
          <w:sz w:val="24"/>
          <w:szCs w:val="24"/>
        </w:rPr>
        <w:t>3.STEBĖSENOS VEIKLA SAVIVALDYBĖJE</w:t>
      </w:r>
    </w:p>
    <w:p w:rsidR="00955D6F" w:rsidRPr="00955D6F" w:rsidRDefault="00955D6F" w:rsidP="00955D6F">
      <w:pPr>
        <w:pStyle w:val="Sraopastraipa"/>
        <w:spacing w:after="0"/>
        <w:jc w:val="center"/>
        <w:rPr>
          <w:rFonts w:ascii="Times New Roman" w:hAnsi="Times New Roman" w:cs="Times New Roman"/>
          <w:b/>
          <w:sz w:val="24"/>
          <w:szCs w:val="24"/>
        </w:rPr>
      </w:pPr>
      <w:r w:rsidRPr="00955D6F">
        <w:rPr>
          <w:rFonts w:ascii="Times New Roman" w:hAnsi="Times New Roman" w:cs="Times New Roman"/>
          <w:b/>
          <w:sz w:val="24"/>
          <w:szCs w:val="24"/>
        </w:rPr>
        <w:t xml:space="preserve">3.1 PLUNGĖS RAJONO SAVIVALDYBĖS IKIMOKYKLINES UGDYMO ĮSTAIGAS LANKANČIŲ VAIKŲ PROFILAKTINIŲ SVEIKATOS PATIKRINIMŲ </w:t>
      </w:r>
      <w:r>
        <w:rPr>
          <w:rFonts w:ascii="Times New Roman" w:hAnsi="Times New Roman" w:cs="Times New Roman"/>
          <w:b/>
          <w:sz w:val="24"/>
          <w:szCs w:val="24"/>
        </w:rPr>
        <w:t xml:space="preserve">DUOMENŲ </w:t>
      </w:r>
      <w:r w:rsidRPr="00955D6F">
        <w:rPr>
          <w:rFonts w:ascii="Times New Roman" w:hAnsi="Times New Roman" w:cs="Times New Roman"/>
          <w:b/>
          <w:sz w:val="24"/>
          <w:szCs w:val="24"/>
        </w:rPr>
        <w:t>ANALIZĖ 2018/2019 M. M.</w:t>
      </w:r>
    </w:p>
    <w:p w:rsidR="00A51CDD" w:rsidRDefault="00A51CDD" w:rsidP="00EF4947">
      <w:pPr>
        <w:pStyle w:val="Sraopastraipa"/>
        <w:spacing w:after="0"/>
        <w:jc w:val="both"/>
        <w:rPr>
          <w:rFonts w:ascii="Times New Roman" w:hAnsi="Times New Roman" w:cs="Times New Roman"/>
          <w:b/>
          <w:sz w:val="28"/>
          <w:szCs w:val="28"/>
        </w:rPr>
      </w:pPr>
    </w:p>
    <w:p w:rsidR="00FF3A00" w:rsidRPr="00FF3A00" w:rsidRDefault="00FF3A00" w:rsidP="00274BC0">
      <w:pPr>
        <w:numPr>
          <w:ilvl w:val="0"/>
          <w:numId w:val="16"/>
        </w:numPr>
        <w:spacing w:after="0" w:line="240" w:lineRule="auto"/>
        <w:ind w:left="0" w:firstLine="567"/>
        <w:contextualSpacing/>
        <w:jc w:val="both"/>
        <w:rPr>
          <w:rFonts w:ascii="Times New Roman" w:eastAsia="Calibri" w:hAnsi="Times New Roman" w:cs="Times New Roman"/>
          <w:b/>
          <w:sz w:val="24"/>
          <w:szCs w:val="24"/>
        </w:rPr>
      </w:pPr>
      <w:r w:rsidRPr="00FF3A00">
        <w:rPr>
          <w:rFonts w:ascii="Times New Roman" w:eastAsia="Calibri" w:hAnsi="Times New Roman" w:cs="Times New Roman"/>
          <w:sz w:val="24"/>
          <w:szCs w:val="24"/>
        </w:rPr>
        <w:t>2018</w:t>
      </w:r>
      <w:r w:rsidR="0041598D">
        <w:rPr>
          <w:rFonts w:ascii="Times New Roman" w:eastAsia="Calibri" w:hAnsi="Times New Roman" w:cs="Times New Roman"/>
          <w:sz w:val="24"/>
          <w:szCs w:val="24"/>
        </w:rPr>
        <w:t>-</w:t>
      </w:r>
      <w:r w:rsidRPr="00FF3A00">
        <w:rPr>
          <w:rFonts w:ascii="Times New Roman" w:eastAsia="Calibri" w:hAnsi="Times New Roman" w:cs="Times New Roman"/>
          <w:sz w:val="24"/>
          <w:szCs w:val="24"/>
        </w:rPr>
        <w:t>2</w:t>
      </w:r>
      <w:r w:rsidR="007C0FED">
        <w:rPr>
          <w:rFonts w:ascii="Times New Roman" w:eastAsia="Calibri" w:hAnsi="Times New Roman" w:cs="Times New Roman"/>
          <w:sz w:val="24"/>
          <w:szCs w:val="24"/>
        </w:rPr>
        <w:t>019 m. m. ikimokyklinė</w:t>
      </w:r>
      <w:r w:rsidRPr="00FF3A00">
        <w:rPr>
          <w:rFonts w:ascii="Times New Roman" w:eastAsia="Calibri" w:hAnsi="Times New Roman" w:cs="Times New Roman"/>
          <w:sz w:val="24"/>
          <w:szCs w:val="24"/>
        </w:rPr>
        <w:t>s</w:t>
      </w:r>
      <w:r w:rsidR="007C0FED">
        <w:rPr>
          <w:rFonts w:ascii="Times New Roman" w:eastAsia="Calibri" w:hAnsi="Times New Roman" w:cs="Times New Roman"/>
          <w:sz w:val="24"/>
          <w:szCs w:val="24"/>
        </w:rPr>
        <w:t>e</w:t>
      </w:r>
      <w:r w:rsidRPr="00FF3A00">
        <w:rPr>
          <w:rFonts w:ascii="Times New Roman" w:eastAsia="Calibri" w:hAnsi="Times New Roman" w:cs="Times New Roman"/>
          <w:sz w:val="24"/>
          <w:szCs w:val="24"/>
        </w:rPr>
        <w:t xml:space="preserve"> ugdymo įstaigose mokėsi 1381 vaikas. Iš jų 99,1 proc. pasitikrinę sveikatą profilaktiškai;</w:t>
      </w:r>
    </w:p>
    <w:p w:rsidR="00FF3A00" w:rsidRPr="00FF3A00" w:rsidRDefault="00FF3A00" w:rsidP="00274BC0">
      <w:pPr>
        <w:numPr>
          <w:ilvl w:val="0"/>
          <w:numId w:val="16"/>
        </w:numPr>
        <w:spacing w:after="0" w:line="240" w:lineRule="auto"/>
        <w:ind w:left="0" w:firstLine="567"/>
        <w:contextualSpacing/>
        <w:jc w:val="both"/>
        <w:rPr>
          <w:rFonts w:ascii="Times New Roman" w:eastAsia="Calibri" w:hAnsi="Times New Roman" w:cs="Times New Roman"/>
          <w:b/>
          <w:sz w:val="24"/>
          <w:szCs w:val="24"/>
        </w:rPr>
      </w:pPr>
      <w:r w:rsidRPr="00FF3A00">
        <w:rPr>
          <w:rFonts w:ascii="Times New Roman" w:eastAsia="Calibri" w:hAnsi="Times New Roman" w:cs="Times New Roman"/>
          <w:sz w:val="24"/>
          <w:szCs w:val="24"/>
        </w:rPr>
        <w:t>8 iš 10 pasitikrinusių sveikatą vaikų neturi nei vieno diagnozuoto sutrikimo;</w:t>
      </w:r>
    </w:p>
    <w:p w:rsidR="00FF3A00" w:rsidRPr="00FF3A00" w:rsidRDefault="00FF3A00" w:rsidP="00274BC0">
      <w:pPr>
        <w:numPr>
          <w:ilvl w:val="0"/>
          <w:numId w:val="16"/>
        </w:numPr>
        <w:spacing w:after="0" w:line="240" w:lineRule="auto"/>
        <w:ind w:left="0" w:firstLine="567"/>
        <w:contextualSpacing/>
        <w:jc w:val="both"/>
        <w:rPr>
          <w:rFonts w:ascii="Times New Roman" w:eastAsia="Calibri" w:hAnsi="Times New Roman" w:cs="Times New Roman"/>
          <w:b/>
          <w:sz w:val="24"/>
          <w:szCs w:val="24"/>
        </w:rPr>
      </w:pPr>
      <w:r w:rsidRPr="00FF3A00">
        <w:rPr>
          <w:rFonts w:ascii="Times New Roman" w:eastAsia="Calibri" w:hAnsi="Times New Roman" w:cs="Times New Roman"/>
          <w:sz w:val="24"/>
          <w:szCs w:val="24"/>
        </w:rPr>
        <w:t>Dažniausiai diagnozuojama- kraujotakos sistemos, regos, kvėpavimo sistemos, nervų sistemos sutrikimai;</w:t>
      </w:r>
    </w:p>
    <w:p w:rsidR="00FF3A00" w:rsidRPr="00FF3A00" w:rsidRDefault="00FF3A00" w:rsidP="00274BC0">
      <w:pPr>
        <w:numPr>
          <w:ilvl w:val="0"/>
          <w:numId w:val="16"/>
        </w:numPr>
        <w:spacing w:after="0" w:line="240" w:lineRule="auto"/>
        <w:ind w:left="0" w:firstLine="567"/>
        <w:contextualSpacing/>
        <w:jc w:val="both"/>
        <w:rPr>
          <w:rFonts w:ascii="Times New Roman" w:eastAsia="Calibri" w:hAnsi="Times New Roman" w:cs="Times New Roman"/>
          <w:b/>
          <w:sz w:val="24"/>
          <w:szCs w:val="24"/>
        </w:rPr>
      </w:pPr>
      <w:r w:rsidRPr="00FF3A00">
        <w:rPr>
          <w:rFonts w:ascii="Times New Roman" w:eastAsia="Calibri" w:hAnsi="Times New Roman" w:cs="Times New Roman"/>
          <w:sz w:val="24"/>
          <w:szCs w:val="24"/>
        </w:rPr>
        <w:t xml:space="preserve">4 iš 10 ikimokyklines ugdymo įstaigas lankantys vaikai turi (nuolatinius ir pieninius) ėduonies pažeistus, plombuotus ar išrautus dantis. Neturinčių </w:t>
      </w:r>
      <w:proofErr w:type="spellStart"/>
      <w:r w:rsidRPr="00FF3A00">
        <w:rPr>
          <w:rFonts w:ascii="Times New Roman" w:eastAsia="Calibri" w:hAnsi="Times New Roman" w:cs="Times New Roman"/>
          <w:sz w:val="24"/>
          <w:szCs w:val="24"/>
        </w:rPr>
        <w:t>sąkandžio</w:t>
      </w:r>
      <w:proofErr w:type="spellEnd"/>
      <w:r w:rsidRPr="00FF3A00">
        <w:rPr>
          <w:rFonts w:ascii="Times New Roman" w:eastAsia="Calibri" w:hAnsi="Times New Roman" w:cs="Times New Roman"/>
          <w:sz w:val="24"/>
          <w:szCs w:val="24"/>
        </w:rPr>
        <w:t xml:space="preserve"> patologijų nustatyta 90,3 proc. vaikų, kurie pasitikrino sveikatą profilaktiškai. </w:t>
      </w:r>
    </w:p>
    <w:p w:rsidR="00FF3A00" w:rsidRPr="00FF3A00" w:rsidRDefault="00FF3A00" w:rsidP="00274BC0">
      <w:pPr>
        <w:numPr>
          <w:ilvl w:val="0"/>
          <w:numId w:val="16"/>
        </w:numPr>
        <w:spacing w:after="0" w:line="240" w:lineRule="auto"/>
        <w:ind w:left="0" w:firstLine="567"/>
        <w:contextualSpacing/>
        <w:jc w:val="both"/>
        <w:rPr>
          <w:rFonts w:ascii="Times New Roman" w:eastAsia="Calibri" w:hAnsi="Times New Roman" w:cs="Times New Roman"/>
          <w:b/>
          <w:sz w:val="24"/>
          <w:szCs w:val="24"/>
        </w:rPr>
      </w:pPr>
      <w:r w:rsidRPr="00FF3A00">
        <w:rPr>
          <w:rFonts w:ascii="Times New Roman" w:eastAsia="Calibri" w:hAnsi="Times New Roman" w:cs="Times New Roman"/>
          <w:sz w:val="24"/>
          <w:szCs w:val="24"/>
        </w:rPr>
        <w:t>68 proc. vaikų nustatytas normalus kūno masės indeksas, likusi dalis turi per mažą (30,6 proc.) ar per didelį (1,4 proc.) kūno masės indeksą;</w:t>
      </w:r>
    </w:p>
    <w:p w:rsidR="00FF3A00" w:rsidRPr="00FF3A00" w:rsidRDefault="00FF3A00" w:rsidP="00274BC0">
      <w:pPr>
        <w:numPr>
          <w:ilvl w:val="0"/>
          <w:numId w:val="16"/>
        </w:numPr>
        <w:spacing w:after="0" w:line="240" w:lineRule="auto"/>
        <w:ind w:left="0" w:firstLine="567"/>
        <w:contextualSpacing/>
        <w:jc w:val="both"/>
        <w:rPr>
          <w:rFonts w:ascii="Times New Roman" w:eastAsia="Calibri" w:hAnsi="Times New Roman" w:cs="Times New Roman"/>
          <w:b/>
          <w:sz w:val="24"/>
          <w:szCs w:val="24"/>
        </w:rPr>
      </w:pPr>
      <w:r w:rsidRPr="00FF3A00">
        <w:rPr>
          <w:rFonts w:ascii="Times New Roman" w:eastAsia="Calibri" w:hAnsi="Times New Roman" w:cs="Times New Roman"/>
          <w:sz w:val="24"/>
          <w:szCs w:val="24"/>
        </w:rPr>
        <w:t>99,4 proc. ikimokyklines ugdymo įstaigas 2018</w:t>
      </w:r>
      <w:r w:rsidR="0041598D">
        <w:rPr>
          <w:rFonts w:ascii="Times New Roman" w:eastAsia="Calibri" w:hAnsi="Times New Roman" w:cs="Times New Roman"/>
          <w:sz w:val="24"/>
          <w:szCs w:val="24"/>
        </w:rPr>
        <w:t>-</w:t>
      </w:r>
      <w:bookmarkStart w:id="0" w:name="_GoBack"/>
      <w:bookmarkEnd w:id="0"/>
      <w:r w:rsidRPr="00FF3A00">
        <w:rPr>
          <w:rFonts w:ascii="Times New Roman" w:eastAsia="Calibri" w:hAnsi="Times New Roman" w:cs="Times New Roman"/>
          <w:sz w:val="24"/>
          <w:szCs w:val="24"/>
        </w:rPr>
        <w:t xml:space="preserve">2019 m. m. lankančių vaikų priskirti pagrindinei kūno kultūros grupei. </w:t>
      </w:r>
    </w:p>
    <w:p w:rsidR="002D7266" w:rsidRDefault="002D7266" w:rsidP="00274BC0">
      <w:pPr>
        <w:spacing w:after="0" w:line="240" w:lineRule="auto"/>
        <w:ind w:left="567"/>
        <w:contextualSpacing/>
        <w:jc w:val="center"/>
        <w:rPr>
          <w:rFonts w:ascii="Times New Roman" w:eastAsia="Calibri" w:hAnsi="Times New Roman" w:cs="Times New Roman"/>
          <w:b/>
          <w:sz w:val="24"/>
          <w:szCs w:val="24"/>
        </w:rPr>
      </w:pPr>
    </w:p>
    <w:p w:rsidR="00FF3A00" w:rsidRDefault="00FF3A00" w:rsidP="00274BC0">
      <w:pPr>
        <w:spacing w:after="0" w:line="240" w:lineRule="auto"/>
        <w:ind w:left="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3.2 PLUNGĖS RAJONO SAVIVALDYBĖS MAUDYKLŲ VANDENS KOKYBĖS 2018 METŲ ATASKAITA </w:t>
      </w:r>
    </w:p>
    <w:p w:rsidR="00A51CDD" w:rsidRDefault="00A51CDD" w:rsidP="00274BC0">
      <w:pPr>
        <w:spacing w:after="0" w:line="240" w:lineRule="auto"/>
        <w:ind w:left="567"/>
        <w:contextualSpacing/>
        <w:jc w:val="both"/>
        <w:rPr>
          <w:rFonts w:ascii="Times New Roman" w:eastAsia="Calibri" w:hAnsi="Times New Roman" w:cs="Times New Roman"/>
          <w:b/>
          <w:sz w:val="24"/>
          <w:szCs w:val="24"/>
        </w:rPr>
      </w:pPr>
    </w:p>
    <w:p w:rsidR="00FF3A00" w:rsidRPr="00FF3A00" w:rsidRDefault="00FF3A00" w:rsidP="00955D6F">
      <w:pPr>
        <w:spacing w:after="0" w:line="240" w:lineRule="auto"/>
        <w:ind w:firstLine="720"/>
        <w:jc w:val="both"/>
        <w:rPr>
          <w:rFonts w:ascii="Times New Roman" w:eastAsia="Calibri" w:hAnsi="Times New Roman" w:cs="Times New Roman"/>
          <w:color w:val="000000"/>
          <w:sz w:val="24"/>
          <w:szCs w:val="24"/>
        </w:rPr>
      </w:pPr>
      <w:r w:rsidRPr="00FF3A00">
        <w:rPr>
          <w:rFonts w:ascii="Times New Roman" w:eastAsia="Calibri" w:hAnsi="Times New Roman" w:cs="Times New Roman"/>
          <w:color w:val="000000"/>
          <w:sz w:val="24"/>
          <w:szCs w:val="24"/>
        </w:rPr>
        <w:t xml:space="preserve">Plungės rajono savivaldybės visuomenės sveikatos biuras 2018 m. gegužės – rugsėjo mėn. vykdė Plungės rajono maudyklų vandens kokybės </w:t>
      </w:r>
      <w:proofErr w:type="spellStart"/>
      <w:r w:rsidRPr="00FF3A00">
        <w:rPr>
          <w:rFonts w:ascii="Times New Roman" w:eastAsia="Calibri" w:hAnsi="Times New Roman" w:cs="Times New Roman"/>
          <w:color w:val="000000"/>
          <w:sz w:val="24"/>
          <w:szCs w:val="24"/>
        </w:rPr>
        <w:t>stebėseną</w:t>
      </w:r>
      <w:proofErr w:type="spellEnd"/>
      <w:r w:rsidRPr="00FF3A00">
        <w:rPr>
          <w:rFonts w:ascii="Times New Roman" w:eastAsia="Calibri" w:hAnsi="Times New Roman" w:cs="Times New Roman"/>
          <w:color w:val="000000"/>
          <w:sz w:val="24"/>
          <w:szCs w:val="24"/>
        </w:rPr>
        <w:t>. Siekdamas apsaugoti žmonių sveikatą ir aplinką, sumažinti maudyklų taršą ir prisidėti prie maudyklų vandens kokybės gerinimo, Plungės rajono savivaldybės visuomenės sveikatos biuras rinko ir reguliariai teikė informaciją rajono gyventojams apie maudyklų vandens kokybę.</w:t>
      </w:r>
    </w:p>
    <w:p w:rsidR="008057AB" w:rsidRDefault="00FF3A00" w:rsidP="00955D6F">
      <w:pPr>
        <w:spacing w:after="0" w:line="240" w:lineRule="auto"/>
        <w:ind w:firstLine="720"/>
        <w:jc w:val="both"/>
        <w:rPr>
          <w:rFonts w:ascii="Times New Roman" w:eastAsia="Calibri" w:hAnsi="Times New Roman" w:cs="Times New Roman"/>
          <w:noProof/>
          <w:sz w:val="24"/>
          <w:szCs w:val="24"/>
          <w:lang w:eastAsia="lt-LT"/>
        </w:rPr>
      </w:pPr>
      <w:r w:rsidRPr="00FF3A00">
        <w:rPr>
          <w:rFonts w:ascii="Times New Roman" w:eastAsia="Calibri" w:hAnsi="Times New Roman" w:cs="Times New Roman"/>
          <w:noProof/>
          <w:sz w:val="24"/>
          <w:szCs w:val="24"/>
          <w:lang w:eastAsia="lt-LT"/>
        </w:rPr>
        <w:t xml:space="preserve">Nuo 2018 m. gegužės 1 d., vadovaujantis naujos redakcijos higienos norma HN 92:2018 „Paplūdimiai ir jų maudyklų vandens kokybė“ ir Lietuvos Respublikos sveikatos apsaugos ministro </w:t>
      </w:r>
      <w:r w:rsidRPr="00FF3A00">
        <w:rPr>
          <w:rFonts w:ascii="Times New Roman" w:eastAsia="Calibri" w:hAnsi="Times New Roman" w:cs="Times New Roman"/>
          <w:noProof/>
          <w:sz w:val="24"/>
          <w:szCs w:val="24"/>
          <w:lang w:eastAsia="lt-LT"/>
        </w:rPr>
        <w:lastRenderedPageBreak/>
        <w:t>2018 m. sausio 23 d. įsakymo Nr. V-76 „Dėl Lietuvos Respublikos sveikatos apsaugos ministro 2007 m. gruodžio 21 d. įsakymo Nr. V-1055 „Dėl Lietuvos higienos normos HN92:2007 „Paplūdimiai ir jų maudyklų vandens kokybė“ patvirtinimo“ pakeitimo nuostatomis, tiriama ir stebima ne tik maudyklų vandens, bet ir jų paplūdimių smėlio kokybė.</w:t>
      </w:r>
    </w:p>
    <w:p w:rsidR="008057AB" w:rsidRDefault="00FF3A00" w:rsidP="00955D6F">
      <w:pPr>
        <w:spacing w:after="0" w:line="240" w:lineRule="auto"/>
        <w:ind w:firstLine="720"/>
        <w:jc w:val="both"/>
        <w:rPr>
          <w:rFonts w:ascii="Times New Roman" w:eastAsia="Calibri" w:hAnsi="Times New Roman" w:cs="Times New Roman"/>
          <w:noProof/>
          <w:sz w:val="24"/>
          <w:szCs w:val="24"/>
          <w:lang w:eastAsia="lt-LT"/>
        </w:rPr>
      </w:pPr>
      <w:r w:rsidRPr="00FF3A00">
        <w:rPr>
          <w:rFonts w:ascii="Times New Roman" w:eastAsia="Calibri" w:hAnsi="Times New Roman" w:cs="Times New Roman"/>
          <w:noProof/>
          <w:sz w:val="24"/>
          <w:szCs w:val="24"/>
          <w:lang w:eastAsia="lt-LT"/>
        </w:rPr>
        <w:t xml:space="preserve"> </w:t>
      </w:r>
      <w:r w:rsidR="008057AB" w:rsidRPr="008057AB">
        <w:rPr>
          <w:rFonts w:ascii="Times New Roman" w:eastAsia="Calibri" w:hAnsi="Times New Roman" w:cs="Times New Roman"/>
          <w:noProof/>
          <w:sz w:val="24"/>
          <w:szCs w:val="24"/>
          <w:lang w:eastAsia="lt-LT"/>
        </w:rPr>
        <w:t>Maudyklų vandens kokybės vertinimas atliekamas dviejų mikrobiologinių parametrų – žarninių enterekokų ir žarninių lazdelių (E. coli) – duomenų rinkiniu, kurį sudaro stebėsenos duomenys, taip pat vandenyje stebimos nuolaužos, plūduriuojančios medžiagos, dervos, stiklas, plastikas, guma ir kitos medžiagos. Atliekant parazitologinius smėlio tyrimus, siekiama nustatyti žmogui patogeninių helmintų ar jų kiaušinėlių kiekį.</w:t>
      </w:r>
    </w:p>
    <w:p w:rsidR="008057AB" w:rsidRPr="008057AB" w:rsidRDefault="008057AB" w:rsidP="00955D6F">
      <w:pPr>
        <w:spacing w:after="0" w:line="240" w:lineRule="auto"/>
        <w:ind w:firstLine="720"/>
        <w:jc w:val="both"/>
        <w:rPr>
          <w:rFonts w:ascii="Times New Roman" w:eastAsia="Calibri" w:hAnsi="Times New Roman" w:cs="Times New Roman"/>
          <w:noProof/>
          <w:sz w:val="24"/>
          <w:szCs w:val="24"/>
          <w:lang w:eastAsia="lt-LT"/>
        </w:rPr>
      </w:pPr>
      <w:r w:rsidRPr="008057AB">
        <w:rPr>
          <w:rFonts w:ascii="Times New Roman" w:eastAsia="Calibri" w:hAnsi="Times New Roman" w:cs="Times New Roman"/>
          <w:noProof/>
          <w:sz w:val="24"/>
          <w:szCs w:val="24"/>
          <w:lang w:eastAsia="lt-LT"/>
        </w:rPr>
        <w:t>Iš viso per maudymosi sezoną Plungės rajono savivaldybės paplūdimiuose</w:t>
      </w:r>
      <w:r w:rsidR="00951BFE">
        <w:rPr>
          <w:rFonts w:ascii="Times New Roman" w:eastAsia="Calibri" w:hAnsi="Times New Roman" w:cs="Times New Roman"/>
          <w:noProof/>
          <w:sz w:val="24"/>
          <w:szCs w:val="24"/>
          <w:lang w:eastAsia="lt-LT"/>
        </w:rPr>
        <w:t xml:space="preserve"> buvo atlikti</w:t>
      </w:r>
      <w:r w:rsidRPr="008057AB">
        <w:rPr>
          <w:rFonts w:ascii="Times New Roman" w:eastAsia="Calibri" w:hAnsi="Times New Roman" w:cs="Times New Roman"/>
          <w:noProof/>
          <w:sz w:val="24"/>
          <w:szCs w:val="24"/>
          <w:lang w:eastAsia="lt-LT"/>
        </w:rPr>
        <w:t xml:space="preserve"> 86 mikrobiologiniai tyrimai (84 pl</w:t>
      </w:r>
      <w:r w:rsidR="00951BFE">
        <w:rPr>
          <w:rFonts w:ascii="Times New Roman" w:eastAsia="Calibri" w:hAnsi="Times New Roman" w:cs="Times New Roman"/>
          <w:noProof/>
          <w:sz w:val="24"/>
          <w:szCs w:val="24"/>
          <w:lang w:eastAsia="lt-LT"/>
        </w:rPr>
        <w:t>a</w:t>
      </w:r>
      <w:r w:rsidRPr="008057AB">
        <w:rPr>
          <w:rFonts w:ascii="Times New Roman" w:eastAsia="Calibri" w:hAnsi="Times New Roman" w:cs="Times New Roman"/>
          <w:noProof/>
          <w:sz w:val="24"/>
          <w:szCs w:val="24"/>
          <w:lang w:eastAsia="lt-LT"/>
        </w:rPr>
        <w:t>nuoti ir 2 pakartotiniai) ir 16 parazitologinių tyrimų. Iš „Plokštinės“, „Beržynėlio“, „Ąžuolų salos“ stovyklaviečių, Platelių miesto, „Linelio“, Beržoro ežero maudymosi vietų paimta 11 vandens mėginių (9 planuoti, 2 pakartotiniai), iš Babrungo upės prie Vandentiekio g., Gandingos tvenkinio, maudymosi vietų prie kolektyvinių sodų Kaušėnų kaime, Gandingos tvenkinio prie irklavimo bazės ir Babrungo upės (prie buvusios pirties pastato S. Neries g., Plungės m.) buvo pimta po 6 vandens mėginius. Iš „Plokštinės“ ir „Linelio“ stovyklaviečių paimta 16 paplūdimio smėlio mėginių.</w:t>
      </w:r>
    </w:p>
    <w:p w:rsidR="008057AB" w:rsidRDefault="008057AB" w:rsidP="00955D6F">
      <w:pPr>
        <w:spacing w:after="0" w:line="240" w:lineRule="auto"/>
        <w:ind w:firstLine="720"/>
        <w:jc w:val="both"/>
        <w:rPr>
          <w:rFonts w:ascii="Times New Roman" w:eastAsia="Calibri" w:hAnsi="Times New Roman" w:cs="Times New Roman"/>
          <w:noProof/>
          <w:sz w:val="24"/>
          <w:szCs w:val="24"/>
          <w:lang w:eastAsia="lt-LT"/>
        </w:rPr>
      </w:pPr>
      <w:r w:rsidRPr="008057AB">
        <w:rPr>
          <w:rFonts w:ascii="Times New Roman" w:eastAsia="Calibri" w:hAnsi="Times New Roman" w:cs="Times New Roman"/>
          <w:noProof/>
          <w:sz w:val="24"/>
          <w:szCs w:val="24"/>
          <w:lang w:eastAsia="lt-LT"/>
        </w:rPr>
        <w:t xml:space="preserve">2018 m. vandens tyrimų rezultatai 2 kartus neatitiko </w:t>
      </w:r>
      <w:r>
        <w:rPr>
          <w:rFonts w:ascii="Times New Roman" w:eastAsia="Calibri" w:hAnsi="Times New Roman" w:cs="Times New Roman"/>
          <w:noProof/>
          <w:sz w:val="24"/>
          <w:szCs w:val="24"/>
          <w:lang w:eastAsia="lt-LT"/>
        </w:rPr>
        <w:t>higienos normų reikalavimų, 2017</w:t>
      </w:r>
      <w:r w:rsidRPr="008057AB">
        <w:rPr>
          <w:rFonts w:ascii="Times New Roman" w:eastAsia="Calibri" w:hAnsi="Times New Roman" w:cs="Times New Roman"/>
          <w:noProof/>
          <w:sz w:val="24"/>
          <w:szCs w:val="24"/>
          <w:lang w:eastAsia="lt-LT"/>
        </w:rPr>
        <w:t xml:space="preserve"> m. stebimų maudymosi vietų vandens kokybė net 10 kartų n</w:t>
      </w:r>
      <w:r w:rsidR="00951BFE">
        <w:rPr>
          <w:rFonts w:ascii="Times New Roman" w:eastAsia="Calibri" w:hAnsi="Times New Roman" w:cs="Times New Roman"/>
          <w:noProof/>
          <w:sz w:val="24"/>
          <w:szCs w:val="24"/>
          <w:lang w:eastAsia="lt-LT"/>
        </w:rPr>
        <w:t>eatitiko reikalavimų</w:t>
      </w:r>
      <w:r w:rsidRPr="008057AB">
        <w:rPr>
          <w:rFonts w:ascii="Times New Roman" w:eastAsia="Calibri" w:hAnsi="Times New Roman" w:cs="Times New Roman"/>
          <w:noProof/>
          <w:sz w:val="24"/>
          <w:szCs w:val="24"/>
          <w:lang w:eastAsia="lt-LT"/>
        </w:rPr>
        <w:t>. Nuolaužų, plūduriuojančių medžiagų, dervų likučių, stiklo, plastiko, gumos ir kitų liekanų per maudymosi sezoną nebuvo pastebėta</w:t>
      </w:r>
      <w:r>
        <w:rPr>
          <w:rFonts w:ascii="Times New Roman" w:eastAsia="Calibri" w:hAnsi="Times New Roman" w:cs="Times New Roman"/>
          <w:noProof/>
          <w:sz w:val="24"/>
          <w:szCs w:val="24"/>
          <w:lang w:eastAsia="lt-LT"/>
        </w:rPr>
        <w:t>.</w:t>
      </w:r>
    </w:p>
    <w:p w:rsidR="008057AB" w:rsidRDefault="008057AB" w:rsidP="00955D6F">
      <w:pPr>
        <w:spacing w:after="0" w:line="240" w:lineRule="auto"/>
        <w:ind w:firstLine="720"/>
        <w:jc w:val="both"/>
        <w:rPr>
          <w:rFonts w:ascii="Times New Roman" w:eastAsia="Calibri" w:hAnsi="Times New Roman" w:cs="Times New Roman"/>
          <w:noProof/>
          <w:sz w:val="24"/>
          <w:szCs w:val="24"/>
          <w:lang w:eastAsia="lt-LT"/>
        </w:rPr>
      </w:pPr>
      <w:r>
        <w:rPr>
          <w:rFonts w:ascii="Times New Roman" w:hAnsi="Times New Roman"/>
          <w:sz w:val="24"/>
          <w:szCs w:val="24"/>
        </w:rPr>
        <w:t xml:space="preserve">Remiantis </w:t>
      </w:r>
      <w:r>
        <w:rPr>
          <w:rFonts w:ascii="Times New Roman" w:hAnsi="Times New Roman"/>
          <w:noProof/>
          <w:sz w:val="24"/>
          <w:szCs w:val="24"/>
          <w:lang w:eastAsia="lt-LT"/>
        </w:rPr>
        <w:t xml:space="preserve">naujos redakcijos higienos norma HN 92:2018 „Paplūdimiai ir jų maudyklų vandens kokybė“ ir suderintu </w:t>
      </w:r>
      <w:r>
        <w:rPr>
          <w:rFonts w:ascii="Times New Roman" w:hAnsi="Times New Roman"/>
          <w:sz w:val="24"/>
          <w:szCs w:val="24"/>
        </w:rPr>
        <w:t>maudymosi vietų</w:t>
      </w:r>
      <w:r w:rsidRPr="008B0C1C">
        <w:rPr>
          <w:rFonts w:ascii="Times New Roman" w:hAnsi="Times New Roman"/>
          <w:sz w:val="24"/>
          <w:szCs w:val="24"/>
        </w:rPr>
        <w:t xml:space="preserve"> vandens</w:t>
      </w:r>
      <w:r>
        <w:rPr>
          <w:rFonts w:ascii="Times New Roman" w:hAnsi="Times New Roman"/>
          <w:sz w:val="24"/>
          <w:szCs w:val="24"/>
        </w:rPr>
        <w:t xml:space="preserve"> ir paplūdimių smėlio tyrimų kalendoriniu</w:t>
      </w:r>
      <w:r w:rsidRPr="008B0C1C">
        <w:rPr>
          <w:rFonts w:ascii="Times New Roman" w:hAnsi="Times New Roman"/>
          <w:sz w:val="24"/>
          <w:szCs w:val="24"/>
        </w:rPr>
        <w:t xml:space="preserve"> 201</w:t>
      </w:r>
      <w:r>
        <w:rPr>
          <w:rFonts w:ascii="Times New Roman" w:hAnsi="Times New Roman"/>
          <w:sz w:val="24"/>
          <w:szCs w:val="24"/>
        </w:rPr>
        <w:t>8 metų grafiku</w:t>
      </w:r>
      <w:r>
        <w:rPr>
          <w:rFonts w:ascii="Times New Roman" w:hAnsi="Times New Roman"/>
          <w:noProof/>
          <w:sz w:val="24"/>
          <w:szCs w:val="24"/>
          <w:lang w:eastAsia="lt-LT"/>
        </w:rPr>
        <w:t>, Plungės rajono savivaldybės maudymosi vietose esantis paplūdimio smėlis buvo tiriamas 4 kartus, imti po 2 smėlio mėginiai iš Platelių ežero „Plokštinės“ ir „Linelio“ stovyklaviečių, kadangi tik šiose vietose yra paplūdimio smėlis. Viso maudymosi sezono metu kirminų kiaušinėliai ir lervos neaptiktos.</w:t>
      </w:r>
    </w:p>
    <w:p w:rsidR="008057AB" w:rsidRDefault="008057AB" w:rsidP="00955D6F">
      <w:pPr>
        <w:spacing w:after="0" w:line="240" w:lineRule="auto"/>
        <w:ind w:firstLine="720"/>
        <w:jc w:val="both"/>
        <w:rPr>
          <w:rFonts w:ascii="Times New Roman" w:hAnsi="Times New Roman"/>
          <w:noProof/>
          <w:sz w:val="24"/>
          <w:szCs w:val="24"/>
          <w:lang w:eastAsia="lt-LT"/>
        </w:rPr>
      </w:pPr>
      <w:r>
        <w:rPr>
          <w:rFonts w:ascii="Times New Roman" w:hAnsi="Times New Roman"/>
          <w:noProof/>
          <w:sz w:val="24"/>
          <w:szCs w:val="24"/>
          <w:lang w:eastAsia="lt-LT"/>
        </w:rPr>
        <w:t>2018 m. rugpjūčio 2 dieną Plungės rajono savivaldybės Platelių ežero „Plokštinės“ poilsiavietėje, „Linelio“, Beržoro ežero, „Beržynėlio“ maudymosi vietose buvo vykdoma akcija „Būkite atsargūs prie vandens“. Akcijos metu Plungės rajono savivaldybės visuomenės sveikatos biuro visuomenės sveikatos specialistės poilsiautojams dalijo informaciją apie vandens kokybę ir atliktus tyrimus maudymosi vietose, aiškino, kaip būti saugiems prie vandens, kaip išvengti saulės smūgio, „Plokštinės“ poilsiavietėje, poilsiaujantiems sutikus, mokė kaip suteikti pirmąją pagalbą skęstančiajam. Žmonės buvo geranoriški, išklausė naudingą informaciją, patys klausinėjo jiems rūpimomis temomis apie sveikatą. Visuomenės sveikatos specialistės taip pat džiugino mažuosius poilsiautojus spalvotais balionais.</w:t>
      </w:r>
    </w:p>
    <w:p w:rsidR="00084F65" w:rsidRDefault="00084F65" w:rsidP="00955D6F">
      <w:pPr>
        <w:spacing w:after="0" w:line="240" w:lineRule="auto"/>
        <w:ind w:firstLine="720"/>
        <w:jc w:val="both"/>
        <w:rPr>
          <w:rFonts w:ascii="Times New Roman" w:hAnsi="Times New Roman"/>
          <w:noProof/>
          <w:sz w:val="24"/>
          <w:szCs w:val="24"/>
          <w:lang w:eastAsia="lt-LT"/>
        </w:rPr>
      </w:pPr>
    </w:p>
    <w:p w:rsidR="008057AB" w:rsidRDefault="008057AB" w:rsidP="00274BC0">
      <w:pPr>
        <w:spacing w:after="0" w:line="240" w:lineRule="auto"/>
        <w:ind w:firstLine="567"/>
        <w:jc w:val="center"/>
        <w:rPr>
          <w:rFonts w:ascii="Times New Roman" w:hAnsi="Times New Roman"/>
          <w:b/>
          <w:noProof/>
          <w:sz w:val="24"/>
          <w:szCs w:val="24"/>
          <w:lang w:eastAsia="lt-LT"/>
        </w:rPr>
      </w:pPr>
      <w:r>
        <w:rPr>
          <w:rFonts w:ascii="Times New Roman" w:hAnsi="Times New Roman"/>
          <w:b/>
          <w:noProof/>
          <w:sz w:val="24"/>
          <w:szCs w:val="24"/>
          <w:lang w:eastAsia="lt-LT"/>
        </w:rPr>
        <w:t>3.3 PLUNGĖS RAJONO SAVIVALDYBĖS BENDROJO LAVINIMO MOKYKLŲ MOKSLEIVIŲ KUPRINIŲ SVĖRIMO AKCIJA 2018/2019 M. M.</w:t>
      </w:r>
    </w:p>
    <w:p w:rsidR="00A51CDD" w:rsidRDefault="00A51CDD" w:rsidP="00274BC0">
      <w:pPr>
        <w:spacing w:after="0" w:line="240" w:lineRule="auto"/>
        <w:ind w:firstLine="567"/>
        <w:jc w:val="center"/>
        <w:rPr>
          <w:rFonts w:ascii="Times New Roman" w:hAnsi="Times New Roman"/>
          <w:b/>
          <w:noProof/>
          <w:sz w:val="24"/>
          <w:szCs w:val="24"/>
          <w:lang w:eastAsia="lt-LT"/>
        </w:rPr>
      </w:pPr>
    </w:p>
    <w:p w:rsidR="00274BC0" w:rsidRPr="00274BC0" w:rsidRDefault="00274BC0" w:rsidP="00274BC0">
      <w:pPr>
        <w:numPr>
          <w:ilvl w:val="0"/>
          <w:numId w:val="17"/>
        </w:numPr>
        <w:spacing w:before="240" w:after="0" w:line="240" w:lineRule="auto"/>
        <w:ind w:left="0" w:firstLine="567"/>
        <w:contextualSpacing/>
        <w:jc w:val="both"/>
        <w:rPr>
          <w:rFonts w:ascii="Times New Roman" w:eastAsia="Calibri" w:hAnsi="Times New Roman" w:cs="Times New Roman"/>
          <w:b/>
          <w:sz w:val="24"/>
          <w:szCs w:val="24"/>
        </w:rPr>
      </w:pPr>
      <w:r w:rsidRPr="00274BC0">
        <w:rPr>
          <w:rFonts w:ascii="Times New Roman" w:eastAsia="Calibri" w:hAnsi="Times New Roman" w:cs="Times New Roman"/>
          <w:sz w:val="24"/>
          <w:szCs w:val="24"/>
        </w:rPr>
        <w:t>Akcijoje dalyvavo 633 3 ir 5 klasių mokiniai;</w:t>
      </w:r>
    </w:p>
    <w:p w:rsidR="00274BC0" w:rsidRPr="00274BC0" w:rsidRDefault="00274BC0" w:rsidP="00274BC0">
      <w:pPr>
        <w:numPr>
          <w:ilvl w:val="0"/>
          <w:numId w:val="17"/>
        </w:numPr>
        <w:spacing w:before="240" w:after="0" w:line="240" w:lineRule="auto"/>
        <w:ind w:left="0" w:firstLine="567"/>
        <w:contextualSpacing/>
        <w:jc w:val="both"/>
        <w:rPr>
          <w:rFonts w:ascii="Times New Roman" w:eastAsia="Calibri" w:hAnsi="Times New Roman" w:cs="Times New Roman"/>
          <w:b/>
          <w:sz w:val="24"/>
          <w:szCs w:val="24"/>
        </w:rPr>
      </w:pPr>
      <w:r w:rsidRPr="00274BC0">
        <w:rPr>
          <w:rFonts w:ascii="Times New Roman" w:eastAsia="Calibri" w:hAnsi="Times New Roman" w:cs="Times New Roman"/>
          <w:sz w:val="24"/>
          <w:szCs w:val="24"/>
        </w:rPr>
        <w:t>6,6 proc. akcijoje dalyvavusių vaikų nešioja daugiu negu 15 proc. kūno masės sveriančias kuprines. 2017-2018 m. m. tokių vaikų buvo mažiau (4,3 proc.);</w:t>
      </w:r>
    </w:p>
    <w:p w:rsidR="00274BC0" w:rsidRPr="00274BC0" w:rsidRDefault="00274BC0" w:rsidP="00274BC0">
      <w:pPr>
        <w:numPr>
          <w:ilvl w:val="0"/>
          <w:numId w:val="17"/>
        </w:numPr>
        <w:spacing w:before="240" w:after="0" w:line="240" w:lineRule="auto"/>
        <w:ind w:left="0" w:firstLine="567"/>
        <w:contextualSpacing/>
        <w:jc w:val="both"/>
        <w:rPr>
          <w:rFonts w:ascii="Times New Roman" w:eastAsia="Calibri" w:hAnsi="Times New Roman" w:cs="Times New Roman"/>
          <w:b/>
          <w:sz w:val="24"/>
          <w:szCs w:val="24"/>
        </w:rPr>
      </w:pPr>
      <w:r w:rsidRPr="00274BC0">
        <w:rPr>
          <w:rFonts w:ascii="Times New Roman" w:eastAsia="Calibri" w:hAnsi="Times New Roman" w:cs="Times New Roman"/>
          <w:sz w:val="24"/>
          <w:szCs w:val="24"/>
        </w:rPr>
        <w:t>Akcijos metu nustatyta, kad dažniau sunkesnes negu 15 proc. kūno masės sveriančias kuprines nešioja 3 ir 5 klasėje besimokančios mergaitės;</w:t>
      </w:r>
    </w:p>
    <w:p w:rsidR="00274BC0" w:rsidRPr="00274BC0" w:rsidRDefault="00274BC0" w:rsidP="00274BC0">
      <w:pPr>
        <w:numPr>
          <w:ilvl w:val="0"/>
          <w:numId w:val="17"/>
        </w:numPr>
        <w:spacing w:before="240" w:after="0" w:line="240" w:lineRule="auto"/>
        <w:ind w:left="0" w:firstLine="567"/>
        <w:contextualSpacing/>
        <w:jc w:val="both"/>
        <w:rPr>
          <w:rFonts w:ascii="Times New Roman" w:eastAsia="Calibri" w:hAnsi="Times New Roman" w:cs="Times New Roman"/>
          <w:b/>
          <w:sz w:val="24"/>
          <w:szCs w:val="24"/>
        </w:rPr>
      </w:pPr>
      <w:r w:rsidRPr="00274BC0">
        <w:rPr>
          <w:rFonts w:ascii="Times New Roman" w:eastAsia="Calibri" w:hAnsi="Times New Roman" w:cs="Times New Roman"/>
          <w:sz w:val="24"/>
          <w:szCs w:val="24"/>
        </w:rPr>
        <w:t>Iki 10 proc. kūno masės sveriančias kuprines nešioja daugiau negu pusė (t.y. 57 proc.) akcijoje dalyvavusių moksleiviu;</w:t>
      </w:r>
    </w:p>
    <w:p w:rsidR="00274BC0" w:rsidRPr="00274BC0" w:rsidRDefault="00274BC0" w:rsidP="00274BC0">
      <w:pPr>
        <w:numPr>
          <w:ilvl w:val="0"/>
          <w:numId w:val="17"/>
        </w:numPr>
        <w:spacing w:before="240" w:after="0" w:line="240" w:lineRule="auto"/>
        <w:ind w:left="0" w:firstLine="567"/>
        <w:contextualSpacing/>
        <w:jc w:val="both"/>
        <w:rPr>
          <w:rFonts w:ascii="Times New Roman" w:eastAsia="Calibri" w:hAnsi="Times New Roman" w:cs="Times New Roman"/>
          <w:b/>
          <w:sz w:val="24"/>
          <w:szCs w:val="24"/>
        </w:rPr>
      </w:pPr>
      <w:r w:rsidRPr="00274BC0">
        <w:rPr>
          <w:rFonts w:ascii="Times New Roman" w:eastAsia="Calibri" w:hAnsi="Times New Roman" w:cs="Times New Roman"/>
          <w:sz w:val="24"/>
          <w:szCs w:val="24"/>
        </w:rPr>
        <w:t xml:space="preserve">5 klasėje besimokančių mokinių, kurių tuščia kuprinė svertų daugiau nei 1,5 kg nebuvo. Tuo tarpu 3 klasėje besimokančių mokinių, kurių tuščia kuprinė svertų daugiu nei 1,5 kg </w:t>
      </w:r>
      <w:r w:rsidRPr="00274BC0">
        <w:rPr>
          <w:rFonts w:ascii="Times New Roman" w:eastAsia="Calibri" w:hAnsi="Times New Roman" w:cs="Times New Roman"/>
          <w:sz w:val="24"/>
          <w:szCs w:val="24"/>
        </w:rPr>
        <w:lastRenderedPageBreak/>
        <w:t>lyginant su 2017-2018 m. m. sumažėjo daugiau negu 8 kartais. Atitinkamai 2017-2018 m. m. 10,7 proc., 2018-2019 m. m.- 1,6 proc.</w:t>
      </w:r>
    </w:p>
    <w:p w:rsidR="008057AB" w:rsidRPr="00274BC0" w:rsidRDefault="00274BC0" w:rsidP="00274BC0">
      <w:pPr>
        <w:pStyle w:val="Sraopastraipa"/>
        <w:numPr>
          <w:ilvl w:val="0"/>
          <w:numId w:val="17"/>
        </w:numPr>
        <w:spacing w:after="0" w:line="240" w:lineRule="auto"/>
        <w:ind w:left="0" w:firstLine="567"/>
        <w:jc w:val="both"/>
        <w:rPr>
          <w:rFonts w:ascii="Times New Roman" w:eastAsia="Calibri" w:hAnsi="Times New Roman" w:cs="Times New Roman"/>
          <w:noProof/>
          <w:sz w:val="24"/>
          <w:szCs w:val="24"/>
          <w:lang w:eastAsia="lt-LT"/>
        </w:rPr>
      </w:pPr>
      <w:r w:rsidRPr="00274BC0">
        <w:rPr>
          <w:rFonts w:ascii="Times New Roman" w:eastAsia="Calibri" w:hAnsi="Times New Roman" w:cs="Times New Roman"/>
          <w:sz w:val="24"/>
          <w:szCs w:val="24"/>
        </w:rPr>
        <w:t>98 proc. akcijoje dalyvavusių vaikų nešiojo kuprines su dviem diržais. Akcijos metu išsiaiškinta, jog 69 proc. vaikų, turi kuprines su atšvaitu</w:t>
      </w:r>
      <w:r>
        <w:rPr>
          <w:rFonts w:ascii="Times New Roman" w:eastAsia="Calibri" w:hAnsi="Times New Roman" w:cs="Times New Roman"/>
          <w:sz w:val="24"/>
          <w:szCs w:val="24"/>
        </w:rPr>
        <w:t>.</w:t>
      </w:r>
    </w:p>
    <w:p w:rsidR="00955D6F" w:rsidRDefault="00955D6F" w:rsidP="00F50188">
      <w:pPr>
        <w:spacing w:after="0" w:line="360" w:lineRule="auto"/>
        <w:jc w:val="center"/>
        <w:rPr>
          <w:rFonts w:ascii="Times New Roman" w:eastAsia="Calibri" w:hAnsi="Times New Roman" w:cs="Times New Roman"/>
          <w:b/>
          <w:noProof/>
          <w:sz w:val="24"/>
          <w:szCs w:val="24"/>
          <w:lang w:eastAsia="lt-LT"/>
        </w:rPr>
      </w:pPr>
    </w:p>
    <w:p w:rsidR="00285E3D" w:rsidRDefault="00285E3D" w:rsidP="00955D6F">
      <w:pPr>
        <w:spacing w:after="0" w:line="240" w:lineRule="auto"/>
        <w:jc w:val="center"/>
        <w:rPr>
          <w:rFonts w:ascii="Times New Roman" w:eastAsia="Calibri" w:hAnsi="Times New Roman" w:cs="Times New Roman"/>
          <w:b/>
          <w:noProof/>
          <w:sz w:val="24"/>
          <w:szCs w:val="24"/>
          <w:lang w:eastAsia="lt-LT"/>
        </w:rPr>
      </w:pPr>
      <w:r>
        <w:rPr>
          <w:rFonts w:ascii="Times New Roman" w:eastAsia="Calibri" w:hAnsi="Times New Roman" w:cs="Times New Roman"/>
          <w:b/>
          <w:noProof/>
          <w:sz w:val="24"/>
          <w:szCs w:val="24"/>
          <w:lang w:eastAsia="lt-LT"/>
        </w:rPr>
        <w:t>REKOMENDACIJOS</w:t>
      </w:r>
    </w:p>
    <w:p w:rsidR="00955D6F" w:rsidRDefault="00955D6F" w:rsidP="00955D6F">
      <w:pPr>
        <w:spacing w:after="0" w:line="240" w:lineRule="auto"/>
        <w:jc w:val="center"/>
        <w:rPr>
          <w:rFonts w:ascii="Times New Roman" w:eastAsia="Calibri" w:hAnsi="Times New Roman" w:cs="Times New Roman"/>
          <w:b/>
          <w:noProof/>
          <w:sz w:val="24"/>
          <w:szCs w:val="24"/>
          <w:lang w:eastAsia="lt-LT"/>
        </w:rPr>
      </w:pPr>
    </w:p>
    <w:p w:rsidR="00F50188" w:rsidRPr="001776A3" w:rsidRDefault="00651713" w:rsidP="001776A3">
      <w:pPr>
        <w:pStyle w:val="Sraopastraipa"/>
        <w:numPr>
          <w:ilvl w:val="0"/>
          <w:numId w:val="17"/>
        </w:numPr>
        <w:spacing w:after="0" w:line="240" w:lineRule="auto"/>
        <w:ind w:left="0" w:firstLine="567"/>
        <w:jc w:val="both"/>
        <w:rPr>
          <w:rFonts w:ascii="Times New Roman" w:eastAsia="Calibri" w:hAnsi="Times New Roman" w:cs="Times New Roman"/>
          <w:noProof/>
          <w:sz w:val="24"/>
          <w:szCs w:val="24"/>
          <w:u w:val="single"/>
          <w:lang w:eastAsia="lt-LT"/>
        </w:rPr>
      </w:pPr>
      <w:r w:rsidRPr="001776A3">
        <w:rPr>
          <w:rFonts w:ascii="Times New Roman" w:eastAsia="Calibri" w:hAnsi="Times New Roman" w:cs="Times New Roman"/>
          <w:noProof/>
          <w:sz w:val="24"/>
          <w:szCs w:val="24"/>
          <w:u w:val="single"/>
          <w:lang w:eastAsia="lt-LT"/>
        </w:rPr>
        <w:t>Siekiant gerint</w:t>
      </w:r>
      <w:r w:rsidR="00C85FF3" w:rsidRPr="001776A3">
        <w:rPr>
          <w:rFonts w:ascii="Times New Roman" w:eastAsia="Calibri" w:hAnsi="Times New Roman" w:cs="Times New Roman"/>
          <w:noProof/>
          <w:sz w:val="24"/>
          <w:szCs w:val="24"/>
          <w:u w:val="single"/>
          <w:lang w:eastAsia="lt-LT"/>
        </w:rPr>
        <w:t>i</w:t>
      </w:r>
      <w:r w:rsidRPr="001776A3">
        <w:rPr>
          <w:rFonts w:ascii="Times New Roman" w:eastAsia="Calibri" w:hAnsi="Times New Roman" w:cs="Times New Roman"/>
          <w:noProof/>
          <w:sz w:val="24"/>
          <w:szCs w:val="24"/>
          <w:u w:val="single"/>
          <w:lang w:eastAsia="lt-LT"/>
        </w:rPr>
        <w:t xml:space="preserve"> Plungės rajono savivaldybės gyventojų sveikatos būklę, būtina plėtoti visų amžiaus gru</w:t>
      </w:r>
      <w:r w:rsidR="001776A3" w:rsidRPr="001776A3">
        <w:rPr>
          <w:rFonts w:ascii="Times New Roman" w:eastAsia="Calibri" w:hAnsi="Times New Roman" w:cs="Times New Roman"/>
          <w:noProof/>
          <w:sz w:val="24"/>
          <w:szCs w:val="24"/>
          <w:u w:val="single"/>
          <w:lang w:eastAsia="lt-LT"/>
        </w:rPr>
        <w:t>pių asmenų sveikatinimo veiklas:</w:t>
      </w:r>
    </w:p>
    <w:p w:rsidR="001776A3" w:rsidRDefault="001776A3" w:rsidP="001776A3">
      <w:pPr>
        <w:spacing w:after="0" w:line="240" w:lineRule="auto"/>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 xml:space="preserve">         -           </w:t>
      </w:r>
      <w:r w:rsidRPr="001776A3">
        <w:rPr>
          <w:rFonts w:ascii="Times New Roman" w:eastAsia="Calibri" w:hAnsi="Times New Roman" w:cs="Times New Roman"/>
          <w:noProof/>
          <w:sz w:val="24"/>
          <w:szCs w:val="24"/>
          <w:lang w:eastAsia="lt-LT"/>
        </w:rPr>
        <w:t>g</w:t>
      </w:r>
      <w:r w:rsidR="00651713" w:rsidRPr="001776A3">
        <w:rPr>
          <w:rFonts w:ascii="Times New Roman" w:eastAsia="Calibri" w:hAnsi="Times New Roman" w:cs="Times New Roman"/>
          <w:noProof/>
          <w:sz w:val="24"/>
          <w:szCs w:val="24"/>
          <w:lang w:eastAsia="lt-LT"/>
        </w:rPr>
        <w:t>erinti</w:t>
      </w:r>
      <w:r w:rsidRPr="001776A3">
        <w:rPr>
          <w:rFonts w:ascii="Times New Roman" w:eastAsia="Calibri" w:hAnsi="Times New Roman" w:cs="Times New Roman"/>
          <w:noProof/>
          <w:sz w:val="24"/>
          <w:szCs w:val="24"/>
          <w:lang w:eastAsia="lt-LT"/>
        </w:rPr>
        <w:t xml:space="preserve"> tarpsektorinį bendradarbiavimą;</w:t>
      </w:r>
    </w:p>
    <w:p w:rsidR="00651713" w:rsidRDefault="001776A3" w:rsidP="001776A3">
      <w:pPr>
        <w:spacing w:after="0" w:line="240" w:lineRule="auto"/>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 xml:space="preserve">         -        k</w:t>
      </w:r>
      <w:r w:rsidR="00651713">
        <w:rPr>
          <w:rFonts w:ascii="Times New Roman" w:eastAsia="Calibri" w:hAnsi="Times New Roman" w:cs="Times New Roman"/>
          <w:noProof/>
          <w:sz w:val="24"/>
          <w:szCs w:val="24"/>
          <w:lang w:eastAsia="lt-LT"/>
        </w:rPr>
        <w:t>elti specialistų, dalyvaujančių sveikatinimo veikloje, kvalifikaciją sveikatos stiprinimo klaus</w:t>
      </w:r>
      <w:r>
        <w:rPr>
          <w:rFonts w:ascii="Times New Roman" w:eastAsia="Calibri" w:hAnsi="Times New Roman" w:cs="Times New Roman"/>
          <w:noProof/>
          <w:sz w:val="24"/>
          <w:szCs w:val="24"/>
          <w:lang w:eastAsia="lt-LT"/>
        </w:rPr>
        <w:t>imais;</w:t>
      </w:r>
    </w:p>
    <w:p w:rsidR="00651713" w:rsidRPr="001776A3" w:rsidRDefault="001776A3" w:rsidP="001776A3">
      <w:pPr>
        <w:spacing w:after="0" w:line="240" w:lineRule="auto"/>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 xml:space="preserve">         -      </w:t>
      </w:r>
      <w:r w:rsidRPr="001776A3">
        <w:rPr>
          <w:rFonts w:ascii="Times New Roman" w:eastAsia="Calibri" w:hAnsi="Times New Roman" w:cs="Times New Roman"/>
          <w:noProof/>
          <w:sz w:val="24"/>
          <w:szCs w:val="24"/>
          <w:lang w:eastAsia="lt-LT"/>
        </w:rPr>
        <w:t>g</w:t>
      </w:r>
      <w:r w:rsidR="00651713" w:rsidRPr="001776A3">
        <w:rPr>
          <w:rFonts w:ascii="Times New Roman" w:eastAsia="Calibri" w:hAnsi="Times New Roman" w:cs="Times New Roman"/>
          <w:noProof/>
          <w:sz w:val="24"/>
          <w:szCs w:val="24"/>
          <w:lang w:eastAsia="lt-LT"/>
        </w:rPr>
        <w:t>erinti bendruomenės sveikatos raštingumą, vykdyti visuomenės švietimą per vietines informavimo priemones, teikiant mokslu pagrįstą informaciją apie sveikos gyvensenos principus, įgūdžių ugdymą ir ligų profil</w:t>
      </w:r>
      <w:r w:rsidR="00C85FF3" w:rsidRPr="001776A3">
        <w:rPr>
          <w:rFonts w:ascii="Times New Roman" w:eastAsia="Calibri" w:hAnsi="Times New Roman" w:cs="Times New Roman"/>
          <w:noProof/>
          <w:sz w:val="24"/>
          <w:szCs w:val="24"/>
          <w:lang w:eastAsia="lt-LT"/>
        </w:rPr>
        <w:t>a</w:t>
      </w:r>
      <w:r w:rsidRPr="001776A3">
        <w:rPr>
          <w:rFonts w:ascii="Times New Roman" w:eastAsia="Calibri" w:hAnsi="Times New Roman" w:cs="Times New Roman"/>
          <w:noProof/>
          <w:sz w:val="24"/>
          <w:szCs w:val="24"/>
          <w:lang w:eastAsia="lt-LT"/>
        </w:rPr>
        <w:t>ktiką;</w:t>
      </w:r>
    </w:p>
    <w:p w:rsidR="00651713" w:rsidRPr="001776A3" w:rsidRDefault="001776A3" w:rsidP="001776A3">
      <w:pPr>
        <w:spacing w:after="0" w:line="240" w:lineRule="auto"/>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 xml:space="preserve">         -       </w:t>
      </w:r>
      <w:r w:rsidRPr="001776A3">
        <w:rPr>
          <w:rFonts w:ascii="Times New Roman" w:eastAsia="Calibri" w:hAnsi="Times New Roman" w:cs="Times New Roman"/>
          <w:noProof/>
          <w:sz w:val="24"/>
          <w:szCs w:val="24"/>
          <w:lang w:eastAsia="lt-LT"/>
        </w:rPr>
        <w:t>s</w:t>
      </w:r>
      <w:r w:rsidR="00651713" w:rsidRPr="001776A3">
        <w:rPr>
          <w:rFonts w:ascii="Times New Roman" w:eastAsia="Calibri" w:hAnsi="Times New Roman" w:cs="Times New Roman"/>
          <w:noProof/>
          <w:sz w:val="24"/>
          <w:szCs w:val="24"/>
          <w:lang w:eastAsia="lt-LT"/>
        </w:rPr>
        <w:t>katinti gyventojus aktyviai dalyvauti Plungės rajono savivaldybės visuomenės sveikatos biuro, švietimo ir sporto įstaigų organizuojamuose įvairiuose s</w:t>
      </w:r>
      <w:r w:rsidRPr="001776A3">
        <w:rPr>
          <w:rFonts w:ascii="Times New Roman" w:eastAsia="Calibri" w:hAnsi="Times New Roman" w:cs="Times New Roman"/>
          <w:noProof/>
          <w:sz w:val="24"/>
          <w:szCs w:val="24"/>
          <w:lang w:eastAsia="lt-LT"/>
        </w:rPr>
        <w:t>veikatinimo veiklos renginiuose;</w:t>
      </w:r>
    </w:p>
    <w:p w:rsidR="009C2BE6" w:rsidRPr="001776A3" w:rsidRDefault="001776A3" w:rsidP="001776A3">
      <w:pPr>
        <w:spacing w:after="0" w:line="240" w:lineRule="auto"/>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 xml:space="preserve">     </w:t>
      </w:r>
      <w:r w:rsidR="0041598D">
        <w:rPr>
          <w:rFonts w:ascii="Times New Roman" w:eastAsia="Calibri" w:hAnsi="Times New Roman" w:cs="Times New Roman"/>
          <w:noProof/>
          <w:sz w:val="24"/>
          <w:szCs w:val="24"/>
          <w:lang w:eastAsia="lt-LT"/>
        </w:rPr>
        <w:t xml:space="preserve"> </w:t>
      </w:r>
      <w:r>
        <w:rPr>
          <w:rFonts w:ascii="Times New Roman" w:eastAsia="Calibri" w:hAnsi="Times New Roman" w:cs="Times New Roman"/>
          <w:noProof/>
          <w:sz w:val="24"/>
          <w:szCs w:val="24"/>
          <w:lang w:eastAsia="lt-LT"/>
        </w:rPr>
        <w:t xml:space="preserve">   -     </w:t>
      </w:r>
      <w:r w:rsidRPr="001776A3">
        <w:rPr>
          <w:rFonts w:ascii="Times New Roman" w:eastAsia="Calibri" w:hAnsi="Times New Roman" w:cs="Times New Roman"/>
          <w:noProof/>
          <w:sz w:val="24"/>
          <w:szCs w:val="24"/>
          <w:lang w:eastAsia="lt-LT"/>
        </w:rPr>
        <w:t>g</w:t>
      </w:r>
      <w:r w:rsidR="009C2BE6" w:rsidRPr="001776A3">
        <w:rPr>
          <w:rFonts w:ascii="Times New Roman" w:eastAsia="Calibri" w:hAnsi="Times New Roman" w:cs="Times New Roman"/>
          <w:noProof/>
          <w:sz w:val="24"/>
          <w:szCs w:val="24"/>
          <w:lang w:eastAsia="lt-LT"/>
        </w:rPr>
        <w:t>erinti gyventojų informacijos sklaidos efektyvumą, atkreipti dėmesį į gyventojų, kuriems informacija skirta amžių,išsilavinimą, užimtumą, bei sveikatos būklę;</w:t>
      </w:r>
    </w:p>
    <w:p w:rsidR="009C2BE6" w:rsidRPr="001776A3" w:rsidRDefault="001776A3" w:rsidP="001776A3">
      <w:pPr>
        <w:spacing w:after="0" w:line="240" w:lineRule="auto"/>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 xml:space="preserve">         -    </w:t>
      </w:r>
      <w:r w:rsidRPr="001776A3">
        <w:rPr>
          <w:rFonts w:ascii="Times New Roman" w:eastAsia="Calibri" w:hAnsi="Times New Roman" w:cs="Times New Roman"/>
          <w:noProof/>
          <w:sz w:val="24"/>
          <w:szCs w:val="24"/>
          <w:lang w:eastAsia="lt-LT"/>
        </w:rPr>
        <w:t>s</w:t>
      </w:r>
      <w:r w:rsidR="009C2BE6" w:rsidRPr="001776A3">
        <w:rPr>
          <w:rFonts w:ascii="Times New Roman" w:eastAsia="Calibri" w:hAnsi="Times New Roman" w:cs="Times New Roman"/>
          <w:noProof/>
          <w:sz w:val="24"/>
          <w:szCs w:val="24"/>
          <w:lang w:eastAsia="lt-LT"/>
        </w:rPr>
        <w:t>uteikti daugiau galimybių gyventojams stiprinti savo sveikatos raštingumą (dalyvauti seminaruose, konsultuotis su sveikatos priežiūr</w:t>
      </w:r>
      <w:r w:rsidR="00C85FF3" w:rsidRPr="001776A3">
        <w:rPr>
          <w:rFonts w:ascii="Times New Roman" w:eastAsia="Calibri" w:hAnsi="Times New Roman" w:cs="Times New Roman"/>
          <w:noProof/>
          <w:sz w:val="24"/>
          <w:szCs w:val="24"/>
          <w:lang w:eastAsia="lt-LT"/>
        </w:rPr>
        <w:t>os specialistais sveikatos stipr</w:t>
      </w:r>
      <w:r w:rsidRPr="001776A3">
        <w:rPr>
          <w:rFonts w:ascii="Times New Roman" w:eastAsia="Calibri" w:hAnsi="Times New Roman" w:cs="Times New Roman"/>
          <w:noProof/>
          <w:sz w:val="24"/>
          <w:szCs w:val="24"/>
          <w:lang w:eastAsia="lt-LT"/>
        </w:rPr>
        <w:t>inimo ir gerinimo klausimais).</w:t>
      </w:r>
    </w:p>
    <w:p w:rsidR="009C2BE6" w:rsidRPr="001776A3" w:rsidRDefault="009C2BE6" w:rsidP="001776A3">
      <w:pPr>
        <w:pStyle w:val="Sraopastraipa"/>
        <w:numPr>
          <w:ilvl w:val="0"/>
          <w:numId w:val="17"/>
        </w:numPr>
        <w:spacing w:after="0" w:line="240" w:lineRule="auto"/>
        <w:ind w:left="0" w:firstLine="567"/>
        <w:jc w:val="both"/>
        <w:rPr>
          <w:rFonts w:ascii="Times New Roman" w:eastAsia="Calibri" w:hAnsi="Times New Roman" w:cs="Times New Roman"/>
          <w:noProof/>
          <w:sz w:val="24"/>
          <w:szCs w:val="24"/>
          <w:u w:val="single"/>
          <w:lang w:eastAsia="lt-LT"/>
        </w:rPr>
      </w:pPr>
      <w:r w:rsidRPr="001776A3">
        <w:rPr>
          <w:rFonts w:ascii="Times New Roman" w:eastAsia="Calibri" w:hAnsi="Times New Roman" w:cs="Times New Roman"/>
          <w:noProof/>
          <w:sz w:val="24"/>
          <w:szCs w:val="24"/>
          <w:u w:val="single"/>
          <w:lang w:eastAsia="lt-LT"/>
        </w:rPr>
        <w:t>Siekiant didinti pasitikrinusiųjų gyventojų skaičių profilaktinėse programose:</w:t>
      </w:r>
    </w:p>
    <w:p w:rsidR="00651713" w:rsidRDefault="004B627B" w:rsidP="001776A3">
      <w:pPr>
        <w:pStyle w:val="Sraopastraipa"/>
        <w:numPr>
          <w:ilvl w:val="0"/>
          <w:numId w:val="20"/>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didinti valstybinių profil</w:t>
      </w:r>
      <w:r w:rsidR="00C85FF3">
        <w:rPr>
          <w:rFonts w:ascii="Times New Roman" w:eastAsia="Calibri" w:hAnsi="Times New Roman" w:cs="Times New Roman"/>
          <w:noProof/>
          <w:sz w:val="24"/>
          <w:szCs w:val="24"/>
          <w:lang w:eastAsia="lt-LT"/>
        </w:rPr>
        <w:t>a</w:t>
      </w:r>
      <w:r>
        <w:rPr>
          <w:rFonts w:ascii="Times New Roman" w:eastAsia="Calibri" w:hAnsi="Times New Roman" w:cs="Times New Roman"/>
          <w:noProof/>
          <w:sz w:val="24"/>
          <w:szCs w:val="24"/>
          <w:lang w:eastAsia="lt-LT"/>
        </w:rPr>
        <w:t>ktinių programų įgyvendinimo mastą;</w:t>
      </w:r>
    </w:p>
    <w:p w:rsidR="004B627B" w:rsidRDefault="004B627B" w:rsidP="001776A3">
      <w:pPr>
        <w:pStyle w:val="Sraopastraipa"/>
        <w:numPr>
          <w:ilvl w:val="0"/>
          <w:numId w:val="20"/>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ieškoti bendr</w:t>
      </w:r>
      <w:r w:rsidR="00C85FF3">
        <w:rPr>
          <w:rFonts w:ascii="Times New Roman" w:eastAsia="Calibri" w:hAnsi="Times New Roman" w:cs="Times New Roman"/>
          <w:noProof/>
          <w:sz w:val="24"/>
          <w:szCs w:val="24"/>
          <w:lang w:eastAsia="lt-LT"/>
        </w:rPr>
        <w:t>a</w:t>
      </w:r>
      <w:r>
        <w:rPr>
          <w:rFonts w:ascii="Times New Roman" w:eastAsia="Calibri" w:hAnsi="Times New Roman" w:cs="Times New Roman"/>
          <w:noProof/>
          <w:sz w:val="24"/>
          <w:szCs w:val="24"/>
          <w:lang w:eastAsia="lt-LT"/>
        </w:rPr>
        <w:t>darbiavimo būdų, kaip pasiekti aukštesnių valstybinių profil</w:t>
      </w:r>
      <w:r w:rsidR="00C85FF3">
        <w:rPr>
          <w:rFonts w:ascii="Times New Roman" w:eastAsia="Calibri" w:hAnsi="Times New Roman" w:cs="Times New Roman"/>
          <w:noProof/>
          <w:sz w:val="24"/>
          <w:szCs w:val="24"/>
          <w:lang w:eastAsia="lt-LT"/>
        </w:rPr>
        <w:t>a</w:t>
      </w:r>
      <w:r>
        <w:rPr>
          <w:rFonts w:ascii="Times New Roman" w:eastAsia="Calibri" w:hAnsi="Times New Roman" w:cs="Times New Roman"/>
          <w:noProof/>
          <w:sz w:val="24"/>
          <w:szCs w:val="24"/>
          <w:lang w:eastAsia="lt-LT"/>
        </w:rPr>
        <w:t>ktinių programų įgyvendinimo rodiklių;</w:t>
      </w:r>
    </w:p>
    <w:p w:rsidR="004B627B" w:rsidRDefault="004B627B" w:rsidP="001776A3">
      <w:pPr>
        <w:pStyle w:val="Sraopastraipa"/>
        <w:numPr>
          <w:ilvl w:val="0"/>
          <w:numId w:val="20"/>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raginti gyventojus reguliariai lankytis pas šeimos gydytoją ir profil</w:t>
      </w:r>
      <w:r w:rsidR="00C85FF3">
        <w:rPr>
          <w:rFonts w:ascii="Times New Roman" w:eastAsia="Calibri" w:hAnsi="Times New Roman" w:cs="Times New Roman"/>
          <w:noProof/>
          <w:sz w:val="24"/>
          <w:szCs w:val="24"/>
          <w:lang w:eastAsia="lt-LT"/>
        </w:rPr>
        <w:t>a</w:t>
      </w:r>
      <w:r>
        <w:rPr>
          <w:rFonts w:ascii="Times New Roman" w:eastAsia="Calibri" w:hAnsi="Times New Roman" w:cs="Times New Roman"/>
          <w:noProof/>
          <w:sz w:val="24"/>
          <w:szCs w:val="24"/>
          <w:lang w:eastAsia="lt-LT"/>
        </w:rPr>
        <w:t>katiškai tikrintis sveikatą.</w:t>
      </w:r>
    </w:p>
    <w:p w:rsidR="004B627B" w:rsidRPr="001776A3" w:rsidRDefault="000E4A29" w:rsidP="001776A3">
      <w:pPr>
        <w:pStyle w:val="Sraopastraipa"/>
        <w:numPr>
          <w:ilvl w:val="0"/>
          <w:numId w:val="21"/>
        </w:numPr>
        <w:spacing w:after="0" w:line="240" w:lineRule="auto"/>
        <w:ind w:left="0" w:firstLine="567"/>
        <w:jc w:val="both"/>
        <w:rPr>
          <w:rFonts w:ascii="Times New Roman" w:eastAsia="Calibri" w:hAnsi="Times New Roman" w:cs="Times New Roman"/>
          <w:noProof/>
          <w:sz w:val="24"/>
          <w:szCs w:val="24"/>
          <w:u w:val="single"/>
          <w:lang w:eastAsia="lt-LT"/>
        </w:rPr>
      </w:pPr>
      <w:r w:rsidRPr="001776A3">
        <w:rPr>
          <w:rFonts w:ascii="Times New Roman" w:eastAsia="Calibri" w:hAnsi="Times New Roman" w:cs="Times New Roman"/>
          <w:noProof/>
          <w:sz w:val="24"/>
          <w:szCs w:val="24"/>
          <w:u w:val="single"/>
          <w:lang w:eastAsia="lt-LT"/>
        </w:rPr>
        <w:t>Siekiant gerinti mokyklinio ir ikimokyklinio amžiaus vaikų sveikatą:</w:t>
      </w:r>
    </w:p>
    <w:p w:rsidR="000E4A29" w:rsidRDefault="00574AB5" w:rsidP="001776A3">
      <w:pPr>
        <w:pStyle w:val="Sraopastraipa"/>
        <w:numPr>
          <w:ilvl w:val="0"/>
          <w:numId w:val="23"/>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b</w:t>
      </w:r>
      <w:r w:rsidR="000E4A29">
        <w:rPr>
          <w:rFonts w:ascii="Times New Roman" w:eastAsia="Calibri" w:hAnsi="Times New Roman" w:cs="Times New Roman"/>
          <w:noProof/>
          <w:sz w:val="24"/>
          <w:szCs w:val="24"/>
          <w:lang w:eastAsia="lt-LT"/>
        </w:rPr>
        <w:t>endradarbiauti su ugdymo įstaigų administracijomis, sieki</w:t>
      </w:r>
      <w:r>
        <w:rPr>
          <w:rFonts w:ascii="Times New Roman" w:eastAsia="Calibri" w:hAnsi="Times New Roman" w:cs="Times New Roman"/>
          <w:noProof/>
          <w:sz w:val="24"/>
          <w:szCs w:val="24"/>
          <w:lang w:eastAsia="lt-LT"/>
        </w:rPr>
        <w:t>an</w:t>
      </w:r>
      <w:r w:rsidR="000E4A29">
        <w:rPr>
          <w:rFonts w:ascii="Times New Roman" w:eastAsia="Calibri" w:hAnsi="Times New Roman" w:cs="Times New Roman"/>
          <w:noProof/>
          <w:sz w:val="24"/>
          <w:szCs w:val="24"/>
          <w:lang w:eastAsia="lt-LT"/>
        </w:rPr>
        <w:t xml:space="preserve">t didinti profilaktiškai </w:t>
      </w:r>
      <w:r>
        <w:rPr>
          <w:rFonts w:ascii="Times New Roman" w:eastAsia="Calibri" w:hAnsi="Times New Roman" w:cs="Times New Roman"/>
          <w:noProof/>
          <w:sz w:val="24"/>
          <w:szCs w:val="24"/>
          <w:lang w:eastAsia="lt-LT"/>
        </w:rPr>
        <w:t>sveikatą</w:t>
      </w:r>
      <w:r w:rsidR="000E4A29">
        <w:rPr>
          <w:rFonts w:ascii="Times New Roman" w:eastAsia="Calibri" w:hAnsi="Times New Roman" w:cs="Times New Roman"/>
          <w:noProof/>
          <w:sz w:val="24"/>
          <w:szCs w:val="24"/>
          <w:lang w:eastAsia="lt-LT"/>
        </w:rPr>
        <w:t xml:space="preserve"> p</w:t>
      </w:r>
      <w:r>
        <w:rPr>
          <w:rFonts w:ascii="Times New Roman" w:eastAsia="Calibri" w:hAnsi="Times New Roman" w:cs="Times New Roman"/>
          <w:noProof/>
          <w:sz w:val="24"/>
          <w:szCs w:val="24"/>
          <w:lang w:eastAsia="lt-LT"/>
        </w:rPr>
        <w:t>a</w:t>
      </w:r>
      <w:r w:rsidR="000E4A29">
        <w:rPr>
          <w:rFonts w:ascii="Times New Roman" w:eastAsia="Calibri" w:hAnsi="Times New Roman" w:cs="Times New Roman"/>
          <w:noProof/>
          <w:sz w:val="24"/>
          <w:szCs w:val="24"/>
          <w:lang w:eastAsia="lt-LT"/>
        </w:rPr>
        <w:t xml:space="preserve">sitikrinusių vaikų  </w:t>
      </w:r>
      <w:r>
        <w:rPr>
          <w:rFonts w:ascii="Times New Roman" w:eastAsia="Calibri" w:hAnsi="Times New Roman" w:cs="Times New Roman"/>
          <w:noProof/>
          <w:sz w:val="24"/>
          <w:szCs w:val="24"/>
          <w:lang w:eastAsia="lt-LT"/>
        </w:rPr>
        <w:t>skaičių;</w:t>
      </w:r>
    </w:p>
    <w:p w:rsidR="00574AB5" w:rsidRDefault="00574AB5" w:rsidP="001776A3">
      <w:pPr>
        <w:pStyle w:val="Sraopastraipa"/>
        <w:numPr>
          <w:ilvl w:val="0"/>
          <w:numId w:val="23"/>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nuo 2010 m. kasmet sistemingai rinkti, saugoti, analizuoti ir vertinti mokinių profilaktinių sveikatos patikrinimų duomenis bei stebėti šių duomenų kitimo tendencijas;</w:t>
      </w:r>
    </w:p>
    <w:p w:rsidR="00574AB5" w:rsidRDefault="00574AB5" w:rsidP="001776A3">
      <w:pPr>
        <w:pStyle w:val="Sraopastraipa"/>
        <w:numPr>
          <w:ilvl w:val="0"/>
          <w:numId w:val="23"/>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apibendrinti vaikų sveikatos pažymėjimų duomenis ir juos nuolat viešinti;</w:t>
      </w:r>
    </w:p>
    <w:p w:rsidR="00574AB5" w:rsidRDefault="00574AB5" w:rsidP="001776A3">
      <w:pPr>
        <w:pStyle w:val="Sraopastraipa"/>
        <w:numPr>
          <w:ilvl w:val="0"/>
          <w:numId w:val="23"/>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atsižvelgiant į mokinių sveikatos patikrinimų rezultatus, numatyti priemones ir vykdyti vaikų regos, skeleto- raumenų sistemos, nervų sistemos sutrikimų, dantų ligų prevenciją;</w:t>
      </w:r>
    </w:p>
    <w:p w:rsidR="00574AB5" w:rsidRDefault="00574AB5" w:rsidP="001776A3">
      <w:pPr>
        <w:pStyle w:val="Sraopastraipa"/>
        <w:numPr>
          <w:ilvl w:val="0"/>
          <w:numId w:val="23"/>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vykdyti lėtinių neinfekcinių ligų profilaktiką;</w:t>
      </w:r>
    </w:p>
    <w:p w:rsidR="00574AB5" w:rsidRDefault="00574AB5" w:rsidP="001776A3">
      <w:pPr>
        <w:pStyle w:val="Sraopastraipa"/>
        <w:numPr>
          <w:ilvl w:val="0"/>
          <w:numId w:val="23"/>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siekiant mažinti mokinių su padidėjusiu ar sumažėjusiu kūno svoriu skaičių, nuolat vykdyti mokinių mitybos įpročių tyrimus, skatinti sveiką mitybą bei fizinį aktyvumą;</w:t>
      </w:r>
    </w:p>
    <w:p w:rsidR="00574AB5" w:rsidRDefault="00574AB5" w:rsidP="001776A3">
      <w:pPr>
        <w:pStyle w:val="Sraopastraipa"/>
        <w:numPr>
          <w:ilvl w:val="0"/>
          <w:numId w:val="23"/>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norint išsiaiškinti vaikų sergamumo priežastis bei numatyti konkrečius mokinių sveikatos prevencijos metodus bei priemones, atlikti gilumius moksleivių sveikatos tyrimus;</w:t>
      </w:r>
    </w:p>
    <w:p w:rsidR="00574AB5" w:rsidRDefault="00574AB5" w:rsidP="001776A3">
      <w:pPr>
        <w:pStyle w:val="Sraopastraipa"/>
        <w:numPr>
          <w:ilvl w:val="0"/>
          <w:numId w:val="23"/>
        </w:numPr>
        <w:spacing w:after="0" w:line="240" w:lineRule="auto"/>
        <w:ind w:left="0" w:firstLine="567"/>
        <w:jc w:val="both"/>
        <w:rPr>
          <w:rFonts w:ascii="Times New Roman" w:eastAsia="Calibri" w:hAnsi="Times New Roman" w:cs="Times New Roman"/>
          <w:noProof/>
          <w:sz w:val="24"/>
          <w:szCs w:val="24"/>
          <w:lang w:eastAsia="lt-LT"/>
        </w:rPr>
      </w:pPr>
      <w:r>
        <w:rPr>
          <w:rFonts w:ascii="Times New Roman" w:eastAsia="Calibri" w:hAnsi="Times New Roman" w:cs="Times New Roman"/>
          <w:noProof/>
          <w:sz w:val="24"/>
          <w:szCs w:val="24"/>
          <w:lang w:eastAsia="lt-LT"/>
        </w:rPr>
        <w:t>į moksleivių sveikatos prevencijos vykdymą įtraukti mokyklų administracijas, pedagogus, tėvus (globėjus) ir kitus suinteresuotus asmenis.</w:t>
      </w:r>
    </w:p>
    <w:p w:rsidR="00A51CDD" w:rsidRPr="00A51CDD" w:rsidRDefault="00A51CDD" w:rsidP="00A51CDD">
      <w:pPr>
        <w:spacing w:after="0" w:line="360" w:lineRule="auto"/>
        <w:ind w:left="567"/>
        <w:jc w:val="both"/>
        <w:rPr>
          <w:rFonts w:ascii="Times New Roman" w:eastAsia="Calibri" w:hAnsi="Times New Roman" w:cs="Times New Roman"/>
          <w:noProof/>
          <w:sz w:val="24"/>
          <w:szCs w:val="24"/>
          <w:lang w:eastAsia="lt-LT"/>
        </w:rPr>
      </w:pPr>
    </w:p>
    <w:p w:rsidR="00FF3A00" w:rsidRPr="00FF3A00" w:rsidRDefault="00FF3A00" w:rsidP="00FF3A00">
      <w:pPr>
        <w:spacing w:after="0"/>
        <w:ind w:firstLine="567"/>
        <w:contextualSpacing/>
        <w:jc w:val="both"/>
        <w:rPr>
          <w:rFonts w:ascii="Times New Roman" w:eastAsia="Calibri" w:hAnsi="Times New Roman" w:cs="Times New Roman"/>
          <w:b/>
          <w:sz w:val="24"/>
          <w:szCs w:val="24"/>
        </w:rPr>
      </w:pPr>
    </w:p>
    <w:p w:rsidR="00EF4947" w:rsidRPr="00EF4947" w:rsidRDefault="00EF4947" w:rsidP="00EF4947">
      <w:pPr>
        <w:pStyle w:val="Sraopastraipa"/>
        <w:spacing w:after="0"/>
        <w:ind w:left="0" w:firstLine="567"/>
        <w:jc w:val="both"/>
        <w:rPr>
          <w:rFonts w:ascii="Times New Roman" w:hAnsi="Times New Roman" w:cs="Times New Roman"/>
          <w:b/>
          <w:sz w:val="24"/>
          <w:szCs w:val="24"/>
        </w:rPr>
      </w:pPr>
    </w:p>
    <w:p w:rsidR="00422BDC" w:rsidRDefault="00422BDC" w:rsidP="00F42D43">
      <w:pPr>
        <w:pStyle w:val="Sraopastraipa"/>
        <w:spacing w:after="0"/>
        <w:ind w:left="0" w:firstLine="567"/>
        <w:jc w:val="center"/>
        <w:rPr>
          <w:rFonts w:ascii="Times New Roman" w:hAnsi="Times New Roman" w:cs="Times New Roman"/>
          <w:b/>
          <w:sz w:val="24"/>
          <w:szCs w:val="24"/>
        </w:rPr>
      </w:pPr>
    </w:p>
    <w:sectPr w:rsidR="00422BDC" w:rsidSect="007E197E">
      <w:headerReference w:type="default" r:id="rId28"/>
      <w:pgSz w:w="11906" w:h="16838" w:code="9"/>
      <w:pgMar w:top="127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A3" w:rsidRDefault="001776A3" w:rsidP="0060445F">
      <w:pPr>
        <w:spacing w:after="0" w:line="240" w:lineRule="auto"/>
      </w:pPr>
      <w:r>
        <w:separator/>
      </w:r>
    </w:p>
  </w:endnote>
  <w:endnote w:type="continuationSeparator" w:id="0">
    <w:p w:rsidR="001776A3" w:rsidRDefault="001776A3" w:rsidP="0060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71884"/>
      <w:docPartObj>
        <w:docPartGallery w:val="Page Numbers (Bottom of Page)"/>
        <w:docPartUnique/>
      </w:docPartObj>
    </w:sdtPr>
    <w:sdtContent>
      <w:p w:rsidR="001776A3" w:rsidRDefault="001776A3">
        <w:pPr>
          <w:pStyle w:val="Porat"/>
          <w:jc w:val="right"/>
        </w:pPr>
        <w:r>
          <w:fldChar w:fldCharType="begin"/>
        </w:r>
        <w:r>
          <w:instrText>PAGE   \* MERGEFORMAT</w:instrText>
        </w:r>
        <w:r>
          <w:fldChar w:fldCharType="separate"/>
        </w:r>
        <w:r w:rsidR="0068422D">
          <w:rPr>
            <w:noProof/>
          </w:rPr>
          <w:t>5</w:t>
        </w:r>
        <w:r>
          <w:fldChar w:fldCharType="end"/>
        </w:r>
      </w:p>
    </w:sdtContent>
  </w:sdt>
  <w:p w:rsidR="001776A3" w:rsidRDefault="001776A3" w:rsidP="00BB0FE2">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A3" w:rsidRDefault="001776A3">
    <w:pPr>
      <w:pStyle w:val="Porat"/>
      <w:jc w:val="right"/>
    </w:pPr>
  </w:p>
  <w:p w:rsidR="001776A3" w:rsidRDefault="001776A3" w:rsidP="00BB0FE2">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07903"/>
      <w:docPartObj>
        <w:docPartGallery w:val="Page Numbers (Bottom of Page)"/>
        <w:docPartUnique/>
      </w:docPartObj>
    </w:sdtPr>
    <w:sdtEndPr>
      <w:rPr>
        <w:rFonts w:ascii="Times New Roman" w:hAnsi="Times New Roman" w:cs="Times New Roman"/>
      </w:rPr>
    </w:sdtEndPr>
    <w:sdtContent>
      <w:p w:rsidR="001776A3" w:rsidRPr="009143C6" w:rsidRDefault="001776A3">
        <w:pPr>
          <w:pStyle w:val="Porat"/>
          <w:jc w:val="right"/>
          <w:rPr>
            <w:rFonts w:ascii="Times New Roman" w:hAnsi="Times New Roman" w:cs="Times New Roman"/>
          </w:rPr>
        </w:pPr>
        <w:r w:rsidRPr="009143C6">
          <w:rPr>
            <w:rFonts w:ascii="Times New Roman" w:hAnsi="Times New Roman" w:cs="Times New Roman"/>
          </w:rPr>
          <w:fldChar w:fldCharType="begin"/>
        </w:r>
        <w:r w:rsidRPr="009143C6">
          <w:rPr>
            <w:rFonts w:ascii="Times New Roman" w:hAnsi="Times New Roman" w:cs="Times New Roman"/>
          </w:rPr>
          <w:instrText>PAGE   \* MERGEFORMAT</w:instrText>
        </w:r>
        <w:r w:rsidRPr="009143C6">
          <w:rPr>
            <w:rFonts w:ascii="Times New Roman" w:hAnsi="Times New Roman" w:cs="Times New Roman"/>
          </w:rPr>
          <w:fldChar w:fldCharType="separate"/>
        </w:r>
        <w:r w:rsidR="0054601A">
          <w:rPr>
            <w:rFonts w:ascii="Times New Roman" w:hAnsi="Times New Roman" w:cs="Times New Roman"/>
            <w:noProof/>
          </w:rPr>
          <w:t>19</w:t>
        </w:r>
        <w:r w:rsidRPr="009143C6">
          <w:rPr>
            <w:rFonts w:ascii="Times New Roman" w:hAnsi="Times New Roman" w:cs="Times New Roman"/>
          </w:rPr>
          <w:fldChar w:fldCharType="end"/>
        </w:r>
      </w:p>
    </w:sdtContent>
  </w:sdt>
  <w:p w:rsidR="001776A3" w:rsidRDefault="001776A3" w:rsidP="00BB0FE2">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A3" w:rsidRDefault="001776A3" w:rsidP="0060445F">
      <w:pPr>
        <w:spacing w:after="0" w:line="240" w:lineRule="auto"/>
      </w:pPr>
      <w:r>
        <w:separator/>
      </w:r>
    </w:p>
  </w:footnote>
  <w:footnote w:type="continuationSeparator" w:id="0">
    <w:p w:rsidR="001776A3" w:rsidRDefault="001776A3" w:rsidP="00604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A3" w:rsidRDefault="001776A3" w:rsidP="00486FDD">
    <w:pPr>
      <w:pStyle w:val="Antrats"/>
      <w:jc w:val="center"/>
    </w:pPr>
    <w:r>
      <w:rPr>
        <w:noProof/>
        <w:lang w:eastAsia="lt-LT"/>
      </w:rPr>
      <w:drawing>
        <wp:inline distT="0" distB="0" distL="0" distR="0" wp14:anchorId="73A9BD4D" wp14:editId="51D02FE1">
          <wp:extent cx="3650246" cy="748100"/>
          <wp:effectExtent l="0" t="0" r="762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logo skaidr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1658" cy="75043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A3" w:rsidRDefault="001776A3" w:rsidP="00410CB8">
    <w:pPr>
      <w:pStyle w:val="Antrats"/>
      <w:jc w:val="center"/>
    </w:pPr>
    <w:r>
      <w:rPr>
        <w:noProof/>
        <w:lang w:eastAsia="lt-LT"/>
      </w:rPr>
      <w:drawing>
        <wp:inline distT="0" distB="0" distL="0" distR="0" wp14:anchorId="3AC99CC9" wp14:editId="6390A0E3">
          <wp:extent cx="3488176" cy="755504"/>
          <wp:effectExtent l="0" t="0" r="0" b="698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logo skaidr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2832" cy="76950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A3" w:rsidRDefault="001776A3" w:rsidP="00486FDD">
    <w:pPr>
      <w:pStyle w:val="Antrats"/>
      <w:jc w:val="center"/>
    </w:pPr>
    <w:r>
      <w:rPr>
        <w:noProof/>
        <w:lang w:eastAsia="lt-LT"/>
      </w:rPr>
      <w:drawing>
        <wp:inline distT="0" distB="0" distL="0" distR="0" wp14:anchorId="001F6134" wp14:editId="4EE0C1F6">
          <wp:extent cx="3650246" cy="748100"/>
          <wp:effectExtent l="0" t="0" r="762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logo skaidr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1658" cy="750439"/>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A3" w:rsidRDefault="001776A3" w:rsidP="00410CB8">
    <w:pPr>
      <w:pStyle w:val="Antrats"/>
      <w:jc w:val="center"/>
    </w:pPr>
    <w:r>
      <w:rPr>
        <w:noProof/>
        <w:lang w:eastAsia="lt-LT"/>
      </w:rPr>
      <w:drawing>
        <wp:inline distT="0" distB="0" distL="0" distR="0" wp14:anchorId="1F7DCB72" wp14:editId="37F28472">
          <wp:extent cx="3488176" cy="755504"/>
          <wp:effectExtent l="0" t="0" r="0" b="698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logo skaidr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2832" cy="769508"/>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A3" w:rsidRDefault="001776A3" w:rsidP="00486FDD">
    <w:pPr>
      <w:pStyle w:val="Antrats"/>
      <w:jc w:val="center"/>
    </w:pPr>
    <w:r>
      <w:rPr>
        <w:noProof/>
        <w:lang w:eastAsia="lt-LT"/>
      </w:rPr>
      <w:drawing>
        <wp:inline distT="0" distB="0" distL="0" distR="0" wp14:anchorId="3A856AD5" wp14:editId="2B605156">
          <wp:extent cx="3650246" cy="748100"/>
          <wp:effectExtent l="0" t="0" r="762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logo skaidr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1658" cy="7504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3E739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50137A0"/>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B81AD9"/>
    <w:multiLevelType w:val="hybridMultilevel"/>
    <w:tmpl w:val="49AE1546"/>
    <w:lvl w:ilvl="0" w:tplc="3992298E">
      <w:numFmt w:val="bullet"/>
      <w:lvlText w:val="-"/>
      <w:lvlJc w:val="left"/>
      <w:pPr>
        <w:ind w:left="1647" w:hanging="360"/>
      </w:pPr>
      <w:rPr>
        <w:rFonts w:ascii="Times New Roman" w:eastAsiaTheme="minorHAnsi" w:hAnsi="Times New Roman" w:cs="Times New Roman"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3">
    <w:nsid w:val="16DF0E76"/>
    <w:multiLevelType w:val="hybridMultilevel"/>
    <w:tmpl w:val="995A76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19551957"/>
    <w:multiLevelType w:val="hybridMultilevel"/>
    <w:tmpl w:val="C7CA4BFC"/>
    <w:lvl w:ilvl="0" w:tplc="B7969424">
      <w:numFmt w:val="bullet"/>
      <w:lvlText w:val=""/>
      <w:lvlJc w:val="left"/>
      <w:pPr>
        <w:ind w:left="927" w:hanging="360"/>
      </w:pPr>
      <w:rPr>
        <w:rFonts w:ascii="Wingdings" w:eastAsiaTheme="minorHAnsi" w:hAnsi="Wingdings"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1E9B4A58"/>
    <w:multiLevelType w:val="hybridMultilevel"/>
    <w:tmpl w:val="A398841C"/>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nsid w:val="20BD2015"/>
    <w:multiLevelType w:val="hybridMultilevel"/>
    <w:tmpl w:val="EC0635A4"/>
    <w:lvl w:ilvl="0" w:tplc="3992298E">
      <w:numFmt w:val="bullet"/>
      <w:lvlText w:val="-"/>
      <w:lvlJc w:val="left"/>
      <w:pPr>
        <w:ind w:left="1350" w:hanging="360"/>
      </w:pPr>
      <w:rPr>
        <w:rFonts w:ascii="Times New Roman" w:eastAsiaTheme="minorHAnsi" w:hAnsi="Times New Roman" w:cs="Times New Roman"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7">
    <w:nsid w:val="21FA1EFA"/>
    <w:multiLevelType w:val="hybridMultilevel"/>
    <w:tmpl w:val="0E10ED86"/>
    <w:lvl w:ilvl="0" w:tplc="3992298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854536F"/>
    <w:multiLevelType w:val="multilevel"/>
    <w:tmpl w:val="21DC4CF4"/>
    <w:lvl w:ilvl="0">
      <w:start w:val="1"/>
      <w:numFmt w:val="bullet"/>
      <w:lvlText w:val=""/>
      <w:lvlJc w:val="left"/>
      <w:pPr>
        <w:ind w:left="19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AEE32A0"/>
    <w:multiLevelType w:val="multilevel"/>
    <w:tmpl w:val="E354CF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B824D0E"/>
    <w:multiLevelType w:val="hybridMultilevel"/>
    <w:tmpl w:val="98242DCE"/>
    <w:lvl w:ilvl="0" w:tplc="3992298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DE31131"/>
    <w:multiLevelType w:val="multilevel"/>
    <w:tmpl w:val="26A87EE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nsid w:val="3BDC327C"/>
    <w:multiLevelType w:val="hybridMultilevel"/>
    <w:tmpl w:val="F66E8BB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48936F54"/>
    <w:multiLevelType w:val="hybridMultilevel"/>
    <w:tmpl w:val="5D480BE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D405DF3"/>
    <w:multiLevelType w:val="multilevel"/>
    <w:tmpl w:val="152C7A52"/>
    <w:lvl w:ilvl="0">
      <w:numFmt w:val="bullet"/>
      <w:lvlText w:val="-"/>
      <w:lvlJc w:val="left"/>
      <w:pPr>
        <w:ind w:left="360" w:hanging="360"/>
      </w:pPr>
      <w:rPr>
        <w:rFonts w:ascii="Times New Roman" w:eastAsiaTheme="minorHAns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D741B3F"/>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E4956A4"/>
    <w:multiLevelType w:val="hybridMultilevel"/>
    <w:tmpl w:val="B0785984"/>
    <w:lvl w:ilvl="0" w:tplc="3992298E">
      <w:numFmt w:val="bullet"/>
      <w:lvlText w:val="-"/>
      <w:lvlJc w:val="left"/>
      <w:pPr>
        <w:ind w:left="3600" w:hanging="360"/>
      </w:pPr>
      <w:rPr>
        <w:rFonts w:ascii="Times New Roman" w:eastAsiaTheme="minorHAnsi" w:hAnsi="Times New Roman" w:cs="Times New Roman" w:hint="default"/>
      </w:rPr>
    </w:lvl>
    <w:lvl w:ilvl="1" w:tplc="04270003" w:tentative="1">
      <w:start w:val="1"/>
      <w:numFmt w:val="bullet"/>
      <w:lvlText w:val="o"/>
      <w:lvlJc w:val="left"/>
      <w:pPr>
        <w:ind w:left="4320" w:hanging="360"/>
      </w:pPr>
      <w:rPr>
        <w:rFonts w:ascii="Courier New" w:hAnsi="Courier New" w:cs="Courier New" w:hint="default"/>
      </w:rPr>
    </w:lvl>
    <w:lvl w:ilvl="2" w:tplc="04270005" w:tentative="1">
      <w:start w:val="1"/>
      <w:numFmt w:val="bullet"/>
      <w:lvlText w:val=""/>
      <w:lvlJc w:val="left"/>
      <w:pPr>
        <w:ind w:left="5040" w:hanging="360"/>
      </w:pPr>
      <w:rPr>
        <w:rFonts w:ascii="Wingdings" w:hAnsi="Wingdings" w:hint="default"/>
      </w:rPr>
    </w:lvl>
    <w:lvl w:ilvl="3" w:tplc="04270001" w:tentative="1">
      <w:start w:val="1"/>
      <w:numFmt w:val="bullet"/>
      <w:lvlText w:val=""/>
      <w:lvlJc w:val="left"/>
      <w:pPr>
        <w:ind w:left="5760" w:hanging="360"/>
      </w:pPr>
      <w:rPr>
        <w:rFonts w:ascii="Symbol" w:hAnsi="Symbol" w:hint="default"/>
      </w:rPr>
    </w:lvl>
    <w:lvl w:ilvl="4" w:tplc="04270003" w:tentative="1">
      <w:start w:val="1"/>
      <w:numFmt w:val="bullet"/>
      <w:lvlText w:val="o"/>
      <w:lvlJc w:val="left"/>
      <w:pPr>
        <w:ind w:left="6480" w:hanging="360"/>
      </w:pPr>
      <w:rPr>
        <w:rFonts w:ascii="Courier New" w:hAnsi="Courier New" w:cs="Courier New" w:hint="default"/>
      </w:rPr>
    </w:lvl>
    <w:lvl w:ilvl="5" w:tplc="04270005" w:tentative="1">
      <w:start w:val="1"/>
      <w:numFmt w:val="bullet"/>
      <w:lvlText w:val=""/>
      <w:lvlJc w:val="left"/>
      <w:pPr>
        <w:ind w:left="7200" w:hanging="360"/>
      </w:pPr>
      <w:rPr>
        <w:rFonts w:ascii="Wingdings" w:hAnsi="Wingdings" w:hint="default"/>
      </w:rPr>
    </w:lvl>
    <w:lvl w:ilvl="6" w:tplc="04270001" w:tentative="1">
      <w:start w:val="1"/>
      <w:numFmt w:val="bullet"/>
      <w:lvlText w:val=""/>
      <w:lvlJc w:val="left"/>
      <w:pPr>
        <w:ind w:left="7920" w:hanging="360"/>
      </w:pPr>
      <w:rPr>
        <w:rFonts w:ascii="Symbol" w:hAnsi="Symbol" w:hint="default"/>
      </w:rPr>
    </w:lvl>
    <w:lvl w:ilvl="7" w:tplc="04270003" w:tentative="1">
      <w:start w:val="1"/>
      <w:numFmt w:val="bullet"/>
      <w:lvlText w:val="o"/>
      <w:lvlJc w:val="left"/>
      <w:pPr>
        <w:ind w:left="8640" w:hanging="360"/>
      </w:pPr>
      <w:rPr>
        <w:rFonts w:ascii="Courier New" w:hAnsi="Courier New" w:cs="Courier New" w:hint="default"/>
      </w:rPr>
    </w:lvl>
    <w:lvl w:ilvl="8" w:tplc="04270005" w:tentative="1">
      <w:start w:val="1"/>
      <w:numFmt w:val="bullet"/>
      <w:lvlText w:val=""/>
      <w:lvlJc w:val="left"/>
      <w:pPr>
        <w:ind w:left="9360" w:hanging="360"/>
      </w:pPr>
      <w:rPr>
        <w:rFonts w:ascii="Wingdings" w:hAnsi="Wingdings" w:hint="default"/>
      </w:rPr>
    </w:lvl>
  </w:abstractNum>
  <w:abstractNum w:abstractNumId="17">
    <w:nsid w:val="661C121D"/>
    <w:multiLevelType w:val="hybridMultilevel"/>
    <w:tmpl w:val="16AE8112"/>
    <w:lvl w:ilvl="0" w:tplc="870C6D28">
      <w:numFmt w:val="bullet"/>
      <w:lvlText w:val=""/>
      <w:lvlJc w:val="left"/>
      <w:pPr>
        <w:ind w:left="927" w:hanging="360"/>
      </w:pPr>
      <w:rPr>
        <w:rFonts w:ascii="Wingdings" w:eastAsiaTheme="minorHAnsi" w:hAnsi="Wingdings"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8">
    <w:nsid w:val="663971ED"/>
    <w:multiLevelType w:val="multilevel"/>
    <w:tmpl w:val="DFD6D8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DA4067D"/>
    <w:multiLevelType w:val="multilevel"/>
    <w:tmpl w:val="1A02FF52"/>
    <w:lvl w:ilvl="0">
      <w:numFmt w:val="bullet"/>
      <w:lvlText w:val="-"/>
      <w:lvlJc w:val="left"/>
      <w:pPr>
        <w:ind w:left="360" w:hanging="360"/>
      </w:pPr>
      <w:rPr>
        <w:rFonts w:ascii="Times New Roman" w:eastAsiaTheme="minorHAns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DD731E8"/>
    <w:multiLevelType w:val="hybridMultilevel"/>
    <w:tmpl w:val="9B26833E"/>
    <w:lvl w:ilvl="0" w:tplc="3992298E">
      <w:numFmt w:val="bullet"/>
      <w:lvlText w:val="-"/>
      <w:lvlJc w:val="left"/>
      <w:pPr>
        <w:ind w:left="3600" w:hanging="360"/>
      </w:pPr>
      <w:rPr>
        <w:rFonts w:ascii="Times New Roman" w:eastAsiaTheme="minorHAnsi" w:hAnsi="Times New Roman" w:cs="Times New Roman" w:hint="default"/>
      </w:rPr>
    </w:lvl>
    <w:lvl w:ilvl="1" w:tplc="04270003" w:tentative="1">
      <w:start w:val="1"/>
      <w:numFmt w:val="bullet"/>
      <w:lvlText w:val="o"/>
      <w:lvlJc w:val="left"/>
      <w:pPr>
        <w:ind w:left="4320" w:hanging="360"/>
      </w:pPr>
      <w:rPr>
        <w:rFonts w:ascii="Courier New" w:hAnsi="Courier New" w:cs="Courier New" w:hint="default"/>
      </w:rPr>
    </w:lvl>
    <w:lvl w:ilvl="2" w:tplc="04270005" w:tentative="1">
      <w:start w:val="1"/>
      <w:numFmt w:val="bullet"/>
      <w:lvlText w:val=""/>
      <w:lvlJc w:val="left"/>
      <w:pPr>
        <w:ind w:left="5040" w:hanging="360"/>
      </w:pPr>
      <w:rPr>
        <w:rFonts w:ascii="Wingdings" w:hAnsi="Wingdings" w:hint="default"/>
      </w:rPr>
    </w:lvl>
    <w:lvl w:ilvl="3" w:tplc="04270001" w:tentative="1">
      <w:start w:val="1"/>
      <w:numFmt w:val="bullet"/>
      <w:lvlText w:val=""/>
      <w:lvlJc w:val="left"/>
      <w:pPr>
        <w:ind w:left="5760" w:hanging="360"/>
      </w:pPr>
      <w:rPr>
        <w:rFonts w:ascii="Symbol" w:hAnsi="Symbol" w:hint="default"/>
      </w:rPr>
    </w:lvl>
    <w:lvl w:ilvl="4" w:tplc="04270003" w:tentative="1">
      <w:start w:val="1"/>
      <w:numFmt w:val="bullet"/>
      <w:lvlText w:val="o"/>
      <w:lvlJc w:val="left"/>
      <w:pPr>
        <w:ind w:left="6480" w:hanging="360"/>
      </w:pPr>
      <w:rPr>
        <w:rFonts w:ascii="Courier New" w:hAnsi="Courier New" w:cs="Courier New" w:hint="default"/>
      </w:rPr>
    </w:lvl>
    <w:lvl w:ilvl="5" w:tplc="04270005" w:tentative="1">
      <w:start w:val="1"/>
      <w:numFmt w:val="bullet"/>
      <w:lvlText w:val=""/>
      <w:lvlJc w:val="left"/>
      <w:pPr>
        <w:ind w:left="7200" w:hanging="360"/>
      </w:pPr>
      <w:rPr>
        <w:rFonts w:ascii="Wingdings" w:hAnsi="Wingdings" w:hint="default"/>
      </w:rPr>
    </w:lvl>
    <w:lvl w:ilvl="6" w:tplc="04270001" w:tentative="1">
      <w:start w:val="1"/>
      <w:numFmt w:val="bullet"/>
      <w:lvlText w:val=""/>
      <w:lvlJc w:val="left"/>
      <w:pPr>
        <w:ind w:left="7920" w:hanging="360"/>
      </w:pPr>
      <w:rPr>
        <w:rFonts w:ascii="Symbol" w:hAnsi="Symbol" w:hint="default"/>
      </w:rPr>
    </w:lvl>
    <w:lvl w:ilvl="7" w:tplc="04270003" w:tentative="1">
      <w:start w:val="1"/>
      <w:numFmt w:val="bullet"/>
      <w:lvlText w:val="o"/>
      <w:lvlJc w:val="left"/>
      <w:pPr>
        <w:ind w:left="8640" w:hanging="360"/>
      </w:pPr>
      <w:rPr>
        <w:rFonts w:ascii="Courier New" w:hAnsi="Courier New" w:cs="Courier New" w:hint="default"/>
      </w:rPr>
    </w:lvl>
    <w:lvl w:ilvl="8" w:tplc="04270005" w:tentative="1">
      <w:start w:val="1"/>
      <w:numFmt w:val="bullet"/>
      <w:lvlText w:val=""/>
      <w:lvlJc w:val="left"/>
      <w:pPr>
        <w:ind w:left="9360" w:hanging="360"/>
      </w:pPr>
      <w:rPr>
        <w:rFonts w:ascii="Wingdings" w:hAnsi="Wingdings" w:hint="default"/>
      </w:rPr>
    </w:lvl>
  </w:abstractNum>
  <w:abstractNum w:abstractNumId="21">
    <w:nsid w:val="6E1613C8"/>
    <w:multiLevelType w:val="hybridMultilevel"/>
    <w:tmpl w:val="2904E10A"/>
    <w:lvl w:ilvl="0" w:tplc="3992298E">
      <w:numFmt w:val="bullet"/>
      <w:lvlText w:val="-"/>
      <w:lvlJc w:val="left"/>
      <w:pPr>
        <w:ind w:left="1287" w:hanging="360"/>
      </w:pPr>
      <w:rPr>
        <w:rFonts w:ascii="Times New Roman" w:eastAsiaTheme="minorHAnsi"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nsid w:val="6F846F11"/>
    <w:multiLevelType w:val="hybridMultilevel"/>
    <w:tmpl w:val="4B544A76"/>
    <w:lvl w:ilvl="0" w:tplc="1DB2B6E2">
      <w:numFmt w:val="bullet"/>
      <w:lvlText w:val="-"/>
      <w:lvlJc w:val="left"/>
      <w:pPr>
        <w:ind w:left="1350" w:hanging="360"/>
      </w:pPr>
      <w:rPr>
        <w:rFonts w:ascii="Times New Roman" w:eastAsia="Times New Roman" w:hAnsi="Times New Roman" w:cs="Times New Roman"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3">
    <w:nsid w:val="7F5E088D"/>
    <w:multiLevelType w:val="hybridMultilevel"/>
    <w:tmpl w:val="62F83228"/>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10"/>
  </w:num>
  <w:num w:numId="4">
    <w:abstractNumId w:val="0"/>
  </w:num>
  <w:num w:numId="5">
    <w:abstractNumId w:val="9"/>
  </w:num>
  <w:num w:numId="6">
    <w:abstractNumId w:val="16"/>
  </w:num>
  <w:num w:numId="7">
    <w:abstractNumId w:val="20"/>
  </w:num>
  <w:num w:numId="8">
    <w:abstractNumId w:val="5"/>
  </w:num>
  <w:num w:numId="9">
    <w:abstractNumId w:val="4"/>
  </w:num>
  <w:num w:numId="10">
    <w:abstractNumId w:val="17"/>
  </w:num>
  <w:num w:numId="11">
    <w:abstractNumId w:val="13"/>
  </w:num>
  <w:num w:numId="12">
    <w:abstractNumId w:val="23"/>
  </w:num>
  <w:num w:numId="13">
    <w:abstractNumId w:val="21"/>
  </w:num>
  <w:num w:numId="14">
    <w:abstractNumId w:val="2"/>
  </w:num>
  <w:num w:numId="15">
    <w:abstractNumId w:val="22"/>
  </w:num>
  <w:num w:numId="16">
    <w:abstractNumId w:val="12"/>
  </w:num>
  <w:num w:numId="17">
    <w:abstractNumId w:val="3"/>
  </w:num>
  <w:num w:numId="18">
    <w:abstractNumId w:val="15"/>
  </w:num>
  <w:num w:numId="19">
    <w:abstractNumId w:val="18"/>
  </w:num>
  <w:num w:numId="20">
    <w:abstractNumId w:val="19"/>
  </w:num>
  <w:num w:numId="21">
    <w:abstractNumId w:val="8"/>
  </w:num>
  <w:num w:numId="22">
    <w:abstractNumId w:val="1"/>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59"/>
    <w:rsid w:val="00021D61"/>
    <w:rsid w:val="0002401C"/>
    <w:rsid w:val="00057444"/>
    <w:rsid w:val="00062A23"/>
    <w:rsid w:val="0006312D"/>
    <w:rsid w:val="00084F65"/>
    <w:rsid w:val="000B182A"/>
    <w:rsid w:val="000C1D08"/>
    <w:rsid w:val="000C6C99"/>
    <w:rsid w:val="000D206F"/>
    <w:rsid w:val="000E4A29"/>
    <w:rsid w:val="00102A13"/>
    <w:rsid w:val="00137C8D"/>
    <w:rsid w:val="00167D18"/>
    <w:rsid w:val="001723C7"/>
    <w:rsid w:val="001776A3"/>
    <w:rsid w:val="0018042A"/>
    <w:rsid w:val="0019252D"/>
    <w:rsid w:val="00195F9B"/>
    <w:rsid w:val="0019680E"/>
    <w:rsid w:val="001B1C84"/>
    <w:rsid w:val="001E6852"/>
    <w:rsid w:val="00213B07"/>
    <w:rsid w:val="00255D5D"/>
    <w:rsid w:val="00274BC0"/>
    <w:rsid w:val="002752C7"/>
    <w:rsid w:val="00285E3D"/>
    <w:rsid w:val="002925E4"/>
    <w:rsid w:val="0029326E"/>
    <w:rsid w:val="002A395C"/>
    <w:rsid w:val="002D7266"/>
    <w:rsid w:val="002F0770"/>
    <w:rsid w:val="003160D7"/>
    <w:rsid w:val="00336810"/>
    <w:rsid w:val="00393F6E"/>
    <w:rsid w:val="003D5B73"/>
    <w:rsid w:val="003F3505"/>
    <w:rsid w:val="00410CB8"/>
    <w:rsid w:val="0041598D"/>
    <w:rsid w:val="00422BDC"/>
    <w:rsid w:val="0043526F"/>
    <w:rsid w:val="00446A86"/>
    <w:rsid w:val="004626BC"/>
    <w:rsid w:val="00477CC2"/>
    <w:rsid w:val="00486FDD"/>
    <w:rsid w:val="0048739C"/>
    <w:rsid w:val="004A7B56"/>
    <w:rsid w:val="004B627B"/>
    <w:rsid w:val="004C528C"/>
    <w:rsid w:val="004C624D"/>
    <w:rsid w:val="004D77D8"/>
    <w:rsid w:val="004D7B4E"/>
    <w:rsid w:val="004E1DAB"/>
    <w:rsid w:val="004E2FB3"/>
    <w:rsid w:val="004E4F34"/>
    <w:rsid w:val="004E700F"/>
    <w:rsid w:val="004F31DD"/>
    <w:rsid w:val="00501B34"/>
    <w:rsid w:val="005036E8"/>
    <w:rsid w:val="005202BB"/>
    <w:rsid w:val="005300A8"/>
    <w:rsid w:val="00535869"/>
    <w:rsid w:val="00537673"/>
    <w:rsid w:val="00544450"/>
    <w:rsid w:val="0054601A"/>
    <w:rsid w:val="005469DD"/>
    <w:rsid w:val="0056703B"/>
    <w:rsid w:val="00574AB5"/>
    <w:rsid w:val="00587769"/>
    <w:rsid w:val="00590B86"/>
    <w:rsid w:val="005A13C4"/>
    <w:rsid w:val="005A371C"/>
    <w:rsid w:val="005B4ACE"/>
    <w:rsid w:val="005B68F2"/>
    <w:rsid w:val="005C0981"/>
    <w:rsid w:val="005D758A"/>
    <w:rsid w:val="005E2892"/>
    <w:rsid w:val="005F355B"/>
    <w:rsid w:val="0060445F"/>
    <w:rsid w:val="00626660"/>
    <w:rsid w:val="00646153"/>
    <w:rsid w:val="00651713"/>
    <w:rsid w:val="00655ECD"/>
    <w:rsid w:val="00665BC7"/>
    <w:rsid w:val="006726F3"/>
    <w:rsid w:val="00675EEE"/>
    <w:rsid w:val="0068422D"/>
    <w:rsid w:val="00687E81"/>
    <w:rsid w:val="006B36B0"/>
    <w:rsid w:val="006C7C77"/>
    <w:rsid w:val="006D03AA"/>
    <w:rsid w:val="006E3BCF"/>
    <w:rsid w:val="0071376B"/>
    <w:rsid w:val="00751ACA"/>
    <w:rsid w:val="00764F1A"/>
    <w:rsid w:val="00774589"/>
    <w:rsid w:val="00790AA9"/>
    <w:rsid w:val="007A2F12"/>
    <w:rsid w:val="007C0FED"/>
    <w:rsid w:val="007D03BA"/>
    <w:rsid w:val="007E197E"/>
    <w:rsid w:val="007F22DB"/>
    <w:rsid w:val="008057AB"/>
    <w:rsid w:val="008108CF"/>
    <w:rsid w:val="0086294B"/>
    <w:rsid w:val="00864089"/>
    <w:rsid w:val="00864A77"/>
    <w:rsid w:val="0086587B"/>
    <w:rsid w:val="00872076"/>
    <w:rsid w:val="008754E7"/>
    <w:rsid w:val="00893E3D"/>
    <w:rsid w:val="008A2675"/>
    <w:rsid w:val="008D78C3"/>
    <w:rsid w:val="008E0B98"/>
    <w:rsid w:val="009143C6"/>
    <w:rsid w:val="00915D8F"/>
    <w:rsid w:val="009447D2"/>
    <w:rsid w:val="00951BFE"/>
    <w:rsid w:val="00955D6F"/>
    <w:rsid w:val="00961729"/>
    <w:rsid w:val="00971313"/>
    <w:rsid w:val="00980C8A"/>
    <w:rsid w:val="009A7CF8"/>
    <w:rsid w:val="009C2BE6"/>
    <w:rsid w:val="009E1A4A"/>
    <w:rsid w:val="009E6E16"/>
    <w:rsid w:val="00A21C7C"/>
    <w:rsid w:val="00A22E64"/>
    <w:rsid w:val="00A44253"/>
    <w:rsid w:val="00A51CDD"/>
    <w:rsid w:val="00A80A96"/>
    <w:rsid w:val="00AB2612"/>
    <w:rsid w:val="00AB2FA8"/>
    <w:rsid w:val="00B157E0"/>
    <w:rsid w:val="00B311AC"/>
    <w:rsid w:val="00B3650E"/>
    <w:rsid w:val="00B45D1A"/>
    <w:rsid w:val="00B463CA"/>
    <w:rsid w:val="00B56CA6"/>
    <w:rsid w:val="00B6733D"/>
    <w:rsid w:val="00B70882"/>
    <w:rsid w:val="00B91AD1"/>
    <w:rsid w:val="00BA624C"/>
    <w:rsid w:val="00BB0FE2"/>
    <w:rsid w:val="00BC3E2B"/>
    <w:rsid w:val="00BE5294"/>
    <w:rsid w:val="00BE75C3"/>
    <w:rsid w:val="00C06D0C"/>
    <w:rsid w:val="00C27A08"/>
    <w:rsid w:val="00C41BA7"/>
    <w:rsid w:val="00C56C59"/>
    <w:rsid w:val="00C61D09"/>
    <w:rsid w:val="00C85FF3"/>
    <w:rsid w:val="00CB79F6"/>
    <w:rsid w:val="00CC0138"/>
    <w:rsid w:val="00CC3E9A"/>
    <w:rsid w:val="00CE24F5"/>
    <w:rsid w:val="00CF36E5"/>
    <w:rsid w:val="00D04A9A"/>
    <w:rsid w:val="00D26197"/>
    <w:rsid w:val="00D55C6B"/>
    <w:rsid w:val="00D71EE8"/>
    <w:rsid w:val="00D82981"/>
    <w:rsid w:val="00D83DE9"/>
    <w:rsid w:val="00DD6CFF"/>
    <w:rsid w:val="00DF3852"/>
    <w:rsid w:val="00E16B2E"/>
    <w:rsid w:val="00E25F82"/>
    <w:rsid w:val="00E3289A"/>
    <w:rsid w:val="00E33C8B"/>
    <w:rsid w:val="00E41B96"/>
    <w:rsid w:val="00E4374A"/>
    <w:rsid w:val="00E73CDA"/>
    <w:rsid w:val="00E93682"/>
    <w:rsid w:val="00EA3572"/>
    <w:rsid w:val="00EC2746"/>
    <w:rsid w:val="00EE5487"/>
    <w:rsid w:val="00EF4947"/>
    <w:rsid w:val="00F05777"/>
    <w:rsid w:val="00F16C91"/>
    <w:rsid w:val="00F2548D"/>
    <w:rsid w:val="00F42D43"/>
    <w:rsid w:val="00F46800"/>
    <w:rsid w:val="00F50188"/>
    <w:rsid w:val="00F50AA9"/>
    <w:rsid w:val="00F84976"/>
    <w:rsid w:val="00F86214"/>
    <w:rsid w:val="00F8792C"/>
    <w:rsid w:val="00F90261"/>
    <w:rsid w:val="00F912DF"/>
    <w:rsid w:val="00FA2DDC"/>
    <w:rsid w:val="00FC5137"/>
    <w:rsid w:val="00FE6CB8"/>
    <w:rsid w:val="00FF3A00"/>
    <w:rsid w:val="00FF5D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044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0445F"/>
  </w:style>
  <w:style w:type="paragraph" w:styleId="Porat">
    <w:name w:val="footer"/>
    <w:basedOn w:val="prastasis"/>
    <w:link w:val="PoratDiagrama"/>
    <w:uiPriority w:val="99"/>
    <w:unhideWhenUsed/>
    <w:rsid w:val="006044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0445F"/>
  </w:style>
  <w:style w:type="paragraph" w:styleId="Debesliotekstas">
    <w:name w:val="Balloon Text"/>
    <w:basedOn w:val="prastasis"/>
    <w:link w:val="DebesliotekstasDiagrama"/>
    <w:uiPriority w:val="99"/>
    <w:semiHidden/>
    <w:unhideWhenUsed/>
    <w:rsid w:val="006044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445F"/>
    <w:rPr>
      <w:rFonts w:ascii="Tahoma" w:hAnsi="Tahoma" w:cs="Tahoma"/>
      <w:sz w:val="16"/>
      <w:szCs w:val="16"/>
    </w:rPr>
  </w:style>
  <w:style w:type="character" w:styleId="Hipersaitas">
    <w:name w:val="Hyperlink"/>
    <w:basedOn w:val="Numatytasispastraiposriftas"/>
    <w:uiPriority w:val="99"/>
    <w:unhideWhenUsed/>
    <w:rsid w:val="0060445F"/>
    <w:rPr>
      <w:color w:val="0000FF" w:themeColor="hyperlink"/>
      <w:u w:val="single"/>
    </w:rPr>
  </w:style>
  <w:style w:type="paragraph" w:styleId="Sraopastraipa">
    <w:name w:val="List Paragraph"/>
    <w:basedOn w:val="prastasis"/>
    <w:uiPriority w:val="34"/>
    <w:qFormat/>
    <w:rsid w:val="005A371C"/>
    <w:pPr>
      <w:ind w:left="720"/>
      <w:contextualSpacing/>
    </w:pPr>
  </w:style>
  <w:style w:type="paragraph" w:styleId="Sraassuenkleliais">
    <w:name w:val="List Bullet"/>
    <w:basedOn w:val="prastasis"/>
    <w:uiPriority w:val="99"/>
    <w:unhideWhenUsed/>
    <w:rsid w:val="00E33C8B"/>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044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0445F"/>
  </w:style>
  <w:style w:type="paragraph" w:styleId="Porat">
    <w:name w:val="footer"/>
    <w:basedOn w:val="prastasis"/>
    <w:link w:val="PoratDiagrama"/>
    <w:uiPriority w:val="99"/>
    <w:unhideWhenUsed/>
    <w:rsid w:val="006044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0445F"/>
  </w:style>
  <w:style w:type="paragraph" w:styleId="Debesliotekstas">
    <w:name w:val="Balloon Text"/>
    <w:basedOn w:val="prastasis"/>
    <w:link w:val="DebesliotekstasDiagrama"/>
    <w:uiPriority w:val="99"/>
    <w:semiHidden/>
    <w:unhideWhenUsed/>
    <w:rsid w:val="006044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445F"/>
    <w:rPr>
      <w:rFonts w:ascii="Tahoma" w:hAnsi="Tahoma" w:cs="Tahoma"/>
      <w:sz w:val="16"/>
      <w:szCs w:val="16"/>
    </w:rPr>
  </w:style>
  <w:style w:type="character" w:styleId="Hipersaitas">
    <w:name w:val="Hyperlink"/>
    <w:basedOn w:val="Numatytasispastraiposriftas"/>
    <w:uiPriority w:val="99"/>
    <w:unhideWhenUsed/>
    <w:rsid w:val="0060445F"/>
    <w:rPr>
      <w:color w:val="0000FF" w:themeColor="hyperlink"/>
      <w:u w:val="single"/>
    </w:rPr>
  </w:style>
  <w:style w:type="paragraph" w:styleId="Sraopastraipa">
    <w:name w:val="List Paragraph"/>
    <w:basedOn w:val="prastasis"/>
    <w:uiPriority w:val="34"/>
    <w:qFormat/>
    <w:rsid w:val="005A371C"/>
    <w:pPr>
      <w:ind w:left="720"/>
      <w:contextualSpacing/>
    </w:pPr>
  </w:style>
  <w:style w:type="paragraph" w:styleId="Sraassuenkleliais">
    <w:name w:val="List Bullet"/>
    <w:basedOn w:val="prastasis"/>
    <w:uiPriority w:val="99"/>
    <w:unhideWhenUsed/>
    <w:rsid w:val="00E33C8B"/>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vsbiuras@plunge.lt" TargetMode="Externa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esktop\metin&#279;%20ataskaita\Skaiciavim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09311533932054"/>
          <c:y val="0.19899135811044169"/>
          <c:w val="0.37448178787638925"/>
          <c:h val="0.63324772605124791"/>
        </c:manualLayout>
      </c:layout>
      <c:radarChart>
        <c:radarStyle val="marker"/>
        <c:varyColors val="0"/>
        <c:ser>
          <c:idx val="0"/>
          <c:order val="0"/>
          <c:tx>
            <c:strRef>
              <c:f>Lapas1!$B$5</c:f>
              <c:strCache>
                <c:ptCount val="1"/>
                <c:pt idx="0">
                  <c:v>Santykis, Plungės raj.sav/Lietuva</c:v>
                </c:pt>
              </c:strCache>
            </c:strRef>
          </c:tx>
          <c:cat>
            <c:strRef>
              <c:f>Lapas1!$C$4:$L$4</c:f>
              <c:strCache>
                <c:ptCount val="10"/>
                <c:pt idx="0">
                  <c:v>Dėl savižudybių</c:v>
                </c:pt>
                <c:pt idx="1">
                  <c:v>Dėl išorinių priežasčių</c:v>
                </c:pt>
                <c:pt idx="2">
                  <c:v>Dėl atsitiktinio paskendimo</c:v>
                </c:pt>
                <c:pt idx="3">
                  <c:v>Dėl nukritimo</c:v>
                </c:pt>
                <c:pt idx="4">
                  <c:v>Dėl transporto įvykių </c:v>
                </c:pt>
                <c:pt idx="5">
                  <c:v>Dėl priežasčių, susijusių su narkotikų vartojimu</c:v>
                </c:pt>
                <c:pt idx="6">
                  <c:v>Dėl priežasčių, susijusių su alkoholio vartojimu</c:v>
                </c:pt>
                <c:pt idx="7">
                  <c:v>Nuo kraujotakos sistemos ligų</c:v>
                </c:pt>
                <c:pt idx="8">
                  <c:v>Nuo piktybinių navikų</c:v>
                </c:pt>
                <c:pt idx="9">
                  <c:v>Nuo cerebrovaskulinių ligų</c:v>
                </c:pt>
              </c:strCache>
            </c:strRef>
          </c:cat>
          <c:val>
            <c:numRef>
              <c:f>Lapas1!$C$5:$L$5</c:f>
              <c:numCache>
                <c:formatCode>General</c:formatCode>
                <c:ptCount val="10"/>
                <c:pt idx="0">
                  <c:v>0.7</c:v>
                </c:pt>
                <c:pt idx="1">
                  <c:v>0.9</c:v>
                </c:pt>
                <c:pt idx="2">
                  <c:v>1.7</c:v>
                </c:pt>
                <c:pt idx="3">
                  <c:v>1.4</c:v>
                </c:pt>
                <c:pt idx="4">
                  <c:v>0.7</c:v>
                </c:pt>
                <c:pt idx="5">
                  <c:v>0</c:v>
                </c:pt>
                <c:pt idx="6">
                  <c:v>0.9</c:v>
                </c:pt>
                <c:pt idx="7">
                  <c:v>1.1000000000000001</c:v>
                </c:pt>
                <c:pt idx="8">
                  <c:v>0.9</c:v>
                </c:pt>
                <c:pt idx="9">
                  <c:v>0.7</c:v>
                </c:pt>
              </c:numCache>
            </c:numRef>
          </c:val>
        </c:ser>
        <c:ser>
          <c:idx val="1"/>
          <c:order val="1"/>
          <c:tx>
            <c:strRef>
              <c:f>Lapas1!$B$6</c:f>
              <c:strCache>
                <c:ptCount val="1"/>
                <c:pt idx="0">
                  <c:v>Lietuva</c:v>
                </c:pt>
              </c:strCache>
            </c:strRef>
          </c:tx>
          <c:dPt>
            <c:idx val="6"/>
            <c:bubble3D val="0"/>
          </c:dPt>
          <c:cat>
            <c:strRef>
              <c:f>Lapas1!$C$4:$L$4</c:f>
              <c:strCache>
                <c:ptCount val="10"/>
                <c:pt idx="0">
                  <c:v>Dėl savižudybių</c:v>
                </c:pt>
                <c:pt idx="1">
                  <c:v>Dėl išorinių priežasčių</c:v>
                </c:pt>
                <c:pt idx="2">
                  <c:v>Dėl atsitiktinio paskendimo</c:v>
                </c:pt>
                <c:pt idx="3">
                  <c:v>Dėl nukritimo</c:v>
                </c:pt>
                <c:pt idx="4">
                  <c:v>Dėl transporto įvykių </c:v>
                </c:pt>
                <c:pt idx="5">
                  <c:v>Dėl priežasčių, susijusių su narkotikų vartojimu</c:v>
                </c:pt>
                <c:pt idx="6">
                  <c:v>Dėl priežasčių, susijusių su alkoholio vartojimu</c:v>
                </c:pt>
                <c:pt idx="7">
                  <c:v>Nuo kraujotakos sistemos ligų</c:v>
                </c:pt>
                <c:pt idx="8">
                  <c:v>Nuo piktybinių navikų</c:v>
                </c:pt>
                <c:pt idx="9">
                  <c:v>Nuo cerebrovaskulinių ligų</c:v>
                </c:pt>
              </c:strCache>
            </c:strRef>
          </c:cat>
          <c:val>
            <c:numRef>
              <c:f>Lapas1!$C$6:$L$6</c:f>
              <c:numCache>
                <c:formatCode>General</c:formatCode>
                <c:ptCount val="10"/>
                <c:pt idx="0">
                  <c:v>1</c:v>
                </c:pt>
                <c:pt idx="1">
                  <c:v>1</c:v>
                </c:pt>
                <c:pt idx="2">
                  <c:v>1</c:v>
                </c:pt>
                <c:pt idx="3">
                  <c:v>1</c:v>
                </c:pt>
                <c:pt idx="4">
                  <c:v>1</c:v>
                </c:pt>
                <c:pt idx="5">
                  <c:v>1</c:v>
                </c:pt>
                <c:pt idx="6">
                  <c:v>1</c:v>
                </c:pt>
                <c:pt idx="7">
                  <c:v>1</c:v>
                </c:pt>
                <c:pt idx="8">
                  <c:v>1</c:v>
                </c:pt>
                <c:pt idx="9">
                  <c:v>1</c:v>
                </c:pt>
              </c:numCache>
            </c:numRef>
          </c:val>
        </c:ser>
        <c:dLbls>
          <c:showLegendKey val="0"/>
          <c:showVal val="0"/>
          <c:showCatName val="0"/>
          <c:showSerName val="0"/>
          <c:showPercent val="0"/>
          <c:showBubbleSize val="0"/>
        </c:dLbls>
        <c:axId val="98374144"/>
        <c:axId val="101270656"/>
      </c:radarChart>
      <c:catAx>
        <c:axId val="98374144"/>
        <c:scaling>
          <c:orientation val="minMax"/>
        </c:scaling>
        <c:delete val="0"/>
        <c:axPos val="b"/>
        <c:majorGridlines/>
        <c:majorTickMark val="out"/>
        <c:minorTickMark val="none"/>
        <c:tickLblPos val="nextTo"/>
        <c:crossAx val="101270656"/>
        <c:crosses val="autoZero"/>
        <c:auto val="1"/>
        <c:lblAlgn val="ctr"/>
        <c:lblOffset val="100"/>
        <c:noMultiLvlLbl val="0"/>
      </c:catAx>
      <c:valAx>
        <c:axId val="101270656"/>
        <c:scaling>
          <c:orientation val="minMax"/>
          <c:max val="2"/>
        </c:scaling>
        <c:delete val="0"/>
        <c:axPos val="l"/>
        <c:majorGridlines/>
        <c:numFmt formatCode="General" sourceLinked="1"/>
        <c:majorTickMark val="cross"/>
        <c:minorTickMark val="none"/>
        <c:tickLblPos val="nextTo"/>
        <c:crossAx val="98374144"/>
        <c:crosses val="autoZero"/>
        <c:crossBetween val="between"/>
        <c:majorUnit val="0.5"/>
        <c:minorUnit val="0.1"/>
      </c:valAx>
    </c:plotArea>
    <c:legend>
      <c:legendPos val="r"/>
      <c:layout>
        <c:manualLayout>
          <c:xMode val="edge"/>
          <c:yMode val="edge"/>
          <c:x val="0.73091091038369371"/>
          <c:y val="0.24759768173886362"/>
          <c:w val="0.22688112261829341"/>
          <c:h val="0.27550685830547533"/>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087258988820172E-2"/>
          <c:y val="4.6405515924929447E-2"/>
          <c:w val="0.75325140607424079"/>
          <c:h val="0.7821726450860309"/>
        </c:manualLayout>
      </c:layout>
      <c:lineChart>
        <c:grouping val="standard"/>
        <c:varyColors val="0"/>
        <c:ser>
          <c:idx val="0"/>
          <c:order val="0"/>
          <c:tx>
            <c:strRef>
              <c:f>Lapas1!$B$48</c:f>
              <c:strCache>
                <c:ptCount val="1"/>
                <c:pt idx="0">
                  <c:v>Plungės r. sav.</c:v>
                </c:pt>
              </c:strCache>
            </c:strRef>
          </c:tx>
          <c:dLbls>
            <c:showLegendKey val="0"/>
            <c:showVal val="1"/>
            <c:showCatName val="0"/>
            <c:showSerName val="0"/>
            <c:showPercent val="0"/>
            <c:showBubbleSize val="0"/>
            <c:showLeaderLines val="0"/>
          </c:dLbls>
          <c:cat>
            <c:numRef>
              <c:f>Lapas1!$C$47:$F$47</c:f>
              <c:numCache>
                <c:formatCode>General</c:formatCode>
                <c:ptCount val="4"/>
                <c:pt idx="0">
                  <c:v>2014</c:v>
                </c:pt>
                <c:pt idx="1">
                  <c:v>2015</c:v>
                </c:pt>
                <c:pt idx="2">
                  <c:v>2016</c:v>
                </c:pt>
                <c:pt idx="3">
                  <c:v>2017</c:v>
                </c:pt>
              </c:numCache>
            </c:numRef>
          </c:cat>
          <c:val>
            <c:numRef>
              <c:f>Lapas1!$C$48:$F$48</c:f>
              <c:numCache>
                <c:formatCode>General</c:formatCode>
                <c:ptCount val="4"/>
                <c:pt idx="0">
                  <c:v>3.95</c:v>
                </c:pt>
                <c:pt idx="1">
                  <c:v>3.73</c:v>
                </c:pt>
                <c:pt idx="2">
                  <c:v>5</c:v>
                </c:pt>
                <c:pt idx="3">
                  <c:v>4.7300000000000004</c:v>
                </c:pt>
              </c:numCache>
            </c:numRef>
          </c:val>
          <c:smooth val="0"/>
        </c:ser>
        <c:ser>
          <c:idx val="1"/>
          <c:order val="1"/>
          <c:tx>
            <c:strRef>
              <c:f>Lapas1!$B$49</c:f>
              <c:strCache>
                <c:ptCount val="1"/>
                <c:pt idx="0">
                  <c:v>Telšių apsk.</c:v>
                </c:pt>
              </c:strCache>
            </c:strRef>
          </c:tx>
          <c:dLbls>
            <c:showLegendKey val="0"/>
            <c:showVal val="1"/>
            <c:showCatName val="0"/>
            <c:showSerName val="0"/>
            <c:showPercent val="0"/>
            <c:showBubbleSize val="0"/>
            <c:showLeaderLines val="0"/>
          </c:dLbls>
          <c:cat>
            <c:numRef>
              <c:f>Lapas1!$C$47:$F$47</c:f>
              <c:numCache>
                <c:formatCode>General</c:formatCode>
                <c:ptCount val="4"/>
                <c:pt idx="0">
                  <c:v>2014</c:v>
                </c:pt>
                <c:pt idx="1">
                  <c:v>2015</c:v>
                </c:pt>
                <c:pt idx="2">
                  <c:v>2016</c:v>
                </c:pt>
                <c:pt idx="3">
                  <c:v>2017</c:v>
                </c:pt>
              </c:numCache>
            </c:numRef>
          </c:cat>
          <c:val>
            <c:numRef>
              <c:f>Lapas1!$C$49:$F$49</c:f>
              <c:numCache>
                <c:formatCode>General</c:formatCode>
                <c:ptCount val="4"/>
                <c:pt idx="0">
                  <c:v>3.21</c:v>
                </c:pt>
                <c:pt idx="1">
                  <c:v>3.04</c:v>
                </c:pt>
                <c:pt idx="2">
                  <c:v>3.8</c:v>
                </c:pt>
                <c:pt idx="3">
                  <c:v>3.71</c:v>
                </c:pt>
              </c:numCache>
            </c:numRef>
          </c:val>
          <c:smooth val="0"/>
        </c:ser>
        <c:ser>
          <c:idx val="2"/>
          <c:order val="2"/>
          <c:tx>
            <c:strRef>
              <c:f>Lapas1!$B$50</c:f>
              <c:strCache>
                <c:ptCount val="1"/>
                <c:pt idx="0">
                  <c:v>Lietuva</c:v>
                </c:pt>
              </c:strCache>
            </c:strRef>
          </c:tx>
          <c:dLbls>
            <c:showLegendKey val="0"/>
            <c:showVal val="1"/>
            <c:showCatName val="0"/>
            <c:showSerName val="0"/>
            <c:showPercent val="0"/>
            <c:showBubbleSize val="0"/>
            <c:showLeaderLines val="0"/>
          </c:dLbls>
          <c:cat>
            <c:numRef>
              <c:f>Lapas1!$C$47:$F$47</c:f>
              <c:numCache>
                <c:formatCode>General</c:formatCode>
                <c:ptCount val="4"/>
                <c:pt idx="0">
                  <c:v>2014</c:v>
                </c:pt>
                <c:pt idx="1">
                  <c:v>2015</c:v>
                </c:pt>
                <c:pt idx="2">
                  <c:v>2016</c:v>
                </c:pt>
                <c:pt idx="3">
                  <c:v>2017</c:v>
                </c:pt>
              </c:numCache>
            </c:numRef>
          </c:cat>
          <c:val>
            <c:numRef>
              <c:f>Lapas1!$C$50:$F$50</c:f>
              <c:numCache>
                <c:formatCode>General</c:formatCode>
                <c:ptCount val="4"/>
                <c:pt idx="0">
                  <c:v>3.41</c:v>
                </c:pt>
                <c:pt idx="1">
                  <c:v>3.44</c:v>
                </c:pt>
                <c:pt idx="2">
                  <c:v>4.2</c:v>
                </c:pt>
                <c:pt idx="3">
                  <c:v>4.2699999999999996</c:v>
                </c:pt>
              </c:numCache>
            </c:numRef>
          </c:val>
          <c:smooth val="0"/>
        </c:ser>
        <c:dLbls>
          <c:showLegendKey val="0"/>
          <c:showVal val="0"/>
          <c:showCatName val="0"/>
          <c:showSerName val="0"/>
          <c:showPercent val="0"/>
          <c:showBubbleSize val="0"/>
        </c:dLbls>
        <c:marker val="1"/>
        <c:smooth val="0"/>
        <c:axId val="102483456"/>
        <c:axId val="101272384"/>
      </c:lineChart>
      <c:catAx>
        <c:axId val="102483456"/>
        <c:scaling>
          <c:orientation val="minMax"/>
        </c:scaling>
        <c:delete val="0"/>
        <c:axPos val="b"/>
        <c:numFmt formatCode="General" sourceLinked="1"/>
        <c:majorTickMark val="out"/>
        <c:minorTickMark val="none"/>
        <c:tickLblPos val="nextTo"/>
        <c:crossAx val="101272384"/>
        <c:crosses val="autoZero"/>
        <c:auto val="1"/>
        <c:lblAlgn val="ctr"/>
        <c:lblOffset val="100"/>
        <c:noMultiLvlLbl val="0"/>
      </c:catAx>
      <c:valAx>
        <c:axId val="101272384"/>
        <c:scaling>
          <c:orientation val="minMax"/>
        </c:scaling>
        <c:delete val="0"/>
        <c:axPos val="l"/>
        <c:majorGridlines/>
        <c:numFmt formatCode="General" sourceLinked="1"/>
        <c:majorTickMark val="out"/>
        <c:minorTickMark val="none"/>
        <c:tickLblPos val="nextTo"/>
        <c:crossAx val="102483456"/>
        <c:crosses val="autoZero"/>
        <c:crossBetween val="between"/>
      </c:valAx>
    </c:plotArea>
    <c:legend>
      <c:legendPos val="r"/>
      <c:layout>
        <c:manualLayout>
          <c:xMode val="edge"/>
          <c:yMode val="edge"/>
          <c:x val="0.81510536182977122"/>
          <c:y val="0.38662750228321774"/>
          <c:w val="0.17105380577427823"/>
          <c:h val="0.35385303774297583"/>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405206381509265E-2"/>
          <c:y val="7.9443067307598484E-3"/>
          <c:w val="0.79576853101175915"/>
          <c:h val="0.91822204983097777"/>
        </c:manualLayout>
      </c:layout>
      <c:barChart>
        <c:barDir val="bar"/>
        <c:grouping val="clustered"/>
        <c:varyColors val="0"/>
        <c:ser>
          <c:idx val="0"/>
          <c:order val="0"/>
          <c:tx>
            <c:strRef>
              <c:f>Lapas1!$C$61</c:f>
              <c:strCache>
                <c:ptCount val="1"/>
                <c:pt idx="0">
                  <c:v>2015/2016</c:v>
                </c:pt>
              </c:strCache>
            </c:strRef>
          </c:tx>
          <c:invertIfNegative val="0"/>
          <c:dLbls>
            <c:showLegendKey val="0"/>
            <c:showVal val="1"/>
            <c:showCatName val="0"/>
            <c:showSerName val="0"/>
            <c:showPercent val="0"/>
            <c:showBubbleSize val="0"/>
            <c:showLeaderLines val="0"/>
          </c:dLbls>
          <c:cat>
            <c:strRef>
              <c:f>Lapas1!$B$62:$B$74</c:f>
              <c:strCache>
                <c:ptCount val="13"/>
                <c:pt idx="0">
                  <c:v>12</c:v>
                </c:pt>
                <c:pt idx="1">
                  <c:v>11</c:v>
                </c:pt>
                <c:pt idx="2">
                  <c:v>10</c:v>
                </c:pt>
                <c:pt idx="3">
                  <c:v>9</c:v>
                </c:pt>
                <c:pt idx="4">
                  <c:v>8</c:v>
                </c:pt>
                <c:pt idx="5">
                  <c:v>7</c:v>
                </c:pt>
                <c:pt idx="6">
                  <c:v>6</c:v>
                </c:pt>
                <c:pt idx="7">
                  <c:v>5</c:v>
                </c:pt>
                <c:pt idx="8">
                  <c:v>4</c:v>
                </c:pt>
                <c:pt idx="9">
                  <c:v>3</c:v>
                </c:pt>
                <c:pt idx="10">
                  <c:v>2</c:v>
                </c:pt>
                <c:pt idx="11">
                  <c:v>1</c:v>
                </c:pt>
                <c:pt idx="12">
                  <c:v>PUG</c:v>
                </c:pt>
              </c:strCache>
            </c:strRef>
          </c:cat>
          <c:val>
            <c:numRef>
              <c:f>Lapas1!$C$62:$C$74</c:f>
              <c:numCache>
                <c:formatCode>General</c:formatCode>
                <c:ptCount val="13"/>
                <c:pt idx="0">
                  <c:v>7</c:v>
                </c:pt>
                <c:pt idx="1">
                  <c:v>9.6999999999999993</c:v>
                </c:pt>
                <c:pt idx="2">
                  <c:v>9.1</c:v>
                </c:pt>
                <c:pt idx="3">
                  <c:v>8</c:v>
                </c:pt>
                <c:pt idx="4">
                  <c:v>15.8</c:v>
                </c:pt>
                <c:pt idx="5">
                  <c:v>13.8</c:v>
                </c:pt>
                <c:pt idx="6">
                  <c:v>16.399999999999999</c:v>
                </c:pt>
                <c:pt idx="7">
                  <c:v>15.1</c:v>
                </c:pt>
                <c:pt idx="8">
                  <c:v>13.6</c:v>
                </c:pt>
                <c:pt idx="9">
                  <c:v>7</c:v>
                </c:pt>
                <c:pt idx="10">
                  <c:v>9</c:v>
                </c:pt>
                <c:pt idx="11">
                  <c:v>7</c:v>
                </c:pt>
                <c:pt idx="12">
                  <c:v>36.6</c:v>
                </c:pt>
              </c:numCache>
            </c:numRef>
          </c:val>
        </c:ser>
        <c:ser>
          <c:idx val="1"/>
          <c:order val="1"/>
          <c:tx>
            <c:strRef>
              <c:f>Lapas1!$D$61</c:f>
              <c:strCache>
                <c:ptCount val="1"/>
                <c:pt idx="0">
                  <c:v>2016/2017</c:v>
                </c:pt>
              </c:strCache>
            </c:strRef>
          </c:tx>
          <c:invertIfNegative val="0"/>
          <c:dLbls>
            <c:showLegendKey val="0"/>
            <c:showVal val="1"/>
            <c:showCatName val="0"/>
            <c:showSerName val="0"/>
            <c:showPercent val="0"/>
            <c:showBubbleSize val="0"/>
            <c:showLeaderLines val="0"/>
          </c:dLbls>
          <c:cat>
            <c:strRef>
              <c:f>Lapas1!$B$62:$B$74</c:f>
              <c:strCache>
                <c:ptCount val="13"/>
                <c:pt idx="0">
                  <c:v>12</c:v>
                </c:pt>
                <c:pt idx="1">
                  <c:v>11</c:v>
                </c:pt>
                <c:pt idx="2">
                  <c:v>10</c:v>
                </c:pt>
                <c:pt idx="3">
                  <c:v>9</c:v>
                </c:pt>
                <c:pt idx="4">
                  <c:v>8</c:v>
                </c:pt>
                <c:pt idx="5">
                  <c:v>7</c:v>
                </c:pt>
                <c:pt idx="6">
                  <c:v>6</c:v>
                </c:pt>
                <c:pt idx="7">
                  <c:v>5</c:v>
                </c:pt>
                <c:pt idx="8">
                  <c:v>4</c:v>
                </c:pt>
                <c:pt idx="9">
                  <c:v>3</c:v>
                </c:pt>
                <c:pt idx="10">
                  <c:v>2</c:v>
                </c:pt>
                <c:pt idx="11">
                  <c:v>1</c:v>
                </c:pt>
                <c:pt idx="12">
                  <c:v>PUG</c:v>
                </c:pt>
              </c:strCache>
            </c:strRef>
          </c:cat>
          <c:val>
            <c:numRef>
              <c:f>Lapas1!$D$62:$D$74</c:f>
              <c:numCache>
                <c:formatCode>General</c:formatCode>
                <c:ptCount val="13"/>
                <c:pt idx="0">
                  <c:v>6.1</c:v>
                </c:pt>
                <c:pt idx="1">
                  <c:v>7</c:v>
                </c:pt>
                <c:pt idx="2">
                  <c:v>10.6</c:v>
                </c:pt>
                <c:pt idx="3">
                  <c:v>10.1</c:v>
                </c:pt>
                <c:pt idx="4">
                  <c:v>10.7</c:v>
                </c:pt>
                <c:pt idx="5">
                  <c:v>11.5</c:v>
                </c:pt>
                <c:pt idx="6">
                  <c:v>10.6</c:v>
                </c:pt>
                <c:pt idx="7">
                  <c:v>13.2</c:v>
                </c:pt>
                <c:pt idx="8">
                  <c:v>9.5</c:v>
                </c:pt>
                <c:pt idx="9">
                  <c:v>7.4</c:v>
                </c:pt>
                <c:pt idx="10">
                  <c:v>5.5</c:v>
                </c:pt>
                <c:pt idx="11">
                  <c:v>8.9</c:v>
                </c:pt>
                <c:pt idx="12">
                  <c:v>0</c:v>
                </c:pt>
              </c:numCache>
            </c:numRef>
          </c:val>
        </c:ser>
        <c:ser>
          <c:idx val="2"/>
          <c:order val="2"/>
          <c:tx>
            <c:strRef>
              <c:f>Lapas1!$E$61</c:f>
              <c:strCache>
                <c:ptCount val="1"/>
                <c:pt idx="0">
                  <c:v>2017/2018</c:v>
                </c:pt>
              </c:strCache>
            </c:strRef>
          </c:tx>
          <c:invertIfNegative val="0"/>
          <c:dLbls>
            <c:showLegendKey val="0"/>
            <c:showVal val="1"/>
            <c:showCatName val="0"/>
            <c:showSerName val="0"/>
            <c:showPercent val="0"/>
            <c:showBubbleSize val="0"/>
            <c:showLeaderLines val="0"/>
          </c:dLbls>
          <c:cat>
            <c:strRef>
              <c:f>Lapas1!$B$62:$B$74</c:f>
              <c:strCache>
                <c:ptCount val="13"/>
                <c:pt idx="0">
                  <c:v>12</c:v>
                </c:pt>
                <c:pt idx="1">
                  <c:v>11</c:v>
                </c:pt>
                <c:pt idx="2">
                  <c:v>10</c:v>
                </c:pt>
                <c:pt idx="3">
                  <c:v>9</c:v>
                </c:pt>
                <c:pt idx="4">
                  <c:v>8</c:v>
                </c:pt>
                <c:pt idx="5">
                  <c:v>7</c:v>
                </c:pt>
                <c:pt idx="6">
                  <c:v>6</c:v>
                </c:pt>
                <c:pt idx="7">
                  <c:v>5</c:v>
                </c:pt>
                <c:pt idx="8">
                  <c:v>4</c:v>
                </c:pt>
                <c:pt idx="9">
                  <c:v>3</c:v>
                </c:pt>
                <c:pt idx="10">
                  <c:v>2</c:v>
                </c:pt>
                <c:pt idx="11">
                  <c:v>1</c:v>
                </c:pt>
                <c:pt idx="12">
                  <c:v>PUG</c:v>
                </c:pt>
              </c:strCache>
            </c:strRef>
          </c:cat>
          <c:val>
            <c:numRef>
              <c:f>Lapas1!$E$62:$E$74</c:f>
              <c:numCache>
                <c:formatCode>General</c:formatCode>
                <c:ptCount val="13"/>
                <c:pt idx="0">
                  <c:v>7.3</c:v>
                </c:pt>
                <c:pt idx="1">
                  <c:v>8.5</c:v>
                </c:pt>
                <c:pt idx="2">
                  <c:v>10</c:v>
                </c:pt>
                <c:pt idx="3">
                  <c:v>7.6</c:v>
                </c:pt>
                <c:pt idx="4">
                  <c:v>9.1</c:v>
                </c:pt>
                <c:pt idx="5">
                  <c:v>14.3</c:v>
                </c:pt>
                <c:pt idx="6">
                  <c:v>21.8</c:v>
                </c:pt>
                <c:pt idx="7">
                  <c:v>23.2</c:v>
                </c:pt>
                <c:pt idx="8">
                  <c:v>32.200000000000003</c:v>
                </c:pt>
                <c:pt idx="9">
                  <c:v>36.700000000000003</c:v>
                </c:pt>
                <c:pt idx="10">
                  <c:v>33.299999999999997</c:v>
                </c:pt>
                <c:pt idx="11">
                  <c:v>49</c:v>
                </c:pt>
                <c:pt idx="12">
                  <c:v>75</c:v>
                </c:pt>
              </c:numCache>
            </c:numRef>
          </c:val>
        </c:ser>
        <c:dLbls>
          <c:showLegendKey val="0"/>
          <c:showVal val="0"/>
          <c:showCatName val="0"/>
          <c:showSerName val="0"/>
          <c:showPercent val="0"/>
          <c:showBubbleSize val="0"/>
        </c:dLbls>
        <c:gapWidth val="150"/>
        <c:axId val="118438912"/>
        <c:axId val="101274112"/>
      </c:barChart>
      <c:catAx>
        <c:axId val="118438912"/>
        <c:scaling>
          <c:orientation val="minMax"/>
        </c:scaling>
        <c:delete val="0"/>
        <c:axPos val="l"/>
        <c:majorTickMark val="out"/>
        <c:minorTickMark val="none"/>
        <c:tickLblPos val="nextTo"/>
        <c:crossAx val="101274112"/>
        <c:crosses val="autoZero"/>
        <c:auto val="1"/>
        <c:lblAlgn val="ctr"/>
        <c:lblOffset val="100"/>
        <c:noMultiLvlLbl val="0"/>
      </c:catAx>
      <c:valAx>
        <c:axId val="101274112"/>
        <c:scaling>
          <c:orientation val="minMax"/>
          <c:max val="75"/>
          <c:min val="5"/>
        </c:scaling>
        <c:delete val="0"/>
        <c:axPos val="b"/>
        <c:majorGridlines/>
        <c:numFmt formatCode="General" sourceLinked="1"/>
        <c:majorTickMark val="out"/>
        <c:minorTickMark val="none"/>
        <c:tickLblPos val="nextTo"/>
        <c:crossAx val="118438912"/>
        <c:crosses val="autoZero"/>
        <c:crossBetween val="between"/>
        <c:majorUnit val="10"/>
      </c:valAx>
    </c:plotArea>
    <c:legend>
      <c:legendPos val="r"/>
      <c:layout>
        <c:manualLayout>
          <c:xMode val="edge"/>
          <c:yMode val="edge"/>
          <c:x val="0.87958360361626309"/>
          <c:y val="0.48256712327935408"/>
          <c:w val="0.12041639638373694"/>
          <c:h val="0.22336414148325401"/>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416434166201663E-2"/>
          <c:y val="4.9509546428762041E-2"/>
          <c:w val="0.64836439539545743"/>
          <c:h val="0.85215535524175767"/>
        </c:manualLayout>
      </c:layout>
      <c:lineChart>
        <c:grouping val="standard"/>
        <c:varyColors val="0"/>
        <c:ser>
          <c:idx val="0"/>
          <c:order val="0"/>
          <c:tx>
            <c:strRef>
              <c:f>Lapas1!$B$87</c:f>
              <c:strCache>
                <c:ptCount val="1"/>
                <c:pt idx="0">
                  <c:v>UAB "Klinika Pulsas"</c:v>
                </c:pt>
              </c:strCache>
            </c:strRef>
          </c:tx>
          <c:dLbls>
            <c:showLegendKey val="0"/>
            <c:showVal val="1"/>
            <c:showCatName val="0"/>
            <c:showSerName val="0"/>
            <c:showPercent val="0"/>
            <c:showBubbleSize val="0"/>
            <c:showLeaderLines val="0"/>
          </c:dLbls>
          <c:cat>
            <c:numRef>
              <c:f>Lapas1!$C$86:$H$86</c:f>
              <c:numCache>
                <c:formatCode>General</c:formatCode>
                <c:ptCount val="6"/>
                <c:pt idx="0">
                  <c:v>2012</c:v>
                </c:pt>
                <c:pt idx="1">
                  <c:v>2013</c:v>
                </c:pt>
                <c:pt idx="2">
                  <c:v>2014</c:v>
                </c:pt>
                <c:pt idx="3">
                  <c:v>2015</c:v>
                </c:pt>
                <c:pt idx="4">
                  <c:v>2016</c:v>
                </c:pt>
                <c:pt idx="5">
                  <c:v>2017</c:v>
                </c:pt>
              </c:numCache>
            </c:numRef>
          </c:cat>
          <c:val>
            <c:numRef>
              <c:f>Lapas1!$C$87:$H$87</c:f>
              <c:numCache>
                <c:formatCode>General</c:formatCode>
                <c:ptCount val="6"/>
                <c:pt idx="0">
                  <c:v>16.5</c:v>
                </c:pt>
                <c:pt idx="1">
                  <c:v>12.3</c:v>
                </c:pt>
                <c:pt idx="2">
                  <c:v>6.1</c:v>
                </c:pt>
                <c:pt idx="3">
                  <c:v>9.8000000000000007</c:v>
                </c:pt>
                <c:pt idx="4">
                  <c:v>1</c:v>
                </c:pt>
                <c:pt idx="5">
                  <c:v>10.4</c:v>
                </c:pt>
              </c:numCache>
            </c:numRef>
          </c:val>
          <c:smooth val="0"/>
        </c:ser>
        <c:ser>
          <c:idx val="1"/>
          <c:order val="1"/>
          <c:tx>
            <c:strRef>
              <c:f>Lapas1!$B$88</c:f>
              <c:strCache>
                <c:ptCount val="1"/>
                <c:pt idx="0">
                  <c:v>A. Klišonio komercinė firma "Inesa"</c:v>
                </c:pt>
              </c:strCache>
            </c:strRef>
          </c:tx>
          <c:dLbls>
            <c:showLegendKey val="0"/>
            <c:showVal val="1"/>
            <c:showCatName val="0"/>
            <c:showSerName val="0"/>
            <c:showPercent val="0"/>
            <c:showBubbleSize val="0"/>
            <c:showLeaderLines val="0"/>
          </c:dLbls>
          <c:cat>
            <c:numRef>
              <c:f>Lapas1!$C$86:$H$86</c:f>
              <c:numCache>
                <c:formatCode>General</c:formatCode>
                <c:ptCount val="6"/>
                <c:pt idx="0">
                  <c:v>2012</c:v>
                </c:pt>
                <c:pt idx="1">
                  <c:v>2013</c:v>
                </c:pt>
                <c:pt idx="2">
                  <c:v>2014</c:v>
                </c:pt>
                <c:pt idx="3">
                  <c:v>2015</c:v>
                </c:pt>
                <c:pt idx="4">
                  <c:v>2016</c:v>
                </c:pt>
                <c:pt idx="5">
                  <c:v>2017</c:v>
                </c:pt>
              </c:numCache>
            </c:numRef>
          </c:cat>
          <c:val>
            <c:numRef>
              <c:f>Lapas1!$C$88:$H$88</c:f>
              <c:numCache>
                <c:formatCode>General</c:formatCode>
                <c:ptCount val="6"/>
                <c:pt idx="0">
                  <c:v>3.2</c:v>
                </c:pt>
                <c:pt idx="1">
                  <c:v>4.5999999999999996</c:v>
                </c:pt>
                <c:pt idx="2">
                  <c:v>4</c:v>
                </c:pt>
                <c:pt idx="3">
                  <c:v>4.5999999999999996</c:v>
                </c:pt>
                <c:pt idx="4">
                  <c:v>5.6</c:v>
                </c:pt>
                <c:pt idx="5">
                  <c:v>5.2</c:v>
                </c:pt>
              </c:numCache>
            </c:numRef>
          </c:val>
          <c:smooth val="0"/>
        </c:ser>
        <c:ser>
          <c:idx val="2"/>
          <c:order val="2"/>
          <c:tx>
            <c:strRef>
              <c:f>Lapas1!$B$89</c:f>
              <c:strCache>
                <c:ptCount val="1"/>
                <c:pt idx="0">
                  <c:v>UAB "Plungės sveikatos centras</c:v>
                </c:pt>
              </c:strCache>
            </c:strRef>
          </c:tx>
          <c:dLbls>
            <c:showLegendKey val="0"/>
            <c:showVal val="1"/>
            <c:showCatName val="0"/>
            <c:showSerName val="0"/>
            <c:showPercent val="0"/>
            <c:showBubbleSize val="0"/>
            <c:showLeaderLines val="0"/>
          </c:dLbls>
          <c:cat>
            <c:numRef>
              <c:f>Lapas1!$C$86:$H$86</c:f>
              <c:numCache>
                <c:formatCode>General</c:formatCode>
                <c:ptCount val="6"/>
                <c:pt idx="0">
                  <c:v>2012</c:v>
                </c:pt>
                <c:pt idx="1">
                  <c:v>2013</c:v>
                </c:pt>
                <c:pt idx="2">
                  <c:v>2014</c:v>
                </c:pt>
                <c:pt idx="3">
                  <c:v>2015</c:v>
                </c:pt>
                <c:pt idx="4">
                  <c:v>2016</c:v>
                </c:pt>
                <c:pt idx="5">
                  <c:v>2017</c:v>
                </c:pt>
              </c:numCache>
            </c:numRef>
          </c:cat>
          <c:val>
            <c:numRef>
              <c:f>Lapas1!$C$89:$H$89</c:f>
              <c:numCache>
                <c:formatCode>General</c:formatCode>
                <c:ptCount val="6"/>
                <c:pt idx="0">
                  <c:v>14.9</c:v>
                </c:pt>
                <c:pt idx="1">
                  <c:v>9.5</c:v>
                </c:pt>
                <c:pt idx="2">
                  <c:v>9.4</c:v>
                </c:pt>
                <c:pt idx="3">
                  <c:v>7.8</c:v>
                </c:pt>
                <c:pt idx="4">
                  <c:v>9.1999999999999993</c:v>
                </c:pt>
                <c:pt idx="5">
                  <c:v>6.5</c:v>
                </c:pt>
              </c:numCache>
            </c:numRef>
          </c:val>
          <c:smooth val="0"/>
        </c:ser>
        <c:ser>
          <c:idx val="3"/>
          <c:order val="3"/>
          <c:tx>
            <c:strRef>
              <c:f>Lapas1!$B$90</c:f>
              <c:strCache>
                <c:ptCount val="1"/>
                <c:pt idx="0">
                  <c:v>Iš viso</c:v>
                </c:pt>
              </c:strCache>
            </c:strRef>
          </c:tx>
          <c:dLbls>
            <c:showLegendKey val="0"/>
            <c:showVal val="1"/>
            <c:showCatName val="0"/>
            <c:showSerName val="0"/>
            <c:showPercent val="0"/>
            <c:showBubbleSize val="0"/>
            <c:showLeaderLines val="0"/>
          </c:dLbls>
          <c:cat>
            <c:numRef>
              <c:f>Lapas1!$C$86:$H$86</c:f>
              <c:numCache>
                <c:formatCode>General</c:formatCode>
                <c:ptCount val="6"/>
                <c:pt idx="0">
                  <c:v>2012</c:v>
                </c:pt>
                <c:pt idx="1">
                  <c:v>2013</c:v>
                </c:pt>
                <c:pt idx="2">
                  <c:v>2014</c:v>
                </c:pt>
                <c:pt idx="3">
                  <c:v>2015</c:v>
                </c:pt>
                <c:pt idx="4">
                  <c:v>2016</c:v>
                </c:pt>
                <c:pt idx="5">
                  <c:v>2017</c:v>
                </c:pt>
              </c:numCache>
            </c:numRef>
          </c:cat>
          <c:val>
            <c:numRef>
              <c:f>Lapas1!$C$90:$H$90</c:f>
              <c:numCache>
                <c:formatCode>General</c:formatCode>
                <c:ptCount val="6"/>
                <c:pt idx="0">
                  <c:v>11.9</c:v>
                </c:pt>
                <c:pt idx="1">
                  <c:v>8.6</c:v>
                </c:pt>
                <c:pt idx="2">
                  <c:v>7</c:v>
                </c:pt>
                <c:pt idx="3">
                  <c:v>7.2</c:v>
                </c:pt>
                <c:pt idx="4">
                  <c:v>6.2</c:v>
                </c:pt>
                <c:pt idx="5">
                  <c:v>7</c:v>
                </c:pt>
              </c:numCache>
            </c:numRef>
          </c:val>
          <c:smooth val="0"/>
        </c:ser>
        <c:dLbls>
          <c:showLegendKey val="0"/>
          <c:showVal val="0"/>
          <c:showCatName val="0"/>
          <c:showSerName val="0"/>
          <c:showPercent val="0"/>
          <c:showBubbleSize val="0"/>
        </c:dLbls>
        <c:marker val="1"/>
        <c:smooth val="0"/>
        <c:axId val="102484992"/>
        <c:axId val="101276992"/>
      </c:lineChart>
      <c:catAx>
        <c:axId val="102484992"/>
        <c:scaling>
          <c:orientation val="minMax"/>
        </c:scaling>
        <c:delete val="0"/>
        <c:axPos val="b"/>
        <c:numFmt formatCode="General" sourceLinked="1"/>
        <c:majorTickMark val="out"/>
        <c:minorTickMark val="none"/>
        <c:tickLblPos val="nextTo"/>
        <c:crossAx val="101276992"/>
        <c:crosses val="autoZero"/>
        <c:auto val="1"/>
        <c:lblAlgn val="ctr"/>
        <c:lblOffset val="100"/>
        <c:noMultiLvlLbl val="0"/>
      </c:catAx>
      <c:valAx>
        <c:axId val="101276992"/>
        <c:scaling>
          <c:orientation val="minMax"/>
        </c:scaling>
        <c:delete val="0"/>
        <c:axPos val="l"/>
        <c:majorGridlines/>
        <c:numFmt formatCode="General" sourceLinked="1"/>
        <c:majorTickMark val="out"/>
        <c:minorTickMark val="none"/>
        <c:tickLblPos val="nextTo"/>
        <c:crossAx val="102484992"/>
        <c:crosses val="autoZero"/>
        <c:crossBetween val="between"/>
      </c:valAx>
    </c:plotArea>
    <c:legend>
      <c:legendPos val="r"/>
      <c:layout>
        <c:manualLayout>
          <c:xMode val="edge"/>
          <c:yMode val="edge"/>
          <c:x val="0.7069197925062517"/>
          <c:y val="9.5686789151356103E-2"/>
          <c:w val="0.27834203401740143"/>
          <c:h val="0.73251389758902463"/>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020542707752082E-2"/>
          <c:y val="5.7825623359580053E-2"/>
          <c:w val="0.72626986587306508"/>
          <c:h val="0.78044701443569553"/>
        </c:manualLayout>
      </c:layout>
      <c:lineChart>
        <c:grouping val="standard"/>
        <c:varyColors val="0"/>
        <c:ser>
          <c:idx val="0"/>
          <c:order val="0"/>
          <c:tx>
            <c:strRef>
              <c:f>Lapas1!$G$103</c:f>
              <c:strCache>
                <c:ptCount val="1"/>
                <c:pt idx="0">
                  <c:v>Plungė</c:v>
                </c:pt>
              </c:strCache>
            </c:strRef>
          </c:tx>
          <c:dLbls>
            <c:showLegendKey val="0"/>
            <c:showVal val="1"/>
            <c:showCatName val="0"/>
            <c:showSerName val="0"/>
            <c:showPercent val="0"/>
            <c:showBubbleSize val="0"/>
            <c:showLeaderLines val="0"/>
          </c:dLbls>
          <c:cat>
            <c:numRef>
              <c:f>Lapas1!$H$102:$K$102</c:f>
              <c:numCache>
                <c:formatCode>General</c:formatCode>
                <c:ptCount val="4"/>
                <c:pt idx="0">
                  <c:v>2014</c:v>
                </c:pt>
                <c:pt idx="1">
                  <c:v>2015</c:v>
                </c:pt>
                <c:pt idx="2">
                  <c:v>2016</c:v>
                </c:pt>
                <c:pt idx="3">
                  <c:v>2017</c:v>
                </c:pt>
              </c:numCache>
            </c:numRef>
          </c:cat>
          <c:val>
            <c:numRef>
              <c:f>Lapas1!$H$103:$K$103</c:f>
              <c:numCache>
                <c:formatCode>General</c:formatCode>
                <c:ptCount val="4"/>
                <c:pt idx="0">
                  <c:v>32.700000000000003</c:v>
                </c:pt>
                <c:pt idx="1">
                  <c:v>37.700000000000003</c:v>
                </c:pt>
                <c:pt idx="2">
                  <c:v>23.4</c:v>
                </c:pt>
                <c:pt idx="3">
                  <c:v>10.6</c:v>
                </c:pt>
              </c:numCache>
            </c:numRef>
          </c:val>
          <c:smooth val="0"/>
        </c:ser>
        <c:ser>
          <c:idx val="1"/>
          <c:order val="1"/>
          <c:tx>
            <c:strRef>
              <c:f>Lapas1!$G$104</c:f>
              <c:strCache>
                <c:ptCount val="1"/>
                <c:pt idx="0">
                  <c:v>Telšių apskr.</c:v>
                </c:pt>
              </c:strCache>
            </c:strRef>
          </c:tx>
          <c:dLbls>
            <c:showLegendKey val="0"/>
            <c:showVal val="1"/>
            <c:showCatName val="0"/>
            <c:showSerName val="0"/>
            <c:showPercent val="0"/>
            <c:showBubbleSize val="0"/>
            <c:showLeaderLines val="0"/>
          </c:dLbls>
          <c:cat>
            <c:numRef>
              <c:f>Lapas1!$H$102:$K$102</c:f>
              <c:numCache>
                <c:formatCode>General</c:formatCode>
                <c:ptCount val="4"/>
                <c:pt idx="0">
                  <c:v>2014</c:v>
                </c:pt>
                <c:pt idx="1">
                  <c:v>2015</c:v>
                </c:pt>
                <c:pt idx="2">
                  <c:v>2016</c:v>
                </c:pt>
                <c:pt idx="3">
                  <c:v>2017</c:v>
                </c:pt>
              </c:numCache>
            </c:numRef>
          </c:cat>
          <c:val>
            <c:numRef>
              <c:f>Lapas1!$H$104:$K$104</c:f>
              <c:numCache>
                <c:formatCode>General</c:formatCode>
                <c:ptCount val="4"/>
                <c:pt idx="0">
                  <c:v>23.4</c:v>
                </c:pt>
                <c:pt idx="1">
                  <c:v>27.3</c:v>
                </c:pt>
                <c:pt idx="2">
                  <c:v>25.2</c:v>
                </c:pt>
                <c:pt idx="3">
                  <c:v>25.8</c:v>
                </c:pt>
              </c:numCache>
            </c:numRef>
          </c:val>
          <c:smooth val="0"/>
        </c:ser>
        <c:ser>
          <c:idx val="2"/>
          <c:order val="2"/>
          <c:tx>
            <c:strRef>
              <c:f>Lapas1!$G$105</c:f>
              <c:strCache>
                <c:ptCount val="1"/>
                <c:pt idx="0">
                  <c:v>Lietuva</c:v>
                </c:pt>
              </c:strCache>
            </c:strRef>
          </c:tx>
          <c:dLbls>
            <c:showLegendKey val="0"/>
            <c:showVal val="1"/>
            <c:showCatName val="0"/>
            <c:showSerName val="0"/>
            <c:showPercent val="0"/>
            <c:showBubbleSize val="0"/>
            <c:showLeaderLines val="0"/>
          </c:dLbls>
          <c:cat>
            <c:numRef>
              <c:f>Lapas1!$H$102:$K$102</c:f>
              <c:numCache>
                <c:formatCode>General</c:formatCode>
                <c:ptCount val="4"/>
                <c:pt idx="0">
                  <c:v>2014</c:v>
                </c:pt>
                <c:pt idx="1">
                  <c:v>2015</c:v>
                </c:pt>
                <c:pt idx="2">
                  <c:v>2016</c:v>
                </c:pt>
                <c:pt idx="3">
                  <c:v>2017</c:v>
                </c:pt>
              </c:numCache>
            </c:numRef>
          </c:cat>
          <c:val>
            <c:numRef>
              <c:f>Lapas1!$H$105:$K$105</c:f>
              <c:numCache>
                <c:formatCode>General</c:formatCode>
                <c:ptCount val="4"/>
                <c:pt idx="0">
                  <c:v>31.3</c:v>
                </c:pt>
                <c:pt idx="1">
                  <c:v>32</c:v>
                </c:pt>
                <c:pt idx="2">
                  <c:v>35.4</c:v>
                </c:pt>
                <c:pt idx="3">
                  <c:v>34.299999999999997</c:v>
                </c:pt>
              </c:numCache>
            </c:numRef>
          </c:val>
          <c:smooth val="0"/>
        </c:ser>
        <c:dLbls>
          <c:showLegendKey val="0"/>
          <c:showVal val="0"/>
          <c:showCatName val="0"/>
          <c:showSerName val="0"/>
          <c:showPercent val="0"/>
          <c:showBubbleSize val="0"/>
        </c:dLbls>
        <c:marker val="1"/>
        <c:smooth val="0"/>
        <c:axId val="102794240"/>
        <c:axId val="101275840"/>
      </c:lineChart>
      <c:catAx>
        <c:axId val="102794240"/>
        <c:scaling>
          <c:orientation val="minMax"/>
        </c:scaling>
        <c:delete val="0"/>
        <c:axPos val="b"/>
        <c:numFmt formatCode="General" sourceLinked="1"/>
        <c:majorTickMark val="out"/>
        <c:minorTickMark val="none"/>
        <c:tickLblPos val="nextTo"/>
        <c:crossAx val="101275840"/>
        <c:crosses val="autoZero"/>
        <c:auto val="1"/>
        <c:lblAlgn val="ctr"/>
        <c:lblOffset val="100"/>
        <c:noMultiLvlLbl val="0"/>
      </c:catAx>
      <c:valAx>
        <c:axId val="101275840"/>
        <c:scaling>
          <c:orientation val="minMax"/>
        </c:scaling>
        <c:delete val="0"/>
        <c:axPos val="l"/>
        <c:majorGridlines/>
        <c:numFmt formatCode="General" sourceLinked="1"/>
        <c:majorTickMark val="out"/>
        <c:minorTickMark val="none"/>
        <c:tickLblPos val="nextTo"/>
        <c:crossAx val="102794240"/>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731938057423363"/>
          <c:y val="0.17798648718894319"/>
          <c:w val="0.38767980679731329"/>
          <c:h val="0.60520588293046906"/>
        </c:manualLayout>
      </c:layout>
      <c:radarChart>
        <c:radarStyle val="marker"/>
        <c:varyColors val="0"/>
        <c:ser>
          <c:idx val="0"/>
          <c:order val="0"/>
          <c:tx>
            <c:strRef>
              <c:f>Lapas1!$G$12</c:f>
              <c:strCache>
                <c:ptCount val="1"/>
                <c:pt idx="0">
                  <c:v>Santykis, Plungės r. sav./LT</c:v>
                </c:pt>
              </c:strCache>
            </c:strRef>
          </c:tx>
          <c:dLbls>
            <c:showLegendKey val="0"/>
            <c:showVal val="1"/>
            <c:showCatName val="0"/>
            <c:showSerName val="0"/>
            <c:showPercent val="0"/>
            <c:showBubbleSize val="0"/>
            <c:showLeaderLines val="0"/>
          </c:dLbls>
          <c:cat>
            <c:strRef>
              <c:f>Lapas1!$H$11:$K$11</c:f>
              <c:strCache>
                <c:ptCount val="4"/>
                <c:pt idx="0">
                  <c:v>Mamografinė patikra dėl krūties vėžio</c:v>
                </c:pt>
                <c:pt idx="1">
                  <c:v>Gimdos kaklelio piktybinių navikų prevencinė prorgrama </c:v>
                </c:pt>
                <c:pt idx="2">
                  <c:v>Storosios žarnos vėžio ankstyvosios diagnostikos prevencinė programa</c:v>
                </c:pt>
                <c:pt idx="3">
                  <c:v>Širdies ir kraujagyslių ligų prvencinė programa</c:v>
                </c:pt>
              </c:strCache>
            </c:strRef>
          </c:cat>
          <c:val>
            <c:numRef>
              <c:f>Lapas1!$H$12:$K$12</c:f>
              <c:numCache>
                <c:formatCode>General</c:formatCode>
                <c:ptCount val="4"/>
                <c:pt idx="0">
                  <c:v>0.6</c:v>
                </c:pt>
                <c:pt idx="1">
                  <c:v>0.9</c:v>
                </c:pt>
                <c:pt idx="2">
                  <c:v>0.87</c:v>
                </c:pt>
                <c:pt idx="3">
                  <c:v>1</c:v>
                </c:pt>
              </c:numCache>
            </c:numRef>
          </c:val>
        </c:ser>
        <c:ser>
          <c:idx val="1"/>
          <c:order val="1"/>
          <c:tx>
            <c:strRef>
              <c:f>Lapas1!$G$13</c:f>
              <c:strCache>
                <c:ptCount val="1"/>
                <c:pt idx="0">
                  <c:v>Lietuva</c:v>
                </c:pt>
              </c:strCache>
            </c:strRef>
          </c:tx>
          <c:dLbls>
            <c:showLegendKey val="0"/>
            <c:showVal val="1"/>
            <c:showCatName val="0"/>
            <c:showSerName val="0"/>
            <c:showPercent val="0"/>
            <c:showBubbleSize val="0"/>
            <c:showLeaderLines val="0"/>
          </c:dLbls>
          <c:cat>
            <c:strRef>
              <c:f>Lapas1!$H$11:$K$11</c:f>
              <c:strCache>
                <c:ptCount val="4"/>
                <c:pt idx="0">
                  <c:v>Mamografinė patikra dėl krūties vėžio</c:v>
                </c:pt>
                <c:pt idx="1">
                  <c:v>Gimdos kaklelio piktybinių navikų prevencinė prorgrama </c:v>
                </c:pt>
                <c:pt idx="2">
                  <c:v>Storosios žarnos vėžio ankstyvosios diagnostikos prevencinė programa</c:v>
                </c:pt>
                <c:pt idx="3">
                  <c:v>Širdies ir kraujagyslių ligų prvencinė programa</c:v>
                </c:pt>
              </c:strCache>
            </c:strRef>
          </c:cat>
          <c:val>
            <c:numRef>
              <c:f>Lapas1!$H$13:$K$13</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axId val="102794752"/>
        <c:axId val="101276416"/>
      </c:radarChart>
      <c:catAx>
        <c:axId val="102794752"/>
        <c:scaling>
          <c:orientation val="minMax"/>
        </c:scaling>
        <c:delete val="0"/>
        <c:axPos val="b"/>
        <c:majorGridlines/>
        <c:majorTickMark val="out"/>
        <c:minorTickMark val="none"/>
        <c:tickLblPos val="nextTo"/>
        <c:crossAx val="101276416"/>
        <c:crosses val="autoZero"/>
        <c:auto val="1"/>
        <c:lblAlgn val="ctr"/>
        <c:lblOffset val="100"/>
        <c:noMultiLvlLbl val="0"/>
      </c:catAx>
      <c:valAx>
        <c:axId val="101276416"/>
        <c:scaling>
          <c:orientation val="minMax"/>
          <c:max val="1.2"/>
        </c:scaling>
        <c:delete val="0"/>
        <c:axPos val="l"/>
        <c:majorGridlines/>
        <c:numFmt formatCode="General" sourceLinked="1"/>
        <c:majorTickMark val="cross"/>
        <c:minorTickMark val="none"/>
        <c:tickLblPos val="nextTo"/>
        <c:crossAx val="102794752"/>
        <c:crosses val="autoZero"/>
        <c:crossBetween val="between"/>
        <c:majorUnit val="0.2"/>
      </c:valAx>
    </c:plotArea>
    <c:legend>
      <c:legendPos val="r"/>
      <c:layout>
        <c:manualLayout>
          <c:xMode val="edge"/>
          <c:yMode val="edge"/>
          <c:x val="0.81179578269956765"/>
          <c:y val="9.9039564498882085E-2"/>
          <c:w val="0.15333856542884544"/>
          <c:h val="0.3870477954961512"/>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Lapas1!$G$118</c:f>
              <c:strCache>
                <c:ptCount val="1"/>
                <c:pt idx="0">
                  <c:v>UAB "Klinika Pulsas"</c:v>
                </c:pt>
              </c:strCache>
            </c:strRef>
          </c:tx>
          <c:dLbls>
            <c:showLegendKey val="0"/>
            <c:showVal val="1"/>
            <c:showCatName val="0"/>
            <c:showSerName val="0"/>
            <c:showPercent val="0"/>
            <c:showBubbleSize val="0"/>
            <c:showLeaderLines val="0"/>
          </c:dLbls>
          <c:cat>
            <c:strRef>
              <c:f>Lapas1!$H$117:$J$117</c:f>
              <c:strCache>
                <c:ptCount val="3"/>
                <c:pt idx="0">
                  <c:v>2016 I pusm.</c:v>
                </c:pt>
                <c:pt idx="1">
                  <c:v>2017 I pusm.</c:v>
                </c:pt>
                <c:pt idx="2">
                  <c:v>2018 I pusm.</c:v>
                </c:pt>
              </c:strCache>
            </c:strRef>
          </c:cat>
          <c:val>
            <c:numRef>
              <c:f>Lapas1!$H$118:$J$118</c:f>
              <c:numCache>
                <c:formatCode>General</c:formatCode>
                <c:ptCount val="3"/>
                <c:pt idx="0">
                  <c:v>30.8</c:v>
                </c:pt>
                <c:pt idx="1">
                  <c:v>19.8</c:v>
                </c:pt>
                <c:pt idx="2">
                  <c:v>32.700000000000003</c:v>
                </c:pt>
              </c:numCache>
            </c:numRef>
          </c:val>
          <c:smooth val="0"/>
        </c:ser>
        <c:ser>
          <c:idx val="1"/>
          <c:order val="1"/>
          <c:tx>
            <c:strRef>
              <c:f>Lapas1!$G$119</c:f>
              <c:strCache>
                <c:ptCount val="1"/>
                <c:pt idx="0">
                  <c:v>A. Klišonio komercinė firma "Inesa"</c:v>
                </c:pt>
              </c:strCache>
            </c:strRef>
          </c:tx>
          <c:dLbls>
            <c:showLegendKey val="0"/>
            <c:showVal val="1"/>
            <c:showCatName val="0"/>
            <c:showSerName val="0"/>
            <c:showPercent val="0"/>
            <c:showBubbleSize val="0"/>
            <c:showLeaderLines val="0"/>
          </c:dLbls>
          <c:cat>
            <c:strRef>
              <c:f>Lapas1!$H$117:$J$117</c:f>
              <c:strCache>
                <c:ptCount val="3"/>
                <c:pt idx="0">
                  <c:v>2016 I pusm.</c:v>
                </c:pt>
                <c:pt idx="1">
                  <c:v>2017 I pusm.</c:v>
                </c:pt>
                <c:pt idx="2">
                  <c:v>2018 I pusm.</c:v>
                </c:pt>
              </c:strCache>
            </c:strRef>
          </c:cat>
          <c:val>
            <c:numRef>
              <c:f>Lapas1!$H$119:$J$119</c:f>
              <c:numCache>
                <c:formatCode>General</c:formatCode>
                <c:ptCount val="3"/>
                <c:pt idx="0">
                  <c:v>33</c:v>
                </c:pt>
                <c:pt idx="1">
                  <c:v>17.3</c:v>
                </c:pt>
                <c:pt idx="2">
                  <c:v>31.7</c:v>
                </c:pt>
              </c:numCache>
            </c:numRef>
          </c:val>
          <c:smooth val="0"/>
        </c:ser>
        <c:ser>
          <c:idx val="2"/>
          <c:order val="2"/>
          <c:tx>
            <c:strRef>
              <c:f>Lapas1!$G$120</c:f>
              <c:strCache>
                <c:ptCount val="1"/>
                <c:pt idx="0">
                  <c:v>UAB "Plungės sveikatos centras"</c:v>
                </c:pt>
              </c:strCache>
            </c:strRef>
          </c:tx>
          <c:dLbls>
            <c:showLegendKey val="0"/>
            <c:showVal val="1"/>
            <c:showCatName val="0"/>
            <c:showSerName val="0"/>
            <c:showPercent val="0"/>
            <c:showBubbleSize val="0"/>
            <c:showLeaderLines val="0"/>
          </c:dLbls>
          <c:cat>
            <c:strRef>
              <c:f>Lapas1!$H$117:$J$117</c:f>
              <c:strCache>
                <c:ptCount val="3"/>
                <c:pt idx="0">
                  <c:v>2016 I pusm.</c:v>
                </c:pt>
                <c:pt idx="1">
                  <c:v>2017 I pusm.</c:v>
                </c:pt>
                <c:pt idx="2">
                  <c:v>2018 I pusm.</c:v>
                </c:pt>
              </c:strCache>
            </c:strRef>
          </c:cat>
          <c:val>
            <c:numRef>
              <c:f>Lapas1!$H$120:$J$120</c:f>
              <c:numCache>
                <c:formatCode>General</c:formatCode>
                <c:ptCount val="3"/>
                <c:pt idx="0">
                  <c:v>22.2</c:v>
                </c:pt>
                <c:pt idx="1">
                  <c:v>30.6</c:v>
                </c:pt>
                <c:pt idx="2">
                  <c:v>28.7</c:v>
                </c:pt>
              </c:numCache>
            </c:numRef>
          </c:val>
          <c:smooth val="0"/>
        </c:ser>
        <c:ser>
          <c:idx val="3"/>
          <c:order val="3"/>
          <c:tx>
            <c:strRef>
              <c:f>Lapas1!$G$121</c:f>
              <c:strCache>
                <c:ptCount val="1"/>
                <c:pt idx="0">
                  <c:v>Iš viso</c:v>
                </c:pt>
              </c:strCache>
            </c:strRef>
          </c:tx>
          <c:dLbls>
            <c:showLegendKey val="0"/>
            <c:showVal val="1"/>
            <c:showCatName val="0"/>
            <c:showSerName val="0"/>
            <c:showPercent val="0"/>
            <c:showBubbleSize val="0"/>
            <c:showLeaderLines val="0"/>
          </c:dLbls>
          <c:cat>
            <c:strRef>
              <c:f>Lapas1!$H$117:$J$117</c:f>
              <c:strCache>
                <c:ptCount val="3"/>
                <c:pt idx="0">
                  <c:v>2016 I pusm.</c:v>
                </c:pt>
                <c:pt idx="1">
                  <c:v>2017 I pusm.</c:v>
                </c:pt>
                <c:pt idx="2">
                  <c:v>2018 I pusm.</c:v>
                </c:pt>
              </c:strCache>
            </c:strRef>
          </c:cat>
          <c:val>
            <c:numRef>
              <c:f>Lapas1!$H$121:$J$121</c:f>
              <c:numCache>
                <c:formatCode>General</c:formatCode>
                <c:ptCount val="3"/>
                <c:pt idx="0">
                  <c:v>27.6</c:v>
                </c:pt>
                <c:pt idx="1">
                  <c:v>23.9</c:v>
                </c:pt>
                <c:pt idx="2">
                  <c:v>30.6</c:v>
                </c:pt>
              </c:numCache>
            </c:numRef>
          </c:val>
          <c:smooth val="0"/>
        </c:ser>
        <c:dLbls>
          <c:showLegendKey val="0"/>
          <c:showVal val="0"/>
          <c:showCatName val="0"/>
          <c:showSerName val="0"/>
          <c:showPercent val="0"/>
          <c:showBubbleSize val="0"/>
        </c:dLbls>
        <c:marker val="1"/>
        <c:smooth val="0"/>
        <c:axId val="118773760"/>
        <c:axId val="101281152"/>
      </c:lineChart>
      <c:catAx>
        <c:axId val="118773760"/>
        <c:scaling>
          <c:orientation val="minMax"/>
        </c:scaling>
        <c:delete val="0"/>
        <c:axPos val="b"/>
        <c:majorTickMark val="out"/>
        <c:minorTickMark val="none"/>
        <c:tickLblPos val="nextTo"/>
        <c:crossAx val="101281152"/>
        <c:crosses val="autoZero"/>
        <c:auto val="1"/>
        <c:lblAlgn val="ctr"/>
        <c:lblOffset val="100"/>
        <c:noMultiLvlLbl val="0"/>
      </c:catAx>
      <c:valAx>
        <c:axId val="101281152"/>
        <c:scaling>
          <c:orientation val="minMax"/>
          <c:min val="10"/>
        </c:scaling>
        <c:delete val="0"/>
        <c:axPos val="l"/>
        <c:majorGridlines/>
        <c:numFmt formatCode="General" sourceLinked="1"/>
        <c:majorTickMark val="out"/>
        <c:minorTickMark val="none"/>
        <c:tickLblPos val="nextTo"/>
        <c:crossAx val="118773760"/>
        <c:crosses val="autoZero"/>
        <c:crossBetween val="between"/>
        <c:majorUnit val="5"/>
      </c:valAx>
      <c:spPr>
        <a:ln>
          <a:noFill/>
        </a:ln>
      </c:spPr>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A1B8-3976-42A1-BD9A-FEC98507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D82763C2</Template>
  <TotalTime>3820</TotalTime>
  <Pages>19</Pages>
  <Words>23495</Words>
  <Characters>13393</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Jovita Šumskienė</cp:lastModifiedBy>
  <cp:revision>68</cp:revision>
  <cp:lastPrinted>2019-01-16T11:22:00Z</cp:lastPrinted>
  <dcterms:created xsi:type="dcterms:W3CDTF">2018-11-20T08:30:00Z</dcterms:created>
  <dcterms:modified xsi:type="dcterms:W3CDTF">2019-01-31T07:22:00Z</dcterms:modified>
</cp:coreProperties>
</file>