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66440E" w:rsidTr="0066440E">
        <w:trPr>
          <w:trHeight w:val="1275"/>
        </w:trPr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0E" w:rsidRDefault="0066440E">
            <w:pPr>
              <w:ind w:firstLine="7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Projektas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5"/>
            </w:tblGrid>
            <w:tr w:rsidR="0066440E">
              <w:trPr>
                <w:trHeight w:val="412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440E" w:rsidRDefault="0066440E">
                  <w:pPr>
                    <w:keepNext/>
                    <w:jc w:val="center"/>
                    <w:outlineLvl w:val="1"/>
                    <w:rPr>
                      <w:b/>
                      <w:noProof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t xml:space="preserve">PLUNGĖS RAJONO SAVIVALDYBĖS </w:t>
                  </w:r>
                  <w:r>
                    <w:rPr>
                      <w:b/>
                      <w:noProof/>
                      <w:sz w:val="28"/>
                    </w:rPr>
                    <w:br/>
                    <w:t>TARYBA</w:t>
                  </w:r>
                </w:p>
              </w:tc>
            </w:tr>
            <w:tr w:rsidR="0066440E">
              <w:trPr>
                <w:trHeight w:val="547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6440E" w:rsidRDefault="006644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SPRENDIMAS </w:t>
                  </w:r>
                </w:p>
              </w:tc>
            </w:tr>
            <w:tr w:rsidR="0066440E">
              <w:trPr>
                <w:trHeight w:val="324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440E" w:rsidRDefault="006644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DĖL PLUNGĖS RAJONO SAVIVALDYBĖS 2017 METŲ BIUDŽETO VYKDYMO ATASKAITŲ RINKINIO PATVIRTINIMO</w:t>
                  </w:r>
                </w:p>
              </w:tc>
            </w:tr>
            <w:tr w:rsidR="0066440E">
              <w:trPr>
                <w:cantSplit/>
                <w:trHeight w:val="324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440E" w:rsidRDefault="0066440E">
                  <w:pPr>
                    <w:spacing w:before="240"/>
                    <w:ind w:left="-6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2018 m. liepos 26 d. Nr.</w:t>
                  </w:r>
                  <w:r w:rsidR="0071594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T1-</w:t>
                  </w:r>
                </w:p>
              </w:tc>
            </w:tr>
            <w:tr w:rsidR="0066440E">
              <w:trPr>
                <w:trHeight w:val="324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440E" w:rsidRDefault="0066440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Plungė</w:t>
                  </w:r>
                </w:p>
                <w:p w:rsidR="0066440E" w:rsidRDefault="0066440E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6440E" w:rsidRDefault="0066440E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Vadovaudamasi Lietuvos Respublikos biudžeto sandaros įstatymo 36 straipsnio 3 dalimi ir Lietuvos Respublikos vietos savivaldos įstatymo 16 straipsnio 2 dalies 15 punktu, Plungės rajono savivaldybės taryba  n u s p r e n d ž i a:</w:t>
            </w:r>
          </w:p>
          <w:p w:rsidR="0066440E" w:rsidRDefault="0066440E" w:rsidP="0066440E">
            <w:pPr>
              <w:numPr>
                <w:ilvl w:val="0"/>
                <w:numId w:val="20"/>
              </w:numPr>
              <w:ind w:left="1140"/>
              <w:jc w:val="both"/>
              <w:rPr>
                <w:sz w:val="24"/>
              </w:rPr>
            </w:pPr>
            <w:r>
              <w:rPr>
                <w:sz w:val="24"/>
              </w:rPr>
              <w:t>Patvirtinti pridedamus:</w:t>
            </w:r>
          </w:p>
          <w:p w:rsidR="0066440E" w:rsidRDefault="0066440E">
            <w:pPr>
              <w:ind w:firstLine="780"/>
              <w:jc w:val="both"/>
              <w:rPr>
                <w:sz w:val="24"/>
              </w:rPr>
            </w:pPr>
            <w:r>
              <w:rPr>
                <w:sz w:val="24"/>
              </w:rPr>
              <w:t>1.1. Plungės rajono savivaldybės 2017 metų biudžeto vykdymo ataskaitų rinkinį (1 priedas):</w:t>
            </w:r>
          </w:p>
          <w:p w:rsidR="0066440E" w:rsidRDefault="0066440E">
            <w:pPr>
              <w:ind w:left="780"/>
              <w:jc w:val="both"/>
              <w:rPr>
                <w:sz w:val="24"/>
              </w:rPr>
            </w:pPr>
            <w:r>
              <w:rPr>
                <w:sz w:val="24"/>
              </w:rPr>
              <w:t>1.1.1. Biudžeto pajamų ir išlaidų plano vykdymo 2017 m. gruodžio 31 d. ataskaitą</w:t>
            </w:r>
          </w:p>
          <w:p w:rsidR="0066440E" w:rsidRDefault="0066440E">
            <w:pPr>
              <w:jc w:val="both"/>
              <w:rPr>
                <w:sz w:val="24"/>
              </w:rPr>
            </w:pPr>
            <w:r>
              <w:rPr>
                <w:sz w:val="24"/>
              </w:rPr>
              <w:t>(forma Nr. 1-sav.);</w:t>
            </w:r>
          </w:p>
          <w:p w:rsidR="0066440E" w:rsidRDefault="006644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F21CF6">
              <w:rPr>
                <w:sz w:val="24"/>
              </w:rPr>
              <w:t xml:space="preserve"> </w:t>
            </w:r>
            <w:r>
              <w:rPr>
                <w:sz w:val="24"/>
              </w:rPr>
              <w:t>1.1.2. Biudžeto išlaidų sąmatos vykdymo 2017 m. gruodžio 31 d. ataskaitą (forma Nr. 2-sav.);</w:t>
            </w:r>
          </w:p>
          <w:p w:rsidR="0066440E" w:rsidRDefault="006644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F21CF6">
              <w:rPr>
                <w:sz w:val="24"/>
              </w:rPr>
              <w:t xml:space="preserve"> </w:t>
            </w:r>
            <w:r>
              <w:rPr>
                <w:sz w:val="24"/>
              </w:rPr>
              <w:t>1.1.3. Paaiškinimą  prie Plungės rajono savivaldybės 2017 metų biudžeto vykdymo ataskaitos;</w:t>
            </w:r>
          </w:p>
          <w:p w:rsidR="0066440E" w:rsidRDefault="0066440E">
            <w:pPr>
              <w:ind w:firstLine="780"/>
              <w:jc w:val="both"/>
              <w:rPr>
                <w:sz w:val="24"/>
              </w:rPr>
            </w:pPr>
            <w:r>
              <w:rPr>
                <w:sz w:val="24"/>
              </w:rPr>
              <w:t>1.2. 32 713,4 tūkst. eurų pajamų (2 priedas), iš jų: 167,8 tūkst. Eurų - iš Savivaldybės biudžeto išlaikomų įstaigų gautų pajamų už atsitiktines paslaugas; 509,0 tūkst. eurų - įmokų už išlaikymą švietimo, socialinės apsaugos ir kitose įstaigose ir 157,7 tūkst. eurų - už patalpų nuomą  (3 priedas).</w:t>
            </w:r>
          </w:p>
          <w:p w:rsidR="0066440E" w:rsidRDefault="0066440E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1.3. 33 241,8 tūkst. eurų išlaidų (32 424,0 tūkst. eurų - asignavimų ir 817,8 tūkst. eurų - paskoloms grąžinti); iš jų: 13 735,5 tūkst. eurų - darbo užmokesčiui ir 5 969,7 tūkst. eurų - turtui įsigyti:</w:t>
            </w:r>
          </w:p>
          <w:p w:rsidR="0066440E" w:rsidRDefault="0066440E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1.3.1. 17 051,3 tūkst. eurų - </w:t>
            </w:r>
            <w:proofErr w:type="spellStart"/>
            <w:r>
              <w:rPr>
                <w:sz w:val="24"/>
              </w:rPr>
              <w:t>savarankiškosioms</w:t>
            </w:r>
            <w:proofErr w:type="spellEnd"/>
            <w:r>
              <w:rPr>
                <w:sz w:val="24"/>
              </w:rPr>
              <w:t xml:space="preserve"> savivaldybės funkcijoms vykdyti (4 priedas);</w:t>
            </w:r>
          </w:p>
          <w:p w:rsidR="0066440E" w:rsidRDefault="0066440E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1.3.2. 2 082,7 tūkst. eurų - valstybinėms (perduotoms savivaldybėms) funkcijoms  vykdyti (5 priedas);</w:t>
            </w:r>
          </w:p>
          <w:p w:rsidR="0066440E" w:rsidRDefault="00F21CF6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1.3.3. </w:t>
            </w:r>
            <w:r w:rsidR="0066440E">
              <w:rPr>
                <w:sz w:val="24"/>
              </w:rPr>
              <w:t>7 547,3 tūkst. eurų - įstaigoms iš mokinio krepšelio finansuoti (6 priedas);</w:t>
            </w:r>
          </w:p>
          <w:p w:rsidR="0066440E" w:rsidRDefault="00F21CF6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1.3.4. </w:t>
            </w:r>
            <w:bookmarkStart w:id="0" w:name="_GoBack"/>
            <w:bookmarkEnd w:id="0"/>
            <w:r w:rsidR="0066440E">
              <w:rPr>
                <w:sz w:val="24"/>
              </w:rPr>
              <w:t>5 086,9 tūkst. eurų - įstaigoms ir projektams iš kitų dotacijų finansuoti (7 priedas);</w:t>
            </w:r>
          </w:p>
          <w:p w:rsidR="0066440E" w:rsidRDefault="0066440E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1.3.5. 834,3 tūkst. eurų - biudžetinių įstaigų gautų lėšų ir pajamų už nuomą (8 priedas);</w:t>
            </w:r>
          </w:p>
          <w:p w:rsidR="0066440E" w:rsidRDefault="0066440E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1.3.6. 639,3 tūkst. eurų – 2016 metais nepanaudotų biudžeto lėšų 2017 m. sausio 1 d. esantiems įsiskolinimams padengti ir tikslinės paskirties programoms finansuoti (9 priedas);</w:t>
            </w:r>
          </w:p>
          <w:p w:rsidR="0066440E" w:rsidRDefault="0066440E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1.3.7. biudžeto asignavimų panaudojimo pagal 2016-2018 metų strateginio veiklos plano programas (10 priedas).</w:t>
            </w:r>
          </w:p>
          <w:p w:rsidR="0066440E" w:rsidRDefault="0066440E">
            <w:pPr>
              <w:ind w:firstLine="720"/>
              <w:jc w:val="both"/>
              <w:rPr>
                <w:sz w:val="24"/>
              </w:rPr>
            </w:pPr>
          </w:p>
          <w:p w:rsidR="0066440E" w:rsidRDefault="006644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Savivaldybės meras                                                                                                     </w:t>
            </w:r>
          </w:p>
          <w:p w:rsidR="0066440E" w:rsidRDefault="0066440E">
            <w:pPr>
              <w:jc w:val="both"/>
              <w:rPr>
                <w:sz w:val="24"/>
              </w:rPr>
            </w:pPr>
          </w:p>
          <w:p w:rsidR="0066440E" w:rsidRDefault="0066440E">
            <w:pPr>
              <w:jc w:val="both"/>
              <w:rPr>
                <w:sz w:val="24"/>
              </w:rPr>
            </w:pPr>
            <w:r>
              <w:rPr>
                <w:sz w:val="24"/>
              </w:rPr>
              <w:t>SUDERINTA:</w:t>
            </w:r>
          </w:p>
          <w:p w:rsidR="0066440E" w:rsidRDefault="0066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Administracijos direktorius G. Bagužis</w:t>
            </w:r>
          </w:p>
          <w:p w:rsidR="0066440E" w:rsidRDefault="0066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Finansų ir biudžeto skyriaus vedėja  D. Mažeikienė</w:t>
            </w:r>
          </w:p>
          <w:p w:rsidR="0066440E" w:rsidRDefault="0066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Kalbos tvarkytojas A. Eidukaitis</w:t>
            </w:r>
          </w:p>
          <w:p w:rsidR="0066440E" w:rsidRDefault="0066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Juridinio ir personalo administravimo skyriaus vedėjas V. Tumas </w:t>
            </w:r>
          </w:p>
          <w:p w:rsidR="0066440E" w:rsidRDefault="006644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prendimą rengė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Sprendimą rengė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Finansų ir biudžeto skyriaus vedėjo pavaduotoja  M. Tamošauskienė</w:t>
            </w:r>
          </w:p>
          <w:p w:rsidR="0066440E" w:rsidRDefault="0066440E">
            <w:pPr>
              <w:jc w:val="both"/>
              <w:rPr>
                <w:sz w:val="24"/>
                <w:szCs w:val="24"/>
              </w:rPr>
            </w:pPr>
          </w:p>
          <w:p w:rsidR="0066440E" w:rsidRDefault="0066440E">
            <w:pPr>
              <w:jc w:val="both"/>
              <w:rPr>
                <w:rStyle w:val="Komentaronuoroda"/>
                <w:sz w:val="24"/>
              </w:rPr>
            </w:pPr>
          </w:p>
        </w:tc>
      </w:tr>
    </w:tbl>
    <w:p w:rsidR="00990536" w:rsidRDefault="00990536" w:rsidP="00990536">
      <w:pPr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lastRenderedPageBreak/>
        <w:t>FINANSŲ IR BIUDŽETO SKYRIUS</w:t>
      </w:r>
    </w:p>
    <w:p w:rsidR="0062254A" w:rsidRDefault="0062254A" w:rsidP="00990536">
      <w:pPr>
        <w:jc w:val="center"/>
        <w:rPr>
          <w:rStyle w:val="Komentaronuoroda"/>
          <w:b/>
          <w:sz w:val="24"/>
          <w:szCs w:val="24"/>
        </w:rPr>
      </w:pPr>
    </w:p>
    <w:p w:rsidR="00990536" w:rsidRDefault="00990536" w:rsidP="00990536">
      <w:pPr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 xml:space="preserve">AIŠKINAMASIS RAŠTAS </w:t>
      </w:r>
    </w:p>
    <w:p w:rsidR="00990536" w:rsidRDefault="00990536" w:rsidP="00990536">
      <w:pPr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PRIE PLUNGĖS RAJONO SAVIVALDYBĖS TARYBOS SPRENDIMO PROJEKTO</w:t>
      </w:r>
    </w:p>
    <w:p w:rsidR="00A54E0A" w:rsidRDefault="00990536" w:rsidP="00990536">
      <w:pPr>
        <w:ind w:firstLine="720"/>
        <w:jc w:val="center"/>
        <w:rPr>
          <w:rStyle w:val="Komentaronuoroda"/>
          <w:b/>
          <w:sz w:val="24"/>
          <w:szCs w:val="24"/>
        </w:rPr>
      </w:pPr>
      <w:r w:rsidRPr="00BD420E">
        <w:rPr>
          <w:rStyle w:val="Komentaronuoroda"/>
          <w:b/>
          <w:sz w:val="24"/>
          <w:szCs w:val="24"/>
        </w:rPr>
        <w:t>„</w:t>
      </w:r>
      <w:r w:rsidR="00BD420E" w:rsidRPr="00636FE0">
        <w:rPr>
          <w:b/>
          <w:sz w:val="24"/>
          <w:szCs w:val="24"/>
        </w:rPr>
        <w:t xml:space="preserve">DĖL </w:t>
      </w:r>
      <w:r w:rsidR="0080723E">
        <w:rPr>
          <w:b/>
          <w:sz w:val="24"/>
          <w:szCs w:val="24"/>
        </w:rPr>
        <w:t>PLUNGĖS RAJONO SAVIVALDYBĖS 2017</w:t>
      </w:r>
      <w:r w:rsidR="00BD420E" w:rsidRPr="00636FE0">
        <w:rPr>
          <w:b/>
          <w:sz w:val="24"/>
          <w:szCs w:val="24"/>
        </w:rPr>
        <w:t xml:space="preserve"> METŲ BIUDŽETO VYKDYMO ATASKAITŲ RINKINIO PATVIRTINIMO</w:t>
      </w:r>
      <w:r w:rsidRPr="00BD420E">
        <w:rPr>
          <w:rStyle w:val="Komentaronuoroda"/>
          <w:b/>
          <w:sz w:val="24"/>
          <w:szCs w:val="24"/>
        </w:rPr>
        <w:t>“</w:t>
      </w:r>
    </w:p>
    <w:p w:rsidR="0062254A" w:rsidRDefault="0062254A" w:rsidP="00990536">
      <w:pPr>
        <w:ind w:firstLine="720"/>
        <w:jc w:val="center"/>
        <w:rPr>
          <w:rStyle w:val="Komentaronuoroda"/>
          <w:b/>
          <w:sz w:val="24"/>
          <w:szCs w:val="24"/>
        </w:rPr>
      </w:pPr>
    </w:p>
    <w:p w:rsidR="00BD420E" w:rsidRDefault="004364D6" w:rsidP="00990536">
      <w:pPr>
        <w:ind w:firstLine="72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 xml:space="preserve">2018 m. </w:t>
      </w:r>
      <w:r w:rsidR="0019137D">
        <w:rPr>
          <w:rStyle w:val="Komentaronuoroda"/>
          <w:sz w:val="24"/>
          <w:szCs w:val="24"/>
        </w:rPr>
        <w:t xml:space="preserve">balandžio 20 </w:t>
      </w:r>
      <w:r w:rsidR="00BD420E" w:rsidRPr="00636FE0">
        <w:rPr>
          <w:rStyle w:val="Komentaronuoroda"/>
          <w:sz w:val="24"/>
          <w:szCs w:val="24"/>
        </w:rPr>
        <w:t>d.</w:t>
      </w:r>
    </w:p>
    <w:p w:rsidR="00BD420E" w:rsidRDefault="00BD420E" w:rsidP="00990536">
      <w:pPr>
        <w:ind w:firstLine="720"/>
        <w:jc w:val="center"/>
        <w:rPr>
          <w:rStyle w:val="Komentaronuoroda"/>
          <w:sz w:val="24"/>
          <w:szCs w:val="24"/>
        </w:rPr>
      </w:pPr>
      <w:r w:rsidRPr="00636FE0">
        <w:rPr>
          <w:rStyle w:val="Komentaronuoroda"/>
          <w:sz w:val="24"/>
          <w:szCs w:val="24"/>
        </w:rPr>
        <w:t xml:space="preserve">Plungė </w:t>
      </w:r>
    </w:p>
    <w:p w:rsidR="0071594B" w:rsidRDefault="0071594B" w:rsidP="00990536">
      <w:pPr>
        <w:ind w:firstLine="720"/>
        <w:jc w:val="center"/>
        <w:rPr>
          <w:rStyle w:val="Komentaronuoroda"/>
          <w:sz w:val="24"/>
          <w:szCs w:val="24"/>
        </w:rPr>
      </w:pPr>
    </w:p>
    <w:p w:rsidR="00793EEC" w:rsidRPr="00951198" w:rsidRDefault="00793EEC" w:rsidP="00377B83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 xml:space="preserve">Plungės rajono savivaldybės tarybos </w:t>
      </w:r>
      <w:r w:rsidR="0080723E" w:rsidRPr="00951198">
        <w:rPr>
          <w:sz w:val="24"/>
          <w:szCs w:val="24"/>
        </w:rPr>
        <w:t xml:space="preserve">2017 m. vasario 15 d. </w:t>
      </w:r>
      <w:r w:rsidRPr="00951198">
        <w:rPr>
          <w:sz w:val="24"/>
          <w:szCs w:val="24"/>
        </w:rPr>
        <w:t xml:space="preserve">sprendimu </w:t>
      </w:r>
      <w:r w:rsidR="0080723E" w:rsidRPr="00951198">
        <w:rPr>
          <w:sz w:val="24"/>
          <w:szCs w:val="24"/>
        </w:rPr>
        <w:t xml:space="preserve">Nr. T1-22 </w:t>
      </w:r>
      <w:r w:rsidRPr="00951198">
        <w:rPr>
          <w:sz w:val="24"/>
          <w:szCs w:val="24"/>
        </w:rPr>
        <w:t xml:space="preserve">patvirtintas Plungės rajono savivaldybės </w:t>
      </w:r>
      <w:r w:rsidR="0080723E" w:rsidRPr="00951198">
        <w:rPr>
          <w:sz w:val="24"/>
          <w:szCs w:val="24"/>
        </w:rPr>
        <w:t>2017</w:t>
      </w:r>
      <w:r w:rsidR="00BD420E" w:rsidRPr="00951198">
        <w:rPr>
          <w:sz w:val="24"/>
          <w:szCs w:val="24"/>
        </w:rPr>
        <w:t xml:space="preserve"> metų </w:t>
      </w:r>
      <w:r w:rsidRPr="00951198">
        <w:rPr>
          <w:sz w:val="24"/>
          <w:szCs w:val="24"/>
        </w:rPr>
        <w:t xml:space="preserve">biudžetas:  </w:t>
      </w:r>
      <w:r w:rsidR="00BD420E" w:rsidRPr="00951198">
        <w:rPr>
          <w:sz w:val="24"/>
          <w:szCs w:val="24"/>
        </w:rPr>
        <w:t xml:space="preserve"> </w:t>
      </w:r>
    </w:p>
    <w:p w:rsidR="00793EEC" w:rsidRPr="00951198" w:rsidRDefault="00793EEC" w:rsidP="00377B83">
      <w:pPr>
        <w:numPr>
          <w:ilvl w:val="0"/>
          <w:numId w:val="16"/>
        </w:numPr>
        <w:tabs>
          <w:tab w:val="left" w:pos="709"/>
        </w:tabs>
        <w:ind w:left="0"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2</w:t>
      </w:r>
      <w:r w:rsidR="00FB00E4" w:rsidRPr="00951198">
        <w:rPr>
          <w:sz w:val="24"/>
          <w:szCs w:val="24"/>
        </w:rPr>
        <w:t>8 471,1</w:t>
      </w:r>
      <w:r w:rsidRPr="00951198">
        <w:rPr>
          <w:sz w:val="24"/>
          <w:szCs w:val="24"/>
        </w:rPr>
        <w:t xml:space="preserve"> tūkst. eurų pajamų, iš jų – </w:t>
      </w:r>
      <w:r w:rsidR="00FB00E4" w:rsidRPr="00951198">
        <w:rPr>
          <w:sz w:val="24"/>
          <w:szCs w:val="24"/>
        </w:rPr>
        <w:t>847,8</w:t>
      </w:r>
      <w:r w:rsidRPr="00951198">
        <w:rPr>
          <w:sz w:val="24"/>
          <w:szCs w:val="24"/>
        </w:rPr>
        <w:t xml:space="preserve"> tūkst. eurų iš biudžetinių įstaigų pajamų už teikiamas paslaugas ir patalpų nuomą įmokų į Savivaldybės biudžetą; </w:t>
      </w:r>
    </w:p>
    <w:p w:rsidR="00793EEC" w:rsidRPr="00951198" w:rsidRDefault="00AA32CF" w:rsidP="00377B83">
      <w:pPr>
        <w:numPr>
          <w:ilvl w:val="0"/>
          <w:numId w:val="16"/>
        </w:numPr>
        <w:tabs>
          <w:tab w:val="left" w:pos="709"/>
          <w:tab w:val="left" w:pos="851"/>
          <w:tab w:val="left" w:pos="1134"/>
          <w:tab w:val="left" w:pos="1560"/>
        </w:tabs>
        <w:ind w:left="0"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Plun</w:t>
      </w:r>
      <w:r w:rsidR="00FB00E4" w:rsidRPr="00951198">
        <w:rPr>
          <w:sz w:val="24"/>
          <w:szCs w:val="24"/>
        </w:rPr>
        <w:t>gės rajono savivaldybės 2017</w:t>
      </w:r>
      <w:r w:rsidR="00793EEC" w:rsidRPr="00951198">
        <w:rPr>
          <w:sz w:val="24"/>
          <w:szCs w:val="24"/>
        </w:rPr>
        <w:t xml:space="preserve"> metų biudžeto asignavim</w:t>
      </w:r>
      <w:r w:rsidR="00BD420E" w:rsidRPr="00951198">
        <w:rPr>
          <w:sz w:val="24"/>
          <w:szCs w:val="24"/>
        </w:rPr>
        <w:t>ai</w:t>
      </w:r>
      <w:r w:rsidR="00793EEC" w:rsidRPr="00951198">
        <w:rPr>
          <w:sz w:val="24"/>
          <w:szCs w:val="24"/>
        </w:rPr>
        <w:t xml:space="preserve"> </w:t>
      </w:r>
      <w:r w:rsidRPr="00951198">
        <w:rPr>
          <w:sz w:val="24"/>
          <w:szCs w:val="24"/>
        </w:rPr>
        <w:t>–</w:t>
      </w:r>
      <w:r w:rsidR="00793EEC" w:rsidRPr="00951198">
        <w:rPr>
          <w:sz w:val="24"/>
          <w:szCs w:val="24"/>
        </w:rPr>
        <w:t xml:space="preserve"> </w:t>
      </w:r>
      <w:r w:rsidR="00FB00E4" w:rsidRPr="00951198">
        <w:rPr>
          <w:sz w:val="24"/>
          <w:szCs w:val="24"/>
        </w:rPr>
        <w:t>29</w:t>
      </w:r>
      <w:r w:rsidR="00BD420E" w:rsidRPr="00951198">
        <w:rPr>
          <w:sz w:val="24"/>
          <w:szCs w:val="24"/>
        </w:rPr>
        <w:t xml:space="preserve"> </w:t>
      </w:r>
      <w:r w:rsidRPr="00951198">
        <w:rPr>
          <w:sz w:val="24"/>
          <w:szCs w:val="24"/>
        </w:rPr>
        <w:t>2</w:t>
      </w:r>
      <w:r w:rsidR="00FB00E4" w:rsidRPr="00951198">
        <w:rPr>
          <w:sz w:val="24"/>
          <w:szCs w:val="24"/>
        </w:rPr>
        <w:t>61,6</w:t>
      </w:r>
      <w:r w:rsidRPr="00951198">
        <w:rPr>
          <w:sz w:val="24"/>
          <w:szCs w:val="24"/>
        </w:rPr>
        <w:t xml:space="preserve"> tūkst. eurų</w:t>
      </w:r>
      <w:r w:rsidR="00793EEC" w:rsidRPr="00951198">
        <w:rPr>
          <w:sz w:val="24"/>
          <w:szCs w:val="24"/>
        </w:rPr>
        <w:t>.</w:t>
      </w:r>
    </w:p>
    <w:p w:rsidR="00737791" w:rsidRPr="00951198" w:rsidRDefault="00737791" w:rsidP="00377B83">
      <w:pPr>
        <w:tabs>
          <w:tab w:val="left" w:pos="709"/>
          <w:tab w:val="left" w:pos="851"/>
          <w:tab w:val="left" w:pos="1134"/>
          <w:tab w:val="left" w:pos="1560"/>
        </w:tabs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 xml:space="preserve">Tuo pačiu sprendimu </w:t>
      </w:r>
      <w:r w:rsidR="00BD420E" w:rsidRPr="00951198">
        <w:rPr>
          <w:sz w:val="24"/>
          <w:szCs w:val="24"/>
        </w:rPr>
        <w:t>S</w:t>
      </w:r>
      <w:r w:rsidRPr="00951198">
        <w:rPr>
          <w:sz w:val="24"/>
          <w:szCs w:val="24"/>
        </w:rPr>
        <w:t>a</w:t>
      </w:r>
      <w:r w:rsidR="00FB00E4" w:rsidRPr="00951198">
        <w:rPr>
          <w:sz w:val="24"/>
          <w:szCs w:val="24"/>
        </w:rPr>
        <w:t>vivaldybės taryba nusprendė 2017</w:t>
      </w:r>
      <w:r w:rsidRPr="00951198">
        <w:rPr>
          <w:sz w:val="24"/>
          <w:szCs w:val="24"/>
        </w:rPr>
        <w:t xml:space="preserve"> metais panaudoti:</w:t>
      </w:r>
    </w:p>
    <w:p w:rsidR="00AA32CF" w:rsidRPr="00951198" w:rsidRDefault="00FB00E4" w:rsidP="00377B83">
      <w:pPr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2016</w:t>
      </w:r>
      <w:r w:rsidR="00AA32CF" w:rsidRPr="00951198">
        <w:rPr>
          <w:sz w:val="24"/>
          <w:szCs w:val="24"/>
        </w:rPr>
        <w:t xml:space="preserve"> metai</w:t>
      </w:r>
      <w:r w:rsidRPr="00951198">
        <w:rPr>
          <w:sz w:val="24"/>
          <w:szCs w:val="24"/>
        </w:rPr>
        <w:t>s nepanaudotų biudžeto lėšų 2017</w:t>
      </w:r>
      <w:r w:rsidR="00AA32CF" w:rsidRPr="00951198">
        <w:rPr>
          <w:sz w:val="24"/>
          <w:szCs w:val="24"/>
        </w:rPr>
        <w:t xml:space="preserve"> m. sausio 1 d. – </w:t>
      </w:r>
      <w:r w:rsidRPr="00951198">
        <w:rPr>
          <w:sz w:val="24"/>
          <w:szCs w:val="24"/>
        </w:rPr>
        <w:t xml:space="preserve">790,5 </w:t>
      </w:r>
      <w:r w:rsidR="00AA32CF" w:rsidRPr="00951198">
        <w:rPr>
          <w:sz w:val="24"/>
          <w:szCs w:val="24"/>
        </w:rPr>
        <w:t xml:space="preserve">tūkst. eurų; </w:t>
      </w:r>
    </w:p>
    <w:p w:rsidR="00AA32CF" w:rsidRPr="00951198" w:rsidRDefault="00AA32CF" w:rsidP="00377B83">
      <w:pPr>
        <w:numPr>
          <w:ilvl w:val="0"/>
          <w:numId w:val="16"/>
        </w:numPr>
        <w:tabs>
          <w:tab w:val="left" w:pos="709"/>
        </w:tabs>
        <w:ind w:left="0"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Plungės rajono savivaldy</w:t>
      </w:r>
      <w:r w:rsidR="00FB00E4" w:rsidRPr="00951198">
        <w:rPr>
          <w:sz w:val="24"/>
          <w:szCs w:val="24"/>
        </w:rPr>
        <w:t>bės 2017</w:t>
      </w:r>
      <w:r w:rsidRPr="00951198">
        <w:rPr>
          <w:sz w:val="24"/>
          <w:szCs w:val="24"/>
        </w:rPr>
        <w:t xml:space="preserve"> metų skolintas lėšas – </w:t>
      </w:r>
      <w:r w:rsidR="00FB00E4" w:rsidRPr="00951198">
        <w:rPr>
          <w:sz w:val="24"/>
          <w:szCs w:val="24"/>
        </w:rPr>
        <w:t>818,0 tūkst. eurų.</w:t>
      </w:r>
    </w:p>
    <w:p w:rsidR="00793EEC" w:rsidRPr="00951198" w:rsidRDefault="00793EEC" w:rsidP="00377B83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Per 201</w:t>
      </w:r>
      <w:r w:rsidR="00FB00E4" w:rsidRPr="00951198">
        <w:rPr>
          <w:sz w:val="24"/>
          <w:szCs w:val="24"/>
        </w:rPr>
        <w:t>7</w:t>
      </w:r>
      <w:r w:rsidRPr="00951198">
        <w:rPr>
          <w:sz w:val="24"/>
          <w:szCs w:val="24"/>
        </w:rPr>
        <w:t xml:space="preserve"> metus biudžeto apimtis dėl šakinių ministerijų vadovų įsakymų ir dėl </w:t>
      </w:r>
      <w:r w:rsidR="00377B83">
        <w:rPr>
          <w:sz w:val="24"/>
          <w:szCs w:val="24"/>
        </w:rPr>
        <w:t xml:space="preserve">Savivaldybės tarybos sprendimų </w:t>
      </w:r>
      <w:r w:rsidRPr="00951198">
        <w:rPr>
          <w:sz w:val="24"/>
          <w:szCs w:val="24"/>
          <w:lang w:eastAsia="lt-LT"/>
        </w:rPr>
        <w:t xml:space="preserve">padidinta </w:t>
      </w:r>
      <w:r w:rsidR="004364D6" w:rsidRPr="00951198">
        <w:rPr>
          <w:sz w:val="24"/>
          <w:szCs w:val="24"/>
          <w:lang w:eastAsia="lt-LT"/>
        </w:rPr>
        <w:t>4 292,1</w:t>
      </w:r>
      <w:r w:rsidRPr="00951198">
        <w:rPr>
          <w:sz w:val="24"/>
          <w:szCs w:val="24"/>
          <w:lang w:eastAsia="lt-LT"/>
        </w:rPr>
        <w:t xml:space="preserve"> </w:t>
      </w:r>
      <w:r w:rsidR="00737791" w:rsidRPr="00951198">
        <w:rPr>
          <w:sz w:val="24"/>
          <w:szCs w:val="24"/>
          <w:lang w:eastAsia="lt-LT"/>
        </w:rPr>
        <w:t>tūkst. eurų</w:t>
      </w:r>
      <w:r w:rsidR="00BD420E" w:rsidRPr="00951198">
        <w:rPr>
          <w:sz w:val="24"/>
          <w:szCs w:val="24"/>
          <w:lang w:eastAsia="lt-LT"/>
        </w:rPr>
        <w:t>;</w:t>
      </w:r>
      <w:r w:rsidRPr="00951198">
        <w:rPr>
          <w:sz w:val="24"/>
          <w:szCs w:val="24"/>
          <w:lang w:eastAsia="lt-LT"/>
        </w:rPr>
        <w:t xml:space="preserve"> iš jų</w:t>
      </w:r>
      <w:r w:rsidR="00BD420E" w:rsidRPr="00951198">
        <w:rPr>
          <w:sz w:val="24"/>
          <w:szCs w:val="24"/>
          <w:lang w:eastAsia="lt-LT"/>
        </w:rPr>
        <w:t xml:space="preserve"> -</w:t>
      </w:r>
      <w:r w:rsidRPr="00951198">
        <w:rPr>
          <w:sz w:val="24"/>
          <w:szCs w:val="24"/>
          <w:lang w:eastAsia="lt-LT"/>
        </w:rPr>
        <w:t xml:space="preserve"> </w:t>
      </w:r>
      <w:r w:rsidR="004364D6" w:rsidRPr="00951198">
        <w:rPr>
          <w:sz w:val="24"/>
          <w:szCs w:val="24"/>
          <w:lang w:eastAsia="lt-LT"/>
        </w:rPr>
        <w:t>3 616,9</w:t>
      </w:r>
      <w:r w:rsidR="00737791" w:rsidRPr="00951198">
        <w:rPr>
          <w:sz w:val="24"/>
          <w:szCs w:val="24"/>
          <w:lang w:eastAsia="lt-LT"/>
        </w:rPr>
        <w:t xml:space="preserve"> </w:t>
      </w:r>
      <w:r w:rsidR="004364D6" w:rsidRPr="00951198">
        <w:rPr>
          <w:sz w:val="24"/>
          <w:szCs w:val="24"/>
          <w:lang w:eastAsia="lt-LT"/>
        </w:rPr>
        <w:t>tūkst. eurų gauta dotacijų. 2017</w:t>
      </w:r>
      <w:r w:rsidRPr="00951198">
        <w:rPr>
          <w:sz w:val="24"/>
          <w:szCs w:val="24"/>
          <w:lang w:eastAsia="lt-LT"/>
        </w:rPr>
        <w:t xml:space="preserve"> metų </w:t>
      </w:r>
      <w:r w:rsidRPr="00951198">
        <w:rPr>
          <w:sz w:val="24"/>
          <w:szCs w:val="24"/>
        </w:rPr>
        <w:t xml:space="preserve">pabaigoje pajamų planas buvo </w:t>
      </w:r>
      <w:r w:rsidR="004364D6" w:rsidRPr="00951198">
        <w:rPr>
          <w:sz w:val="24"/>
          <w:szCs w:val="24"/>
        </w:rPr>
        <w:t>32 763,2</w:t>
      </w:r>
      <w:r w:rsidR="00737791" w:rsidRPr="00951198">
        <w:rPr>
          <w:sz w:val="24"/>
          <w:szCs w:val="24"/>
        </w:rPr>
        <w:t xml:space="preserve"> tūkst.</w:t>
      </w:r>
      <w:r w:rsidR="00377B83">
        <w:rPr>
          <w:sz w:val="24"/>
          <w:szCs w:val="24"/>
        </w:rPr>
        <w:t xml:space="preserve"> eurų, išlaidų - </w:t>
      </w:r>
      <w:r w:rsidR="0089621F" w:rsidRPr="00951198">
        <w:rPr>
          <w:sz w:val="24"/>
          <w:szCs w:val="24"/>
        </w:rPr>
        <w:t>3</w:t>
      </w:r>
      <w:r w:rsidR="00242069" w:rsidRPr="00951198">
        <w:rPr>
          <w:sz w:val="24"/>
          <w:szCs w:val="24"/>
        </w:rPr>
        <w:t>4 371,7</w:t>
      </w:r>
      <w:r w:rsidR="00737791" w:rsidRPr="00951198">
        <w:rPr>
          <w:sz w:val="24"/>
          <w:szCs w:val="24"/>
        </w:rPr>
        <w:t xml:space="preserve"> tūkst. eurų</w:t>
      </w:r>
      <w:r w:rsidRPr="00951198">
        <w:rPr>
          <w:sz w:val="24"/>
          <w:szCs w:val="24"/>
        </w:rPr>
        <w:t xml:space="preserve">. </w:t>
      </w:r>
    </w:p>
    <w:p w:rsidR="00793EEC" w:rsidRPr="00951198" w:rsidRDefault="00793EEC" w:rsidP="00377B83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 xml:space="preserve"> Pasiskolinta </w:t>
      </w:r>
      <w:r w:rsidR="00242069" w:rsidRPr="00951198">
        <w:rPr>
          <w:sz w:val="24"/>
          <w:szCs w:val="24"/>
        </w:rPr>
        <w:t xml:space="preserve">777,4 </w:t>
      </w:r>
      <w:r w:rsidR="003D157A" w:rsidRPr="00951198">
        <w:rPr>
          <w:sz w:val="24"/>
          <w:szCs w:val="24"/>
        </w:rPr>
        <w:t>tūkst. eurų</w:t>
      </w:r>
      <w:r w:rsidR="007B4A4E" w:rsidRPr="00951198">
        <w:rPr>
          <w:sz w:val="24"/>
          <w:szCs w:val="24"/>
        </w:rPr>
        <w:t xml:space="preserve"> ilgalaikių paskolų</w:t>
      </w:r>
      <w:r w:rsidR="007F131D" w:rsidRPr="00951198">
        <w:rPr>
          <w:sz w:val="24"/>
          <w:szCs w:val="24"/>
        </w:rPr>
        <w:t>.</w:t>
      </w:r>
    </w:p>
    <w:p w:rsidR="00A92BB3" w:rsidRPr="00951198" w:rsidRDefault="00A92BB3" w:rsidP="00793EEC">
      <w:pPr>
        <w:jc w:val="both"/>
        <w:rPr>
          <w:sz w:val="24"/>
          <w:szCs w:val="24"/>
        </w:rPr>
      </w:pPr>
    </w:p>
    <w:p w:rsidR="008B08E0" w:rsidRPr="00951198" w:rsidRDefault="008B08E0" w:rsidP="008B08E0">
      <w:pPr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951198">
        <w:rPr>
          <w:b/>
          <w:sz w:val="28"/>
          <w:szCs w:val="28"/>
        </w:rPr>
        <w:t>Pajamų plano įvykdymas</w:t>
      </w:r>
    </w:p>
    <w:p w:rsidR="00EE2CD3" w:rsidRPr="00951198" w:rsidRDefault="00242069" w:rsidP="00377B83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Patikslintas 2017</w:t>
      </w:r>
      <w:r w:rsidR="008B08E0" w:rsidRPr="00951198">
        <w:rPr>
          <w:sz w:val="24"/>
          <w:szCs w:val="24"/>
          <w:lang w:eastAsia="lt-LT"/>
        </w:rPr>
        <w:t xml:space="preserve"> m. pajamų planas įvykdytas </w:t>
      </w:r>
      <w:r w:rsidRPr="00951198">
        <w:rPr>
          <w:sz w:val="24"/>
          <w:szCs w:val="24"/>
          <w:lang w:eastAsia="lt-LT"/>
        </w:rPr>
        <w:t>99,8</w:t>
      </w:r>
      <w:r w:rsidR="008B08E0" w:rsidRPr="00951198">
        <w:rPr>
          <w:sz w:val="24"/>
          <w:szCs w:val="24"/>
          <w:lang w:eastAsia="lt-LT"/>
        </w:rPr>
        <w:t xml:space="preserve"> procento, arba </w:t>
      </w:r>
      <w:r w:rsidRPr="00951198">
        <w:rPr>
          <w:sz w:val="24"/>
          <w:szCs w:val="24"/>
          <w:lang w:eastAsia="lt-LT"/>
        </w:rPr>
        <w:t>ne</w:t>
      </w:r>
      <w:r w:rsidR="008B08E0" w:rsidRPr="00951198">
        <w:rPr>
          <w:sz w:val="24"/>
          <w:szCs w:val="24"/>
          <w:lang w:eastAsia="lt-LT"/>
        </w:rPr>
        <w:t xml:space="preserve">gauta </w:t>
      </w:r>
      <w:r w:rsidRPr="00951198">
        <w:rPr>
          <w:sz w:val="24"/>
          <w:szCs w:val="24"/>
          <w:lang w:eastAsia="lt-LT"/>
        </w:rPr>
        <w:t>49,8</w:t>
      </w:r>
      <w:r w:rsidR="008B08E0" w:rsidRPr="00951198">
        <w:rPr>
          <w:sz w:val="24"/>
          <w:szCs w:val="24"/>
          <w:lang w:eastAsia="lt-LT"/>
        </w:rPr>
        <w:t xml:space="preserve"> tūkst. eurų  </w:t>
      </w:r>
      <w:r w:rsidRPr="00951198">
        <w:rPr>
          <w:sz w:val="24"/>
          <w:szCs w:val="24"/>
          <w:lang w:eastAsia="lt-LT"/>
        </w:rPr>
        <w:t>planuotų</w:t>
      </w:r>
      <w:r w:rsidR="008B08E0" w:rsidRPr="00951198">
        <w:rPr>
          <w:sz w:val="24"/>
          <w:szCs w:val="24"/>
          <w:lang w:eastAsia="lt-LT"/>
        </w:rPr>
        <w:t xml:space="preserve"> pajamų. </w:t>
      </w:r>
    </w:p>
    <w:p w:rsidR="00EE2CD3" w:rsidRPr="00951198" w:rsidRDefault="00EE2CD3" w:rsidP="00377B83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2017 metais pajamų planas projektams, finansuojamiems iš Europos Sąjungos finansinės paramos lėšų</w:t>
      </w:r>
      <w:r w:rsidR="0062254A">
        <w:rPr>
          <w:sz w:val="24"/>
          <w:szCs w:val="24"/>
          <w:lang w:eastAsia="lt-LT"/>
        </w:rPr>
        <w:t>,</w:t>
      </w:r>
      <w:r w:rsidRPr="00951198">
        <w:rPr>
          <w:sz w:val="24"/>
          <w:szCs w:val="24"/>
          <w:lang w:eastAsia="lt-LT"/>
        </w:rPr>
        <w:t xml:space="preserve"> buvo 803,4 tūkst. eurų, o buvo </w:t>
      </w:r>
      <w:r w:rsidR="0062254A" w:rsidRPr="00951198">
        <w:rPr>
          <w:sz w:val="24"/>
          <w:szCs w:val="24"/>
          <w:lang w:eastAsia="lt-LT"/>
        </w:rPr>
        <w:t xml:space="preserve">gauta </w:t>
      </w:r>
      <w:r w:rsidRPr="00951198">
        <w:rPr>
          <w:sz w:val="24"/>
          <w:szCs w:val="24"/>
          <w:lang w:eastAsia="lt-LT"/>
        </w:rPr>
        <w:t xml:space="preserve">347,4 tūkst. eurų. </w:t>
      </w:r>
      <w:r w:rsidR="0075733E">
        <w:rPr>
          <w:sz w:val="24"/>
          <w:szCs w:val="24"/>
          <w:lang w:eastAsia="lt-LT"/>
        </w:rPr>
        <w:t xml:space="preserve"> </w:t>
      </w:r>
    </w:p>
    <w:p w:rsidR="00EE2CD3" w:rsidRPr="00951198" w:rsidRDefault="00EE2CD3" w:rsidP="00377B83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Vykdant projektą „Aktyvaus poilsio ir pramogų zonos sukūrimas Plungės m. M. Oginskio dvaro teritorijoje, prie autobusų stoties“ Centrinei projektų valdymo agentūrai 2017 m.  gruodžio 7 d. pateikta 455,7 tūkst. eurų paraiška buvo apmokėta 2018 m. sausio  17 d., ir tai lėmė, kad 2017 m. biudžeto pajamų planas liko neįvykdytas.</w:t>
      </w:r>
    </w:p>
    <w:p w:rsidR="00EE2CD3" w:rsidRPr="00951198" w:rsidRDefault="00EE2CD3" w:rsidP="00377B83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2</w:t>
      </w:r>
      <w:r w:rsidR="00242069" w:rsidRPr="00951198">
        <w:rPr>
          <w:sz w:val="24"/>
          <w:szCs w:val="24"/>
        </w:rPr>
        <w:t>017</w:t>
      </w:r>
      <w:r w:rsidR="008B08E0" w:rsidRPr="00951198">
        <w:rPr>
          <w:sz w:val="24"/>
          <w:szCs w:val="24"/>
        </w:rPr>
        <w:t xml:space="preserve"> metais surinktų pajamų, mokesčių ir gautų dotacijų struktūra procentais pavaizduota 1 paveiksle. </w:t>
      </w:r>
    </w:p>
    <w:p w:rsidR="00BE6DD4" w:rsidRPr="00951198" w:rsidRDefault="00BE6DD4" w:rsidP="00EE2CD3">
      <w:pPr>
        <w:jc w:val="both"/>
        <w:rPr>
          <w:sz w:val="24"/>
          <w:szCs w:val="24"/>
        </w:rPr>
      </w:pPr>
      <w:r w:rsidRPr="00951198">
        <w:rPr>
          <w:sz w:val="24"/>
          <w:szCs w:val="24"/>
        </w:rPr>
        <w:t xml:space="preserve">            </w:t>
      </w:r>
      <w:r w:rsidR="003A46AC">
        <w:rPr>
          <w:noProof/>
          <w:lang w:eastAsia="lt-LT"/>
        </w:rPr>
        <w:drawing>
          <wp:inline distT="0" distB="0" distL="0" distR="0" wp14:anchorId="24AA6956" wp14:editId="3897CBC1">
            <wp:extent cx="5428615" cy="2924175"/>
            <wp:effectExtent l="0" t="0" r="635" b="0"/>
            <wp:docPr id="2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8E0" w:rsidRPr="00951198" w:rsidRDefault="00610165" w:rsidP="00621F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pav. </w:t>
      </w:r>
      <w:r w:rsidR="008B08E0" w:rsidRPr="00951198">
        <w:rPr>
          <w:sz w:val="24"/>
          <w:szCs w:val="24"/>
        </w:rPr>
        <w:t>Plungės ra</w:t>
      </w:r>
      <w:r w:rsidR="00621FF7" w:rsidRPr="00951198">
        <w:rPr>
          <w:sz w:val="24"/>
          <w:szCs w:val="24"/>
        </w:rPr>
        <w:t>jono savivaldybės 2017</w:t>
      </w:r>
      <w:r w:rsidR="008B08E0" w:rsidRPr="00951198">
        <w:rPr>
          <w:sz w:val="24"/>
          <w:szCs w:val="24"/>
        </w:rPr>
        <w:t xml:space="preserve"> metų biudžeto pajamų struktūra</w:t>
      </w:r>
    </w:p>
    <w:p w:rsidR="00EE2CD3" w:rsidRPr="00951198" w:rsidRDefault="00EE2CD3" w:rsidP="00621FF7">
      <w:pPr>
        <w:ind w:firstLine="720"/>
        <w:jc w:val="center"/>
        <w:rPr>
          <w:sz w:val="24"/>
          <w:szCs w:val="24"/>
        </w:rPr>
      </w:pPr>
    </w:p>
    <w:p w:rsidR="008B08E0" w:rsidRPr="00951198" w:rsidRDefault="00E95333" w:rsidP="00610165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D</w:t>
      </w:r>
      <w:r w:rsidR="008B08E0" w:rsidRPr="00951198">
        <w:rPr>
          <w:sz w:val="24"/>
          <w:szCs w:val="24"/>
        </w:rPr>
        <w:t>otacijų dalis Sa</w:t>
      </w:r>
      <w:r w:rsidR="00621FF7" w:rsidRPr="00951198">
        <w:rPr>
          <w:sz w:val="24"/>
          <w:szCs w:val="24"/>
        </w:rPr>
        <w:t>vivaldybės gautose pajamose 2014</w:t>
      </w:r>
      <w:r w:rsidR="008B08E0" w:rsidRPr="00951198">
        <w:rPr>
          <w:sz w:val="24"/>
          <w:szCs w:val="24"/>
        </w:rPr>
        <w:t xml:space="preserve"> metais </w:t>
      </w:r>
      <w:r w:rsidR="00621FF7" w:rsidRPr="00951198">
        <w:rPr>
          <w:sz w:val="24"/>
          <w:szCs w:val="24"/>
        </w:rPr>
        <w:t>–</w:t>
      </w:r>
      <w:r w:rsidR="008B08E0" w:rsidRPr="00951198">
        <w:rPr>
          <w:sz w:val="24"/>
          <w:szCs w:val="24"/>
        </w:rPr>
        <w:t xml:space="preserve"> </w:t>
      </w:r>
      <w:r w:rsidR="00621FF7" w:rsidRPr="00951198">
        <w:rPr>
          <w:sz w:val="24"/>
          <w:szCs w:val="24"/>
        </w:rPr>
        <w:t>49,6</w:t>
      </w:r>
      <w:r w:rsidR="008B08E0" w:rsidRPr="00951198">
        <w:rPr>
          <w:sz w:val="24"/>
          <w:szCs w:val="24"/>
        </w:rPr>
        <w:t xml:space="preserve"> procento</w:t>
      </w:r>
      <w:r w:rsidR="00621FF7" w:rsidRPr="00951198">
        <w:rPr>
          <w:sz w:val="24"/>
          <w:szCs w:val="24"/>
        </w:rPr>
        <w:t xml:space="preserve"> biudžeto pajamų, 2015</w:t>
      </w:r>
      <w:r w:rsidR="008B08E0" w:rsidRPr="00951198">
        <w:rPr>
          <w:sz w:val="24"/>
          <w:szCs w:val="24"/>
        </w:rPr>
        <w:t xml:space="preserve"> metais dotacijų dalis gautose pajamose sudarė </w:t>
      </w:r>
      <w:r w:rsidR="00621FF7" w:rsidRPr="00951198">
        <w:rPr>
          <w:sz w:val="24"/>
          <w:szCs w:val="24"/>
        </w:rPr>
        <w:t>46,7</w:t>
      </w:r>
      <w:r w:rsidR="008B08E0" w:rsidRPr="00951198">
        <w:rPr>
          <w:sz w:val="24"/>
          <w:szCs w:val="24"/>
        </w:rPr>
        <w:t xml:space="preserve"> procento</w:t>
      </w:r>
      <w:r w:rsidR="00171A48" w:rsidRPr="00951198">
        <w:rPr>
          <w:sz w:val="24"/>
          <w:szCs w:val="24"/>
        </w:rPr>
        <w:t xml:space="preserve">, </w:t>
      </w:r>
      <w:r w:rsidR="00621FF7" w:rsidRPr="00951198">
        <w:rPr>
          <w:sz w:val="24"/>
          <w:szCs w:val="24"/>
        </w:rPr>
        <w:t>2016</w:t>
      </w:r>
      <w:r w:rsidR="008B08E0" w:rsidRPr="00951198">
        <w:rPr>
          <w:sz w:val="24"/>
          <w:szCs w:val="24"/>
        </w:rPr>
        <w:t xml:space="preserve"> meta</w:t>
      </w:r>
      <w:r w:rsidR="00171A48" w:rsidRPr="00951198">
        <w:rPr>
          <w:sz w:val="24"/>
          <w:szCs w:val="24"/>
        </w:rPr>
        <w:t xml:space="preserve">is – </w:t>
      </w:r>
      <w:r w:rsidR="00621FF7" w:rsidRPr="00951198">
        <w:rPr>
          <w:sz w:val="24"/>
          <w:szCs w:val="24"/>
        </w:rPr>
        <w:t>45,5</w:t>
      </w:r>
      <w:r w:rsidR="00086DBB" w:rsidRPr="00951198">
        <w:rPr>
          <w:sz w:val="24"/>
          <w:szCs w:val="24"/>
        </w:rPr>
        <w:t xml:space="preserve"> procento, </w:t>
      </w:r>
      <w:r w:rsidR="00621FF7" w:rsidRPr="00951198">
        <w:rPr>
          <w:sz w:val="24"/>
          <w:szCs w:val="24"/>
        </w:rPr>
        <w:t>2017</w:t>
      </w:r>
      <w:r w:rsidR="00171A48" w:rsidRPr="00951198">
        <w:rPr>
          <w:sz w:val="24"/>
          <w:szCs w:val="24"/>
        </w:rPr>
        <w:t xml:space="preserve"> metais </w:t>
      </w:r>
      <w:r w:rsidR="00BE6DD4" w:rsidRPr="00951198">
        <w:rPr>
          <w:sz w:val="24"/>
          <w:szCs w:val="24"/>
        </w:rPr>
        <w:t>- 45,6</w:t>
      </w:r>
      <w:r w:rsidR="002A30B1" w:rsidRPr="00951198">
        <w:rPr>
          <w:sz w:val="24"/>
          <w:szCs w:val="24"/>
        </w:rPr>
        <w:t xml:space="preserve"> procento.</w:t>
      </w:r>
    </w:p>
    <w:p w:rsidR="008B08E0" w:rsidRPr="00951198" w:rsidRDefault="008B08E0" w:rsidP="00610165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2 paveiksle parodyta, kaip keitės</w:t>
      </w:r>
      <w:r w:rsidR="00086DBB" w:rsidRPr="00951198">
        <w:rPr>
          <w:sz w:val="24"/>
          <w:szCs w:val="24"/>
        </w:rPr>
        <w:t>i biudžeto pajamų struktūra 2014-2017</w:t>
      </w:r>
      <w:r w:rsidRPr="00951198">
        <w:rPr>
          <w:sz w:val="24"/>
          <w:szCs w:val="24"/>
        </w:rPr>
        <w:t xml:space="preserve"> metais.</w:t>
      </w:r>
    </w:p>
    <w:p w:rsidR="008B08E0" w:rsidRPr="00951198" w:rsidRDefault="008B08E0" w:rsidP="00610165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2014 metais gautos pajamos pateikiamos eurais, kad būtų lengviau palyginti.</w:t>
      </w:r>
    </w:p>
    <w:p w:rsidR="00C46B58" w:rsidRPr="00951198" w:rsidRDefault="00C46B58" w:rsidP="00C46B58">
      <w:pPr>
        <w:jc w:val="both"/>
        <w:rPr>
          <w:sz w:val="24"/>
          <w:szCs w:val="24"/>
        </w:rPr>
      </w:pPr>
    </w:p>
    <w:p w:rsidR="008B08E0" w:rsidRPr="00951198" w:rsidRDefault="003A46AC" w:rsidP="00E95333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327077D7" wp14:editId="1FB24CF2">
            <wp:extent cx="5588635" cy="3528060"/>
            <wp:effectExtent l="0" t="0" r="0" b="0"/>
            <wp:docPr id="3" name="Objekt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B08E0" w:rsidRPr="00951198">
        <w:rPr>
          <w:sz w:val="24"/>
          <w:szCs w:val="24"/>
        </w:rPr>
        <w:t>2 pav. Biudžeto pajamų struktūra 201</w:t>
      </w:r>
      <w:r w:rsidR="00621FF7" w:rsidRPr="00951198">
        <w:rPr>
          <w:sz w:val="24"/>
          <w:szCs w:val="24"/>
        </w:rPr>
        <w:t>4–2017</w:t>
      </w:r>
      <w:r w:rsidR="00171A48" w:rsidRPr="00951198">
        <w:rPr>
          <w:sz w:val="24"/>
          <w:szCs w:val="24"/>
        </w:rPr>
        <w:t xml:space="preserve"> </w:t>
      </w:r>
      <w:r w:rsidR="008B08E0" w:rsidRPr="00951198">
        <w:rPr>
          <w:sz w:val="24"/>
          <w:szCs w:val="24"/>
        </w:rPr>
        <w:t>m., mln. eurų</w:t>
      </w:r>
    </w:p>
    <w:p w:rsidR="00BC3B8D" w:rsidRPr="00951198" w:rsidRDefault="00BC3B8D" w:rsidP="00BC3B8D">
      <w:pPr>
        <w:ind w:firstLine="420"/>
        <w:rPr>
          <w:sz w:val="24"/>
          <w:szCs w:val="24"/>
          <w:lang w:val="es-ES"/>
        </w:rPr>
      </w:pPr>
    </w:p>
    <w:p w:rsidR="00A92BB3" w:rsidRPr="00610165" w:rsidRDefault="00BC3B8D" w:rsidP="00610165">
      <w:pPr>
        <w:ind w:firstLine="720"/>
        <w:jc w:val="both"/>
        <w:rPr>
          <w:sz w:val="24"/>
          <w:szCs w:val="24"/>
        </w:rPr>
      </w:pPr>
      <w:r w:rsidRPr="00610165">
        <w:rPr>
          <w:sz w:val="24"/>
          <w:szCs w:val="24"/>
        </w:rPr>
        <w:t>2 paveiksle mat</w:t>
      </w:r>
      <w:r w:rsidR="00BD420E" w:rsidRPr="00610165">
        <w:rPr>
          <w:sz w:val="24"/>
          <w:szCs w:val="24"/>
        </w:rPr>
        <w:t>yti,</w:t>
      </w:r>
      <w:r w:rsidRPr="00610165">
        <w:rPr>
          <w:sz w:val="24"/>
          <w:szCs w:val="24"/>
        </w:rPr>
        <w:t xml:space="preserve"> kad per pastaruosius ketverius metus Savivaldybės biudžeto pajamų dalyje didėjo gyventojų pajamų mokestis</w:t>
      </w:r>
      <w:r w:rsidR="00A92BB3" w:rsidRPr="00610165">
        <w:rPr>
          <w:sz w:val="24"/>
          <w:szCs w:val="24"/>
        </w:rPr>
        <w:t>.</w:t>
      </w:r>
    </w:p>
    <w:p w:rsidR="00BC3B8D" w:rsidRPr="00610165" w:rsidRDefault="00BC3B8D" w:rsidP="00610165">
      <w:pPr>
        <w:ind w:firstLine="720"/>
        <w:jc w:val="both"/>
        <w:rPr>
          <w:sz w:val="24"/>
          <w:szCs w:val="24"/>
        </w:rPr>
      </w:pPr>
      <w:r w:rsidRPr="00610165">
        <w:rPr>
          <w:sz w:val="24"/>
          <w:szCs w:val="24"/>
        </w:rPr>
        <w:t xml:space="preserve">Dotacijų dalis per </w:t>
      </w:r>
      <w:r w:rsidR="00A92BB3" w:rsidRPr="00610165">
        <w:rPr>
          <w:sz w:val="24"/>
          <w:szCs w:val="24"/>
        </w:rPr>
        <w:t>2014-2016</w:t>
      </w:r>
      <w:r w:rsidRPr="00610165">
        <w:rPr>
          <w:sz w:val="24"/>
          <w:szCs w:val="24"/>
        </w:rPr>
        <w:t xml:space="preserve"> metus buvo </w:t>
      </w:r>
      <w:r w:rsidR="00015ACB" w:rsidRPr="00610165">
        <w:rPr>
          <w:sz w:val="24"/>
          <w:szCs w:val="24"/>
        </w:rPr>
        <w:t>labai p</w:t>
      </w:r>
      <w:r w:rsidRPr="00610165">
        <w:rPr>
          <w:sz w:val="24"/>
          <w:szCs w:val="24"/>
        </w:rPr>
        <w:t>anašiame lyg</w:t>
      </w:r>
      <w:r w:rsidR="00BD420E" w:rsidRPr="00610165">
        <w:rPr>
          <w:sz w:val="24"/>
          <w:szCs w:val="24"/>
        </w:rPr>
        <w:t>menyje</w:t>
      </w:r>
      <w:r w:rsidRPr="00610165">
        <w:rPr>
          <w:sz w:val="24"/>
          <w:szCs w:val="24"/>
        </w:rPr>
        <w:t>.</w:t>
      </w:r>
      <w:r w:rsidR="00A92BB3" w:rsidRPr="00610165">
        <w:rPr>
          <w:sz w:val="24"/>
          <w:szCs w:val="24"/>
        </w:rPr>
        <w:t xml:space="preserve"> Dotacijos padidėjo 2017 metais, nes </w:t>
      </w:r>
      <w:r w:rsidR="0075733E" w:rsidRPr="00610165">
        <w:rPr>
          <w:sz w:val="24"/>
          <w:szCs w:val="24"/>
        </w:rPr>
        <w:t>S</w:t>
      </w:r>
      <w:r w:rsidR="00A92BB3" w:rsidRPr="00610165">
        <w:rPr>
          <w:sz w:val="24"/>
          <w:szCs w:val="24"/>
        </w:rPr>
        <w:t xml:space="preserve">avivaldybės biudžete apskaitomos Europos </w:t>
      </w:r>
      <w:r w:rsidR="008D59CB" w:rsidRPr="00610165">
        <w:rPr>
          <w:sz w:val="24"/>
          <w:szCs w:val="24"/>
        </w:rPr>
        <w:t>Sąjungos</w:t>
      </w:r>
      <w:r w:rsidR="00A92BB3" w:rsidRPr="00610165">
        <w:rPr>
          <w:sz w:val="24"/>
          <w:szCs w:val="24"/>
        </w:rPr>
        <w:t xml:space="preserve"> finansinės paramos lėšos.</w:t>
      </w:r>
    </w:p>
    <w:p w:rsidR="00A92BB3" w:rsidRPr="00951198" w:rsidRDefault="00A92BB3" w:rsidP="00610165">
      <w:pPr>
        <w:ind w:firstLine="720"/>
        <w:jc w:val="both"/>
        <w:rPr>
          <w:sz w:val="24"/>
          <w:szCs w:val="24"/>
        </w:rPr>
      </w:pPr>
    </w:p>
    <w:p w:rsidR="00BC3B8D" w:rsidRPr="00951198" w:rsidRDefault="00BC3B8D" w:rsidP="00610165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3 paveiksle parodyta, kaip keitėsi Savivaldybės biudžeto pajamos per pastaruosius 4</w:t>
      </w:r>
      <w:r w:rsidR="00A92BB3" w:rsidRPr="00951198">
        <w:rPr>
          <w:sz w:val="24"/>
          <w:szCs w:val="24"/>
        </w:rPr>
        <w:t xml:space="preserve"> metus, t. y. 2014</w:t>
      </w:r>
      <w:r w:rsidRPr="00951198">
        <w:rPr>
          <w:sz w:val="24"/>
          <w:szCs w:val="24"/>
        </w:rPr>
        <w:t>-20</w:t>
      </w:r>
      <w:r w:rsidR="00A92BB3" w:rsidRPr="00951198">
        <w:rPr>
          <w:sz w:val="24"/>
          <w:szCs w:val="24"/>
        </w:rPr>
        <w:t>17</w:t>
      </w:r>
      <w:r w:rsidRPr="00951198">
        <w:rPr>
          <w:sz w:val="24"/>
          <w:szCs w:val="24"/>
        </w:rPr>
        <w:t xml:space="preserve"> metais. </w:t>
      </w:r>
    </w:p>
    <w:p w:rsidR="00BC3B8D" w:rsidRPr="00951198" w:rsidRDefault="003A46AC" w:rsidP="00DA7213">
      <w:pPr>
        <w:ind w:firstLine="420"/>
        <w:jc w:val="center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C3B589E" wp14:editId="6BC396D6">
            <wp:extent cx="5956935" cy="2736215"/>
            <wp:effectExtent l="0" t="0" r="0" b="0"/>
            <wp:docPr id="4" name="Objekt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C3B8D" w:rsidRPr="00951198">
        <w:rPr>
          <w:sz w:val="24"/>
          <w:szCs w:val="24"/>
        </w:rPr>
        <w:t>3 pa</w:t>
      </w:r>
      <w:r w:rsidR="00A92BB3" w:rsidRPr="00951198">
        <w:rPr>
          <w:sz w:val="24"/>
          <w:szCs w:val="24"/>
        </w:rPr>
        <w:t>v. Biudžeto pajamų dinamika 2014</w:t>
      </w:r>
      <w:r w:rsidR="00BC3B8D" w:rsidRPr="00951198">
        <w:rPr>
          <w:sz w:val="24"/>
          <w:szCs w:val="24"/>
        </w:rPr>
        <w:t>–201</w:t>
      </w:r>
      <w:r w:rsidR="00A92BB3" w:rsidRPr="00951198">
        <w:rPr>
          <w:sz w:val="24"/>
          <w:szCs w:val="24"/>
        </w:rPr>
        <w:t>7</w:t>
      </w:r>
      <w:r w:rsidR="00610165">
        <w:rPr>
          <w:sz w:val="24"/>
          <w:szCs w:val="24"/>
        </w:rPr>
        <w:t xml:space="preserve"> </w:t>
      </w:r>
      <w:r w:rsidR="00BC3B8D" w:rsidRPr="00951198">
        <w:rPr>
          <w:sz w:val="24"/>
          <w:szCs w:val="24"/>
        </w:rPr>
        <w:t>m., mln. eurų</w:t>
      </w:r>
    </w:p>
    <w:p w:rsidR="003B448A" w:rsidRPr="00951198" w:rsidRDefault="003435BD" w:rsidP="00610165">
      <w:pPr>
        <w:tabs>
          <w:tab w:val="left" w:pos="709"/>
        </w:tabs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951198">
        <w:rPr>
          <w:color w:val="000000"/>
          <w:sz w:val="24"/>
          <w:szCs w:val="24"/>
          <w:shd w:val="clear" w:color="auto" w:fill="FFFFFF"/>
        </w:rPr>
        <w:lastRenderedPageBreak/>
        <w:t>P</w:t>
      </w:r>
      <w:r w:rsidR="00BC3B8D" w:rsidRPr="00951198">
        <w:rPr>
          <w:color w:val="000000"/>
          <w:sz w:val="24"/>
          <w:szCs w:val="24"/>
          <w:shd w:val="clear" w:color="auto" w:fill="FFFFFF"/>
        </w:rPr>
        <w:t xml:space="preserve">ajamų didėjimas </w:t>
      </w:r>
      <w:r w:rsidR="005A2736" w:rsidRPr="00951198">
        <w:rPr>
          <w:color w:val="000000"/>
          <w:sz w:val="24"/>
          <w:szCs w:val="24"/>
          <w:shd w:val="clear" w:color="auto" w:fill="FFFFFF"/>
        </w:rPr>
        <w:t xml:space="preserve">buvo </w:t>
      </w:r>
      <w:r w:rsidRPr="00951198">
        <w:rPr>
          <w:color w:val="000000"/>
          <w:sz w:val="24"/>
          <w:szCs w:val="24"/>
          <w:shd w:val="clear" w:color="auto" w:fill="FFFFFF"/>
        </w:rPr>
        <w:t xml:space="preserve">paskutiniaisiais metais. </w:t>
      </w:r>
      <w:r w:rsidR="00BC3B8D" w:rsidRPr="00951198">
        <w:rPr>
          <w:color w:val="000000"/>
          <w:sz w:val="24"/>
          <w:szCs w:val="24"/>
          <w:shd w:val="clear" w:color="auto" w:fill="FFFFFF"/>
        </w:rPr>
        <w:t>Tai lėmė nauja dotacija</w:t>
      </w:r>
      <w:r w:rsidR="00BC3B8D" w:rsidRPr="00951198">
        <w:t xml:space="preserve"> </w:t>
      </w:r>
      <w:r w:rsidR="00BC3B8D" w:rsidRPr="00951198">
        <w:rPr>
          <w:color w:val="000000"/>
          <w:sz w:val="24"/>
          <w:szCs w:val="24"/>
          <w:shd w:val="clear" w:color="auto" w:fill="FFFFFF"/>
        </w:rPr>
        <w:t xml:space="preserve">savivaldybės vietinės reikšmės keliams (gatvėms) tiesti, taisyti, prižiūrėti, kuri nuo 2015 metų buvo apskaitoma Savivaldybės </w:t>
      </w:r>
      <w:r w:rsidR="00900483" w:rsidRPr="00951198">
        <w:rPr>
          <w:color w:val="000000"/>
          <w:sz w:val="24"/>
          <w:szCs w:val="24"/>
          <w:shd w:val="clear" w:color="auto" w:fill="FFFFFF"/>
        </w:rPr>
        <w:t>biudžete</w:t>
      </w:r>
      <w:r w:rsidR="00650895" w:rsidRPr="00951198">
        <w:rPr>
          <w:color w:val="000000"/>
          <w:sz w:val="24"/>
          <w:szCs w:val="24"/>
          <w:shd w:val="clear" w:color="auto" w:fill="FFFFFF"/>
        </w:rPr>
        <w:t>,</w:t>
      </w:r>
      <w:r w:rsidR="00900483" w:rsidRPr="00951198">
        <w:rPr>
          <w:color w:val="000000"/>
          <w:sz w:val="24"/>
          <w:szCs w:val="24"/>
          <w:shd w:val="clear" w:color="auto" w:fill="FFFFFF"/>
        </w:rPr>
        <w:t xml:space="preserve"> </w:t>
      </w:r>
      <w:r w:rsidR="00BC3B8D" w:rsidRPr="00951198">
        <w:rPr>
          <w:color w:val="000000"/>
          <w:sz w:val="24"/>
          <w:szCs w:val="24"/>
          <w:shd w:val="clear" w:color="auto" w:fill="FFFFFF"/>
        </w:rPr>
        <w:t xml:space="preserve">didesnės pajamos iš gyventojų pajamų mokesčio (savivaldybėms Finansinių rodiklių įstatymu kiekvienais metais skiriama didesnė </w:t>
      </w:r>
      <w:r w:rsidR="00BC3B8D" w:rsidRPr="00951198">
        <w:rPr>
          <w:sz w:val="24"/>
          <w:szCs w:val="24"/>
        </w:rPr>
        <w:t xml:space="preserve">gyventojų pajamų mokesčio dalis (procentais), tenkanti visų savivaldybių biudžetams nuo šio mokesčio pajamų į konsoliduotus valstybės biudžetą ir savivaldybių biudžetus): </w:t>
      </w:r>
      <w:r w:rsidRPr="00951198">
        <w:rPr>
          <w:sz w:val="24"/>
          <w:szCs w:val="24"/>
        </w:rPr>
        <w:t xml:space="preserve">2017 m. – 78,17 procento, </w:t>
      </w:r>
      <w:r w:rsidR="00900483" w:rsidRPr="00951198">
        <w:rPr>
          <w:sz w:val="24"/>
          <w:szCs w:val="24"/>
        </w:rPr>
        <w:t xml:space="preserve">2016 m. </w:t>
      </w:r>
      <w:r w:rsidR="000F65CA" w:rsidRPr="00951198">
        <w:rPr>
          <w:sz w:val="24"/>
          <w:szCs w:val="24"/>
        </w:rPr>
        <w:t xml:space="preserve">– 75,49 procento, </w:t>
      </w:r>
      <w:r w:rsidR="00BC3B8D" w:rsidRPr="00951198">
        <w:rPr>
          <w:sz w:val="24"/>
          <w:szCs w:val="24"/>
        </w:rPr>
        <w:t>2015 m.– 72,8 procento, 2014 m. -  67,78 proc.</w:t>
      </w:r>
      <w:r w:rsidR="00015ACB" w:rsidRPr="00951198">
        <w:rPr>
          <w:sz w:val="24"/>
          <w:szCs w:val="24"/>
        </w:rPr>
        <w:t xml:space="preserve"> Nuo 2017 metų </w:t>
      </w:r>
      <w:r w:rsidR="0075733E">
        <w:rPr>
          <w:sz w:val="24"/>
          <w:szCs w:val="24"/>
        </w:rPr>
        <w:t>S</w:t>
      </w:r>
      <w:r w:rsidR="00015ACB" w:rsidRPr="00951198">
        <w:rPr>
          <w:sz w:val="24"/>
          <w:szCs w:val="24"/>
        </w:rPr>
        <w:t>avivaldybės biudžete apskaitomos Europos Sąjungos finansinės paramos lėšos.</w:t>
      </w:r>
    </w:p>
    <w:p w:rsidR="00DA7C5A" w:rsidRDefault="00F91E8A" w:rsidP="00610165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 xml:space="preserve">Savivaldybės 2017 metų biudžeto pajamų plano pagal pajamų rūšis vykdymas parodytas 1 lentelėje. </w:t>
      </w:r>
    </w:p>
    <w:p w:rsidR="00F91E8A" w:rsidRPr="00951198" w:rsidRDefault="00F91E8A" w:rsidP="000369E4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 xml:space="preserve">    </w:t>
      </w:r>
    </w:p>
    <w:p w:rsidR="00F91E8A" w:rsidRDefault="00AE588E" w:rsidP="00F91E8A">
      <w:pPr>
        <w:jc w:val="center"/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 xml:space="preserve">1 lentelė. </w:t>
      </w:r>
      <w:r w:rsidR="00F91E8A" w:rsidRPr="00444670">
        <w:rPr>
          <w:b/>
          <w:sz w:val="24"/>
          <w:szCs w:val="24"/>
        </w:rPr>
        <w:t>Savivaldybės 2017 metų  biudžeto pajamų plano vykdymas, tūkst. eurų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1134"/>
        <w:gridCol w:w="1278"/>
        <w:gridCol w:w="1274"/>
        <w:gridCol w:w="1274"/>
        <w:gridCol w:w="1277"/>
      </w:tblGrid>
      <w:tr w:rsidR="00F91E8A" w:rsidRPr="00951198" w:rsidTr="004C14A1">
        <w:trPr>
          <w:trHeight w:val="1500"/>
        </w:trPr>
        <w:tc>
          <w:tcPr>
            <w:tcW w:w="800" w:type="dxa"/>
            <w:shd w:val="clear" w:color="auto" w:fill="auto"/>
            <w:hideMark/>
          </w:tcPr>
          <w:p w:rsidR="00F91E8A" w:rsidRPr="00951198" w:rsidRDefault="00F91E8A" w:rsidP="00C9426B">
            <w:pPr>
              <w:jc w:val="both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Eil. Nr.</w:t>
            </w:r>
          </w:p>
        </w:tc>
        <w:tc>
          <w:tcPr>
            <w:tcW w:w="2710" w:type="dxa"/>
            <w:shd w:val="clear" w:color="auto" w:fill="auto"/>
            <w:noWrap/>
            <w:hideMark/>
          </w:tcPr>
          <w:p w:rsidR="00F91E8A" w:rsidRPr="00951198" w:rsidRDefault="00F91E8A" w:rsidP="00C9426B">
            <w:pPr>
              <w:jc w:val="both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Pajamų pavadinimas</w:t>
            </w:r>
          </w:p>
        </w:tc>
        <w:tc>
          <w:tcPr>
            <w:tcW w:w="1134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2017 m. biudžeto planas metų pradžioje</w:t>
            </w:r>
          </w:p>
        </w:tc>
        <w:tc>
          <w:tcPr>
            <w:tcW w:w="1278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2017 metų plano pakeitimai</w:t>
            </w:r>
          </w:p>
        </w:tc>
        <w:tc>
          <w:tcPr>
            <w:tcW w:w="1274" w:type="dxa"/>
            <w:shd w:val="clear" w:color="auto" w:fill="auto"/>
            <w:hideMark/>
          </w:tcPr>
          <w:p w:rsidR="004C14A1" w:rsidRDefault="00F91E8A" w:rsidP="004C14A1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 xml:space="preserve">2017 m. </w:t>
            </w:r>
            <w:proofErr w:type="spellStart"/>
            <w:r w:rsidRPr="00951198">
              <w:rPr>
                <w:sz w:val="24"/>
                <w:szCs w:val="24"/>
              </w:rPr>
              <w:t>patikslin</w:t>
            </w:r>
            <w:proofErr w:type="spellEnd"/>
          </w:p>
          <w:p w:rsidR="00F91E8A" w:rsidRPr="00951198" w:rsidRDefault="00F91E8A" w:rsidP="004C14A1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ta</w:t>
            </w:r>
            <w:r w:rsidR="004C14A1">
              <w:rPr>
                <w:sz w:val="24"/>
                <w:szCs w:val="24"/>
              </w:rPr>
              <w:t>s</w:t>
            </w:r>
            <w:r w:rsidRPr="00951198">
              <w:rPr>
                <w:sz w:val="24"/>
                <w:szCs w:val="24"/>
              </w:rPr>
              <w:t xml:space="preserve"> planas</w:t>
            </w:r>
          </w:p>
        </w:tc>
        <w:tc>
          <w:tcPr>
            <w:tcW w:w="1274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2017 m. patikslinto plano įvykdymas</w:t>
            </w:r>
          </w:p>
        </w:tc>
        <w:tc>
          <w:tcPr>
            <w:tcW w:w="1277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2017 m. patikslinto plano įvykdymo proc.</w:t>
            </w:r>
          </w:p>
        </w:tc>
      </w:tr>
      <w:tr w:rsidR="00F91E8A" w:rsidRPr="00951198" w:rsidTr="004C14A1">
        <w:trPr>
          <w:trHeight w:val="255"/>
        </w:trPr>
        <w:tc>
          <w:tcPr>
            <w:tcW w:w="800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7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951198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951198" w:rsidRDefault="00F91E8A" w:rsidP="00C9426B">
            <w:pPr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Gyventojų pajamų mokestis proc.)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13933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343,9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14276,9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951198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14569,8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951198">
              <w:rPr>
                <w:sz w:val="24"/>
                <w:szCs w:val="24"/>
              </w:rPr>
              <w:t>102,1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Žemės mokestis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102,5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Nekilnojamojo turto mokestis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409,9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100,2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Paveldimo turto mokestis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-3,5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98,5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Nuomos mokestis už valstybinę žemę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163,1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101,9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Valstybės  rinkliava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110,7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Pajamos iš baudų</w:t>
            </w:r>
            <w:r w:rsidRPr="00DE0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 konfiskacijos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Dividendai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102,8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5723C5" w:rsidP="0057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Palūkanos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 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5723C5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</w:t>
            </w:r>
            <w:r w:rsidR="005723C5">
              <w:rPr>
                <w:sz w:val="24"/>
                <w:szCs w:val="24"/>
              </w:rPr>
              <w:t>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Kitos neišvardytos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100,6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5723C5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</w:t>
            </w:r>
            <w:r w:rsidR="005723C5">
              <w:rPr>
                <w:sz w:val="24"/>
                <w:szCs w:val="24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 xml:space="preserve">Sandoriai </w:t>
            </w:r>
            <w:r>
              <w:rPr>
                <w:sz w:val="24"/>
                <w:szCs w:val="24"/>
              </w:rPr>
              <w:t xml:space="preserve">dėl </w:t>
            </w:r>
            <w:r w:rsidRPr="00DE0287">
              <w:rPr>
                <w:sz w:val="24"/>
                <w:szCs w:val="24"/>
              </w:rPr>
              <w:t>materialiojo ir nematerialiojo turto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550,3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57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3C5">
              <w:rPr>
                <w:sz w:val="24"/>
                <w:szCs w:val="24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Vietinė rinkliav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109,9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3C5">
              <w:rPr>
                <w:sz w:val="24"/>
                <w:szCs w:val="24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Vietinė rinkliav</w:t>
            </w:r>
            <w:r>
              <w:rPr>
                <w:sz w:val="24"/>
                <w:szCs w:val="24"/>
              </w:rPr>
              <w:t>a</w:t>
            </w:r>
            <w:r w:rsidRPr="00DE0287">
              <w:rPr>
                <w:sz w:val="24"/>
                <w:szCs w:val="24"/>
              </w:rPr>
              <w:t xml:space="preserve"> (už atliekų tvarkymą)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1076,5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97,5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</w:t>
            </w:r>
            <w:r w:rsidR="005723C5">
              <w:rPr>
                <w:sz w:val="24"/>
                <w:szCs w:val="24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 xml:space="preserve">Pajamos už </w:t>
            </w:r>
            <w:r>
              <w:rPr>
                <w:sz w:val="24"/>
                <w:szCs w:val="24"/>
              </w:rPr>
              <w:t xml:space="preserve">patalpų </w:t>
            </w:r>
            <w:r w:rsidRPr="00DE0287">
              <w:rPr>
                <w:sz w:val="24"/>
                <w:szCs w:val="24"/>
              </w:rPr>
              <w:t>nuomą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151,4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164,1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157,7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96,1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</w:t>
            </w:r>
            <w:r w:rsidR="00F5727B">
              <w:rPr>
                <w:sz w:val="24"/>
                <w:szCs w:val="24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 xml:space="preserve">Pajamos už </w:t>
            </w:r>
            <w:r>
              <w:rPr>
                <w:sz w:val="24"/>
                <w:szCs w:val="24"/>
              </w:rPr>
              <w:t>atsitiktines paslaugas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149,3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176,9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167,8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94,9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</w:t>
            </w:r>
            <w:r w:rsidR="00F5727B">
              <w:rPr>
                <w:sz w:val="24"/>
                <w:szCs w:val="24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Įmokos už išlaikymą švietimo, soc. įstaigose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547,1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-2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545,1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93,4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</w:t>
            </w:r>
            <w:r w:rsidR="00F5727B">
              <w:rPr>
                <w:sz w:val="24"/>
                <w:szCs w:val="24"/>
              </w:rP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Mokestis už aplinkos teršimą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102,8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</w:t>
            </w:r>
            <w:r w:rsidR="00F5727B">
              <w:rPr>
                <w:sz w:val="24"/>
                <w:szCs w:val="24"/>
              </w:rPr>
              <w:t>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Mokestis </w:t>
            </w:r>
            <w:r w:rsidRPr="00DE0287">
              <w:rPr>
                <w:sz w:val="24"/>
                <w:szCs w:val="24"/>
              </w:rPr>
              <w:t>už valstyb</w:t>
            </w:r>
            <w:r>
              <w:rPr>
                <w:sz w:val="24"/>
                <w:szCs w:val="24"/>
              </w:rPr>
              <w:t>inius</w:t>
            </w:r>
            <w:r w:rsidRPr="00DE0287">
              <w:rPr>
                <w:sz w:val="24"/>
                <w:szCs w:val="24"/>
              </w:rPr>
              <w:t xml:space="preserve"> gamtos išteklius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51,3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123,9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5727B" w:rsidP="00C9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11738,3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3616,9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15355,2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14877,1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96,9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b/>
                <w:sz w:val="24"/>
                <w:szCs w:val="24"/>
              </w:rPr>
            </w:pPr>
            <w:r w:rsidRPr="00DE0287">
              <w:rPr>
                <w:b/>
                <w:sz w:val="24"/>
                <w:szCs w:val="24"/>
              </w:rPr>
              <w:t>2</w:t>
            </w:r>
            <w:r w:rsidR="00F5727B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b/>
                <w:sz w:val="24"/>
                <w:szCs w:val="24"/>
              </w:rPr>
            </w:pPr>
            <w:r w:rsidRPr="00DE0287">
              <w:rPr>
                <w:b/>
                <w:sz w:val="24"/>
                <w:szCs w:val="24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b/>
                <w:sz w:val="24"/>
                <w:szCs w:val="24"/>
              </w:rPr>
            </w:pPr>
            <w:r w:rsidRPr="00DE0287">
              <w:rPr>
                <w:b/>
                <w:sz w:val="24"/>
                <w:szCs w:val="24"/>
              </w:rPr>
              <w:t>28471,1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b/>
                <w:sz w:val="24"/>
                <w:szCs w:val="24"/>
              </w:rPr>
            </w:pPr>
            <w:r w:rsidRPr="00DE0287">
              <w:rPr>
                <w:b/>
                <w:sz w:val="24"/>
                <w:szCs w:val="24"/>
              </w:rPr>
              <w:t>4292,1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b/>
                <w:sz w:val="24"/>
                <w:szCs w:val="24"/>
              </w:rPr>
            </w:pPr>
            <w:r w:rsidRPr="00DE0287">
              <w:rPr>
                <w:b/>
                <w:sz w:val="24"/>
                <w:szCs w:val="24"/>
              </w:rPr>
              <w:t>32763,2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32713,4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b/>
                <w:sz w:val="24"/>
                <w:szCs w:val="24"/>
              </w:rPr>
            </w:pPr>
            <w:r w:rsidRPr="00DE0287">
              <w:rPr>
                <w:b/>
                <w:sz w:val="24"/>
                <w:szCs w:val="24"/>
              </w:rPr>
              <w:t>99,8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</w:t>
            </w:r>
            <w:r w:rsidR="00F5727B">
              <w:rPr>
                <w:sz w:val="24"/>
                <w:szCs w:val="24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Laisvi likučiai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442,3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442,3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442,3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100,0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lastRenderedPageBreak/>
              <w:t>2</w:t>
            </w:r>
            <w:r w:rsidR="00F5727B">
              <w:rPr>
                <w:sz w:val="24"/>
                <w:szCs w:val="24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Aplinkos apsaugos rėmimo programos</w:t>
            </w:r>
            <w:r w:rsidR="00F5727B" w:rsidRPr="00DE0287">
              <w:rPr>
                <w:sz w:val="24"/>
                <w:szCs w:val="24"/>
              </w:rPr>
              <w:t xml:space="preserve"> </w:t>
            </w:r>
            <w:r w:rsidR="00F5727B">
              <w:rPr>
                <w:sz w:val="24"/>
                <w:szCs w:val="24"/>
              </w:rPr>
              <w:t>l</w:t>
            </w:r>
            <w:r w:rsidR="00F5727B" w:rsidRPr="00DE0287">
              <w:rPr>
                <w:sz w:val="24"/>
                <w:szCs w:val="24"/>
              </w:rPr>
              <w:t>ikutis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100,0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</w:t>
            </w:r>
            <w:r w:rsidR="00F5727B">
              <w:rPr>
                <w:sz w:val="24"/>
                <w:szCs w:val="24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 xml:space="preserve">Likutis už parduotą žemę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100,0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</w:t>
            </w:r>
            <w:r w:rsidR="00F5727B">
              <w:rPr>
                <w:sz w:val="24"/>
                <w:szCs w:val="24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 xml:space="preserve">Likutis už parduotą socialinį būstą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199,6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199,6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199,6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100,0</w:t>
            </w:r>
          </w:p>
        </w:tc>
      </w:tr>
      <w:tr w:rsidR="00F91E8A" w:rsidRPr="00DE0287" w:rsidTr="004C14A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2</w:t>
            </w:r>
            <w:r w:rsidR="00F5727B">
              <w:rPr>
                <w:sz w:val="24"/>
                <w:szCs w:val="24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8A" w:rsidRPr="00DE0287" w:rsidRDefault="00F91E8A" w:rsidP="00C9426B">
            <w:pPr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ES lėšų laisvi likučiai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8A" w:rsidRPr="00DE0287" w:rsidRDefault="00F91E8A" w:rsidP="00C9426B">
            <w:pPr>
              <w:jc w:val="center"/>
              <w:rPr>
                <w:sz w:val="24"/>
                <w:szCs w:val="24"/>
              </w:rPr>
            </w:pPr>
            <w:r w:rsidRPr="00DE0287">
              <w:rPr>
                <w:sz w:val="24"/>
                <w:szCs w:val="24"/>
              </w:rPr>
              <w:t>100,0</w:t>
            </w:r>
          </w:p>
        </w:tc>
      </w:tr>
    </w:tbl>
    <w:p w:rsidR="000369E4" w:rsidRDefault="00F91E8A" w:rsidP="0071594B">
      <w:pPr>
        <w:jc w:val="both"/>
        <w:rPr>
          <w:sz w:val="24"/>
          <w:szCs w:val="24"/>
          <w:lang w:eastAsia="lt-LT"/>
        </w:rPr>
      </w:pPr>
      <w:r w:rsidRPr="007D7CC3">
        <w:rPr>
          <w:sz w:val="24"/>
          <w:szCs w:val="24"/>
          <w:lang w:eastAsia="lt-LT"/>
        </w:rPr>
        <w:t xml:space="preserve"> </w:t>
      </w:r>
    </w:p>
    <w:p w:rsidR="00F91E8A" w:rsidRPr="007D7CC3" w:rsidRDefault="00F91E8A" w:rsidP="00F91E8A">
      <w:pPr>
        <w:ind w:firstLine="720"/>
        <w:jc w:val="both"/>
        <w:rPr>
          <w:sz w:val="24"/>
          <w:szCs w:val="24"/>
          <w:lang w:eastAsia="lt-LT"/>
        </w:rPr>
      </w:pPr>
      <w:r w:rsidRPr="007D7CC3">
        <w:rPr>
          <w:sz w:val="24"/>
          <w:szCs w:val="24"/>
          <w:lang w:eastAsia="lt-LT"/>
        </w:rPr>
        <w:t>2017 metais Savivaldybės taryba savo sprendimais juridiniams ir fiziniams asmenims suteikė 69,4 tūkst. eurų mokesčių lengvatų:</w:t>
      </w:r>
    </w:p>
    <w:p w:rsidR="00F91E8A" w:rsidRPr="007D7CC3" w:rsidRDefault="00F91E8A" w:rsidP="00F91E8A">
      <w:pPr>
        <w:ind w:firstLine="720"/>
        <w:jc w:val="both"/>
        <w:rPr>
          <w:sz w:val="24"/>
          <w:szCs w:val="24"/>
          <w:lang w:eastAsia="lt-LT"/>
        </w:rPr>
      </w:pPr>
      <w:r w:rsidRPr="007D7CC3">
        <w:rPr>
          <w:sz w:val="24"/>
          <w:szCs w:val="24"/>
          <w:lang w:eastAsia="lt-LT"/>
        </w:rPr>
        <w:t>1. Gyventojų pajamų mokesčio – 14,3 tūkst. eurų;</w:t>
      </w:r>
    </w:p>
    <w:p w:rsidR="00F91E8A" w:rsidRPr="007D7CC3" w:rsidRDefault="00F91E8A" w:rsidP="00F91E8A">
      <w:pPr>
        <w:ind w:firstLine="720"/>
        <w:jc w:val="both"/>
        <w:rPr>
          <w:sz w:val="24"/>
          <w:szCs w:val="24"/>
          <w:lang w:eastAsia="lt-LT"/>
        </w:rPr>
      </w:pPr>
      <w:r w:rsidRPr="007D7CC3">
        <w:rPr>
          <w:sz w:val="24"/>
          <w:szCs w:val="24"/>
          <w:lang w:eastAsia="lt-LT"/>
        </w:rPr>
        <w:t>2. Žemės nuomos mokesčio – 13,8 tūkst. eurų;</w:t>
      </w:r>
    </w:p>
    <w:p w:rsidR="00F91E8A" w:rsidRPr="007D7CC3" w:rsidRDefault="00F91E8A" w:rsidP="00F91E8A">
      <w:pPr>
        <w:ind w:firstLine="720"/>
        <w:jc w:val="both"/>
        <w:rPr>
          <w:sz w:val="24"/>
          <w:szCs w:val="24"/>
          <w:lang w:eastAsia="lt-LT"/>
        </w:rPr>
      </w:pPr>
      <w:r w:rsidRPr="007D7CC3">
        <w:rPr>
          <w:sz w:val="24"/>
          <w:szCs w:val="24"/>
          <w:lang w:eastAsia="lt-LT"/>
        </w:rPr>
        <w:t xml:space="preserve">3. Žemės mokesčio – 41,3 tūkst. eurų;  </w:t>
      </w:r>
    </w:p>
    <w:p w:rsidR="00071CE1" w:rsidRDefault="004B4053" w:rsidP="00807321">
      <w:pPr>
        <w:ind w:firstLine="42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     </w:t>
      </w:r>
    </w:p>
    <w:p w:rsidR="00807321" w:rsidRPr="00951198" w:rsidRDefault="00807321" w:rsidP="00807321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51198">
        <w:rPr>
          <w:b/>
          <w:sz w:val="28"/>
          <w:szCs w:val="28"/>
        </w:rPr>
        <w:t>Išlaidų plano įvykdymas</w:t>
      </w:r>
    </w:p>
    <w:p w:rsidR="000369E4" w:rsidRPr="00951198" w:rsidRDefault="000369E4" w:rsidP="00807321">
      <w:pPr>
        <w:ind w:firstLine="420"/>
        <w:jc w:val="center"/>
        <w:rPr>
          <w:b/>
          <w:sz w:val="24"/>
          <w:szCs w:val="24"/>
        </w:rPr>
      </w:pPr>
    </w:p>
    <w:p w:rsidR="004B4053" w:rsidRPr="00951198" w:rsidRDefault="00807321" w:rsidP="00610165">
      <w:pPr>
        <w:ind w:firstLine="720"/>
        <w:jc w:val="both"/>
        <w:rPr>
          <w:sz w:val="24"/>
          <w:szCs w:val="24"/>
        </w:rPr>
      </w:pPr>
      <w:r w:rsidRPr="00215BD2">
        <w:rPr>
          <w:sz w:val="24"/>
          <w:szCs w:val="24"/>
        </w:rPr>
        <w:t>Patikslintas</w:t>
      </w:r>
      <w:r w:rsidRPr="00951198">
        <w:rPr>
          <w:sz w:val="24"/>
          <w:szCs w:val="24"/>
        </w:rPr>
        <w:t xml:space="preserve"> 201</w:t>
      </w:r>
      <w:r w:rsidR="00F91E8A" w:rsidRPr="00951198">
        <w:rPr>
          <w:sz w:val="24"/>
          <w:szCs w:val="24"/>
        </w:rPr>
        <w:t>7</w:t>
      </w:r>
      <w:r w:rsidRPr="00951198">
        <w:rPr>
          <w:sz w:val="24"/>
          <w:szCs w:val="24"/>
        </w:rPr>
        <w:t xml:space="preserve"> m. išlaidų planas buvo </w:t>
      </w:r>
      <w:r w:rsidR="00F91E8A" w:rsidRPr="00951198">
        <w:rPr>
          <w:sz w:val="24"/>
          <w:szCs w:val="24"/>
        </w:rPr>
        <w:t>34 371,7</w:t>
      </w:r>
      <w:r w:rsidR="008C5C6F" w:rsidRPr="00951198">
        <w:rPr>
          <w:sz w:val="24"/>
          <w:szCs w:val="24"/>
        </w:rPr>
        <w:t xml:space="preserve"> tūkst. eurų</w:t>
      </w:r>
      <w:r w:rsidR="00F91E8A" w:rsidRPr="00951198">
        <w:rPr>
          <w:sz w:val="24"/>
          <w:szCs w:val="24"/>
        </w:rPr>
        <w:t xml:space="preserve">. Išlaidų planas įvykdytas 96,7 </w:t>
      </w:r>
      <w:r w:rsidR="008C5C6F" w:rsidRPr="00951198">
        <w:rPr>
          <w:sz w:val="24"/>
          <w:szCs w:val="24"/>
        </w:rPr>
        <w:t>procento</w:t>
      </w:r>
      <w:r w:rsidR="0064602E">
        <w:rPr>
          <w:sz w:val="24"/>
          <w:szCs w:val="24"/>
        </w:rPr>
        <w:t>,</w:t>
      </w:r>
      <w:r w:rsidR="008C5C6F" w:rsidRPr="00951198">
        <w:rPr>
          <w:sz w:val="24"/>
          <w:szCs w:val="24"/>
        </w:rPr>
        <w:t xml:space="preserve"> ir a</w:t>
      </w:r>
      <w:r w:rsidRPr="00951198">
        <w:rPr>
          <w:sz w:val="24"/>
          <w:szCs w:val="24"/>
        </w:rPr>
        <w:t>tskiroms veiklos pr</w:t>
      </w:r>
      <w:r w:rsidR="00F91E8A" w:rsidRPr="00951198">
        <w:rPr>
          <w:sz w:val="24"/>
          <w:szCs w:val="24"/>
        </w:rPr>
        <w:t>iemonėms finansuoti panaudota 33 241,8</w:t>
      </w:r>
      <w:r w:rsidRPr="00951198">
        <w:rPr>
          <w:sz w:val="24"/>
          <w:szCs w:val="24"/>
        </w:rPr>
        <w:t xml:space="preserve"> tūkst. eurų. 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 xml:space="preserve">Ataskaitinio laikotarpio pabaigoje į valstybės biudžetą grąžinta </w:t>
      </w:r>
      <w:r w:rsidR="00F91E8A" w:rsidRPr="00951198">
        <w:rPr>
          <w:sz w:val="24"/>
          <w:szCs w:val="24"/>
          <w:lang w:eastAsia="lt-LT"/>
        </w:rPr>
        <w:t>17,8</w:t>
      </w:r>
      <w:r w:rsidRPr="00951198">
        <w:rPr>
          <w:sz w:val="24"/>
          <w:szCs w:val="24"/>
          <w:lang w:eastAsia="lt-LT"/>
        </w:rPr>
        <w:t xml:space="preserve"> tūkst. eurų nepanaudotų lėšų: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 xml:space="preserve">1. </w:t>
      </w:r>
      <w:r w:rsidR="00F91E8A" w:rsidRPr="00951198">
        <w:rPr>
          <w:sz w:val="24"/>
          <w:szCs w:val="24"/>
          <w:lang w:eastAsia="lt-LT"/>
        </w:rPr>
        <w:t>11,4</w:t>
      </w:r>
      <w:r w:rsidRPr="00951198">
        <w:rPr>
          <w:sz w:val="24"/>
          <w:szCs w:val="24"/>
          <w:lang w:eastAsia="lt-LT"/>
        </w:rPr>
        <w:t xml:space="preserve"> tūkst. eurų  - valstybinėms (perduotoms savivaldybei) funkcijoms vykdyti, iš jų:        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 xml:space="preserve">1.1. </w:t>
      </w:r>
      <w:r w:rsidR="00F91E8A" w:rsidRPr="00951198">
        <w:rPr>
          <w:sz w:val="24"/>
          <w:szCs w:val="24"/>
          <w:lang w:eastAsia="lt-LT"/>
        </w:rPr>
        <w:t>0,4</w:t>
      </w:r>
      <w:r w:rsidRPr="00951198">
        <w:rPr>
          <w:sz w:val="24"/>
          <w:szCs w:val="24"/>
          <w:lang w:eastAsia="lt-LT"/>
        </w:rPr>
        <w:t xml:space="preserve"> tūkst. eurų - socialinėms paslaugoms finansuoti;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 xml:space="preserve">1.2. </w:t>
      </w:r>
      <w:r w:rsidR="00F91E8A" w:rsidRPr="00951198">
        <w:rPr>
          <w:sz w:val="24"/>
          <w:szCs w:val="24"/>
          <w:lang w:eastAsia="lt-LT"/>
        </w:rPr>
        <w:t>5,4</w:t>
      </w:r>
      <w:r w:rsidRPr="00951198">
        <w:rPr>
          <w:sz w:val="24"/>
          <w:szCs w:val="24"/>
          <w:lang w:eastAsia="lt-LT"/>
        </w:rPr>
        <w:t xml:space="preserve"> tūkst. eurų -  socialinei paramai mokiniams;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 xml:space="preserve">1.3. </w:t>
      </w:r>
      <w:r w:rsidR="00F91E8A" w:rsidRPr="00951198">
        <w:rPr>
          <w:sz w:val="24"/>
          <w:szCs w:val="24"/>
          <w:lang w:eastAsia="lt-LT"/>
        </w:rPr>
        <w:t>3,5</w:t>
      </w:r>
      <w:r w:rsidRPr="00951198">
        <w:rPr>
          <w:sz w:val="24"/>
          <w:szCs w:val="24"/>
          <w:lang w:eastAsia="lt-LT"/>
        </w:rPr>
        <w:t xml:space="preserve"> tūkst. eurų</w:t>
      </w:r>
      <w:r w:rsidR="00B0603F" w:rsidRPr="00951198">
        <w:rPr>
          <w:sz w:val="24"/>
          <w:szCs w:val="24"/>
          <w:lang w:eastAsia="lt-LT"/>
        </w:rPr>
        <w:t xml:space="preserve"> </w:t>
      </w:r>
      <w:r w:rsidRPr="00951198">
        <w:rPr>
          <w:sz w:val="24"/>
          <w:szCs w:val="24"/>
          <w:lang w:eastAsia="lt-LT"/>
        </w:rPr>
        <w:t>- socialinėms išmokoms ir kompensacijoms skaičiuoti ir mokėti;</w:t>
      </w:r>
    </w:p>
    <w:p w:rsidR="00F91E8A" w:rsidRPr="00951198" w:rsidRDefault="00F91E8A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1.4.</w:t>
      </w:r>
      <w:r w:rsidR="00B0603F" w:rsidRPr="00951198">
        <w:rPr>
          <w:sz w:val="24"/>
          <w:szCs w:val="24"/>
          <w:lang w:eastAsia="lt-LT"/>
        </w:rPr>
        <w:t xml:space="preserve"> 0,1 tūkst. eurų – neveiksnių asmenų būklės peržiūrėjimui užtikrinti;</w:t>
      </w:r>
    </w:p>
    <w:p w:rsidR="008C5C6F" w:rsidRPr="00951198" w:rsidRDefault="00B0603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1.5. 1</w:t>
      </w:r>
      <w:r w:rsidR="008C5C6F" w:rsidRPr="00951198">
        <w:rPr>
          <w:sz w:val="24"/>
          <w:szCs w:val="24"/>
          <w:lang w:eastAsia="lt-LT"/>
        </w:rPr>
        <w:t>,7 tūkst. eurų - dalyvauti rengiant ir įgyvendinant darbo rinkos politikos priemones ir gyventojų užimtumo programas;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1.6. kitų valstybinėms (perduotoms savivaldybei) funkc</w:t>
      </w:r>
      <w:r w:rsidR="00B0603F" w:rsidRPr="00951198">
        <w:rPr>
          <w:sz w:val="24"/>
          <w:szCs w:val="24"/>
          <w:lang w:eastAsia="lt-LT"/>
        </w:rPr>
        <w:t xml:space="preserve">ijoms vykdyti lėšų grąžinta 0,3 </w:t>
      </w:r>
      <w:r w:rsidRPr="00951198">
        <w:rPr>
          <w:sz w:val="24"/>
          <w:szCs w:val="24"/>
          <w:lang w:eastAsia="lt-LT"/>
        </w:rPr>
        <w:t>tūkst. eurų.</w:t>
      </w:r>
    </w:p>
    <w:p w:rsidR="008C5C6F" w:rsidRPr="00951198" w:rsidRDefault="00610165" w:rsidP="00610165">
      <w:pPr>
        <w:tabs>
          <w:tab w:val="left" w:pos="1125"/>
          <w:tab w:val="left" w:pos="1380"/>
        </w:tabs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2.</w:t>
      </w:r>
      <w:r w:rsidR="008C5C6F" w:rsidRPr="00951198">
        <w:rPr>
          <w:sz w:val="24"/>
          <w:szCs w:val="24"/>
          <w:lang w:eastAsia="lt-LT"/>
        </w:rPr>
        <w:t xml:space="preserve"> Mokinio krepšelio lėšų grąžinta </w:t>
      </w:r>
      <w:r w:rsidR="00B0603F" w:rsidRPr="00951198">
        <w:rPr>
          <w:sz w:val="24"/>
          <w:szCs w:val="24"/>
          <w:lang w:eastAsia="lt-LT"/>
        </w:rPr>
        <w:t>1,5</w:t>
      </w:r>
      <w:r w:rsidR="008C5C6F" w:rsidRPr="00951198">
        <w:rPr>
          <w:sz w:val="24"/>
          <w:szCs w:val="24"/>
          <w:lang w:eastAsia="lt-LT"/>
        </w:rPr>
        <w:t xml:space="preserve"> tūkst. eurų.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 xml:space="preserve">3. </w:t>
      </w:r>
      <w:r w:rsidR="0064602E">
        <w:rPr>
          <w:sz w:val="24"/>
          <w:szCs w:val="24"/>
          <w:lang w:eastAsia="lt-LT"/>
        </w:rPr>
        <w:t>Lėšų, skirtų i</w:t>
      </w:r>
      <w:r w:rsidRPr="00951198">
        <w:rPr>
          <w:sz w:val="24"/>
          <w:szCs w:val="24"/>
          <w:lang w:eastAsia="lt-LT"/>
        </w:rPr>
        <w:t xml:space="preserve">šlaidoms, susijusioms su pedagoginių darbuotojų skaičiaus optimizavimu, grąžinta </w:t>
      </w:r>
      <w:r w:rsidR="00B0603F" w:rsidRPr="00951198">
        <w:rPr>
          <w:sz w:val="24"/>
          <w:szCs w:val="24"/>
          <w:lang w:eastAsia="lt-LT"/>
        </w:rPr>
        <w:t>4,5</w:t>
      </w:r>
      <w:r w:rsidRPr="00951198">
        <w:rPr>
          <w:sz w:val="24"/>
          <w:szCs w:val="24"/>
          <w:lang w:eastAsia="lt-LT"/>
        </w:rPr>
        <w:t xml:space="preserve"> tūkst. eurų.</w:t>
      </w:r>
    </w:p>
    <w:p w:rsidR="008C5C6F" w:rsidRPr="00951198" w:rsidRDefault="008C5C6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4. Asignavimų</w:t>
      </w:r>
      <w:r w:rsidR="00B0603F" w:rsidRPr="00951198">
        <w:rPr>
          <w:sz w:val="24"/>
          <w:szCs w:val="24"/>
          <w:lang w:eastAsia="lt-LT"/>
        </w:rPr>
        <w:t>, skirtų pe</w:t>
      </w:r>
      <w:r w:rsidR="007902AB">
        <w:rPr>
          <w:sz w:val="24"/>
          <w:szCs w:val="24"/>
          <w:lang w:eastAsia="lt-LT"/>
        </w:rPr>
        <w:t>dagoginių darbuotojų darbo apmo</w:t>
      </w:r>
      <w:r w:rsidR="00B0603F" w:rsidRPr="00951198">
        <w:rPr>
          <w:sz w:val="24"/>
          <w:szCs w:val="24"/>
          <w:lang w:eastAsia="lt-LT"/>
        </w:rPr>
        <w:t>kėjimo sąlygoms gerinti, grąžinta 0,1</w:t>
      </w:r>
      <w:r w:rsidRPr="00951198">
        <w:rPr>
          <w:sz w:val="24"/>
          <w:szCs w:val="24"/>
          <w:lang w:eastAsia="lt-LT"/>
        </w:rPr>
        <w:t xml:space="preserve"> tūkst. eurų.</w:t>
      </w:r>
    </w:p>
    <w:p w:rsidR="00B0603F" w:rsidRPr="00951198" w:rsidRDefault="00B0603F" w:rsidP="00610165">
      <w:pPr>
        <w:ind w:firstLine="720"/>
        <w:jc w:val="both"/>
        <w:rPr>
          <w:sz w:val="24"/>
          <w:szCs w:val="24"/>
          <w:lang w:eastAsia="lt-LT"/>
        </w:rPr>
      </w:pPr>
      <w:r w:rsidRPr="00951198">
        <w:rPr>
          <w:sz w:val="24"/>
          <w:szCs w:val="24"/>
          <w:lang w:eastAsia="lt-LT"/>
        </w:rPr>
        <w:t>5. Kitų tikslinių dotacijų – 0,3 tūkst. eurų.</w:t>
      </w:r>
    </w:p>
    <w:p w:rsidR="008C5C6F" w:rsidRPr="00951198" w:rsidRDefault="00610165" w:rsidP="006101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Ketverių </w:t>
      </w:r>
      <w:r w:rsidR="008C5C6F" w:rsidRPr="00951198">
        <w:rPr>
          <w:sz w:val="24"/>
          <w:szCs w:val="24"/>
        </w:rPr>
        <w:t xml:space="preserve">metų </w:t>
      </w:r>
      <w:r w:rsidR="000000DB" w:rsidRPr="00951198">
        <w:rPr>
          <w:sz w:val="24"/>
          <w:szCs w:val="24"/>
        </w:rPr>
        <w:t xml:space="preserve">asignavimų </w:t>
      </w:r>
      <w:r w:rsidR="008C5C6F" w:rsidRPr="00951198">
        <w:rPr>
          <w:sz w:val="24"/>
          <w:szCs w:val="24"/>
        </w:rPr>
        <w:t xml:space="preserve">dinamika, analizuojant plano įvykdymą, pavaizduota 4 paveiksle.    </w:t>
      </w:r>
    </w:p>
    <w:p w:rsidR="00284DAD" w:rsidRDefault="008C5C6F" w:rsidP="00610165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2015</w:t>
      </w:r>
      <w:r w:rsidR="000000DB" w:rsidRPr="00951198">
        <w:rPr>
          <w:sz w:val="24"/>
          <w:szCs w:val="24"/>
        </w:rPr>
        <w:t xml:space="preserve">, 2016 </w:t>
      </w:r>
      <w:r w:rsidRPr="00951198">
        <w:rPr>
          <w:sz w:val="24"/>
          <w:szCs w:val="24"/>
        </w:rPr>
        <w:t xml:space="preserve"> metais išlaidos didėjo, nes dotacija savivaldybės vietinės reikšmės keliams (gatvėms) tiesti, taisyti, prižiūrėti (apie 1,9 mln. </w:t>
      </w:r>
      <w:r w:rsidR="00EB0527" w:rsidRPr="00951198">
        <w:rPr>
          <w:sz w:val="24"/>
          <w:szCs w:val="24"/>
        </w:rPr>
        <w:t>e</w:t>
      </w:r>
      <w:r w:rsidRPr="00951198">
        <w:rPr>
          <w:sz w:val="24"/>
          <w:szCs w:val="24"/>
        </w:rPr>
        <w:t>urų</w:t>
      </w:r>
      <w:r w:rsidR="000000DB" w:rsidRPr="00951198">
        <w:rPr>
          <w:sz w:val="24"/>
          <w:szCs w:val="24"/>
        </w:rPr>
        <w:t xml:space="preserve"> 2015 metais ir apie 2,1 mln. </w:t>
      </w:r>
      <w:r w:rsidR="00EB0527" w:rsidRPr="00951198">
        <w:rPr>
          <w:sz w:val="24"/>
          <w:szCs w:val="24"/>
        </w:rPr>
        <w:t>e</w:t>
      </w:r>
      <w:r w:rsidR="000000DB" w:rsidRPr="00951198">
        <w:rPr>
          <w:sz w:val="24"/>
          <w:szCs w:val="24"/>
        </w:rPr>
        <w:t>urų 2016 metais</w:t>
      </w:r>
      <w:r w:rsidRPr="00951198">
        <w:rPr>
          <w:sz w:val="24"/>
          <w:szCs w:val="24"/>
        </w:rPr>
        <w:t>) nuo 2015 metų buvo apskaitoma Savivaldybės biudžete.</w:t>
      </w:r>
      <w:r w:rsidR="003B448A" w:rsidRPr="00951198">
        <w:rPr>
          <w:sz w:val="24"/>
          <w:szCs w:val="24"/>
        </w:rPr>
        <w:t xml:space="preserve"> 2016 m. išlaidose buvo numatyta 2,8 mln. eurų paskoloms grąžinti (iš jų – 2,4 mln. eurų paimtoms paskoloms grąžinti</w:t>
      </w:r>
      <w:r w:rsidR="005430CC" w:rsidRPr="00951198">
        <w:rPr>
          <w:sz w:val="24"/>
          <w:szCs w:val="24"/>
        </w:rPr>
        <w:t>).</w:t>
      </w:r>
      <w:r w:rsidR="007902AB" w:rsidRPr="007902AB">
        <w:t xml:space="preserve"> </w:t>
      </w:r>
      <w:r w:rsidR="007902AB">
        <w:rPr>
          <w:sz w:val="24"/>
          <w:szCs w:val="24"/>
        </w:rPr>
        <w:t xml:space="preserve">2017 metais </w:t>
      </w:r>
      <w:r w:rsidR="00284DAD">
        <w:rPr>
          <w:sz w:val="24"/>
          <w:szCs w:val="24"/>
        </w:rPr>
        <w:t>S</w:t>
      </w:r>
      <w:r w:rsidR="007902AB" w:rsidRPr="007902AB">
        <w:rPr>
          <w:sz w:val="24"/>
          <w:szCs w:val="24"/>
        </w:rPr>
        <w:t>avivaldybės biudžete</w:t>
      </w:r>
      <w:r w:rsidR="007902AB">
        <w:rPr>
          <w:sz w:val="24"/>
          <w:szCs w:val="24"/>
        </w:rPr>
        <w:t xml:space="preserve"> buvo </w:t>
      </w:r>
      <w:r w:rsidR="007902AB" w:rsidRPr="007902AB">
        <w:rPr>
          <w:sz w:val="24"/>
          <w:szCs w:val="24"/>
        </w:rPr>
        <w:t>apskaitomos Europos Sąjungos finansinės paramos lėšos.</w:t>
      </w:r>
      <w:r w:rsidR="000000DB" w:rsidRPr="00951198">
        <w:rPr>
          <w:sz w:val="24"/>
          <w:szCs w:val="24"/>
        </w:rPr>
        <w:t xml:space="preserve">      </w:t>
      </w:r>
    </w:p>
    <w:p w:rsidR="000000DB" w:rsidRPr="00951198" w:rsidRDefault="000000DB" w:rsidP="00335558">
      <w:pPr>
        <w:rPr>
          <w:sz w:val="24"/>
          <w:szCs w:val="24"/>
        </w:rPr>
      </w:pPr>
      <w:r w:rsidRPr="00951198">
        <w:rPr>
          <w:sz w:val="24"/>
          <w:szCs w:val="24"/>
        </w:rPr>
        <w:lastRenderedPageBreak/>
        <w:t xml:space="preserve">    </w:t>
      </w:r>
      <w:r w:rsidR="003A46AC">
        <w:rPr>
          <w:noProof/>
          <w:sz w:val="24"/>
          <w:szCs w:val="24"/>
          <w:lang w:eastAsia="lt-LT"/>
        </w:rPr>
        <w:drawing>
          <wp:inline distT="0" distB="0" distL="0" distR="0" wp14:anchorId="233CA210" wp14:editId="68220532">
            <wp:extent cx="5827395" cy="2988945"/>
            <wp:effectExtent l="0" t="0" r="0" b="0"/>
            <wp:docPr id="5" name="Objekta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0DB" w:rsidRPr="00951198" w:rsidRDefault="00EE1B6B" w:rsidP="00EE1B6B">
      <w:pPr>
        <w:jc w:val="center"/>
        <w:rPr>
          <w:sz w:val="24"/>
          <w:szCs w:val="24"/>
        </w:rPr>
      </w:pPr>
      <w:r w:rsidRPr="00951198">
        <w:rPr>
          <w:sz w:val="24"/>
          <w:szCs w:val="24"/>
        </w:rPr>
        <w:t>4pav. Plungės r</w:t>
      </w:r>
      <w:r w:rsidR="00B0603F" w:rsidRPr="00951198">
        <w:rPr>
          <w:sz w:val="24"/>
          <w:szCs w:val="24"/>
        </w:rPr>
        <w:t>ajono savivaldybės biudžeto 2014 – 2017</w:t>
      </w:r>
      <w:r w:rsidRPr="00951198">
        <w:rPr>
          <w:sz w:val="24"/>
          <w:szCs w:val="24"/>
        </w:rPr>
        <w:t xml:space="preserve"> metų išlaidų dinamika, mln. eurų</w:t>
      </w:r>
    </w:p>
    <w:p w:rsidR="00284DAD" w:rsidRPr="00A836F2" w:rsidRDefault="00284DAD" w:rsidP="003E1DC9">
      <w:pPr>
        <w:jc w:val="both"/>
        <w:rPr>
          <w:sz w:val="24"/>
          <w:szCs w:val="24"/>
        </w:rPr>
      </w:pPr>
    </w:p>
    <w:p w:rsidR="00EE1B6B" w:rsidRDefault="00B0603F" w:rsidP="00EE1B6B">
      <w:pPr>
        <w:ind w:firstLine="720"/>
        <w:jc w:val="both"/>
        <w:rPr>
          <w:sz w:val="24"/>
          <w:szCs w:val="24"/>
        </w:rPr>
      </w:pPr>
      <w:r w:rsidRPr="00951198">
        <w:rPr>
          <w:sz w:val="24"/>
          <w:szCs w:val="24"/>
        </w:rPr>
        <w:t>Savivaldybės biudžeto 2014 – 2017</w:t>
      </w:r>
      <w:r w:rsidR="00B816FE" w:rsidRPr="00951198">
        <w:rPr>
          <w:sz w:val="24"/>
          <w:szCs w:val="24"/>
        </w:rPr>
        <w:t xml:space="preserve"> metų asignavimai (mln. </w:t>
      </w:r>
      <w:r w:rsidR="00164FEA" w:rsidRPr="00951198">
        <w:rPr>
          <w:sz w:val="24"/>
          <w:szCs w:val="24"/>
        </w:rPr>
        <w:t>eu</w:t>
      </w:r>
      <w:r w:rsidR="00DA7213" w:rsidRPr="00951198">
        <w:rPr>
          <w:sz w:val="24"/>
          <w:szCs w:val="24"/>
        </w:rPr>
        <w:t>rų</w:t>
      </w:r>
      <w:r w:rsidR="00EE1B6B" w:rsidRPr="00951198">
        <w:rPr>
          <w:sz w:val="24"/>
          <w:szCs w:val="24"/>
        </w:rPr>
        <w:t>), analizuojant plano įvykdymą pagal ekonominį paskirstymą,</w:t>
      </w:r>
      <w:r w:rsidR="00BD4AD2" w:rsidRPr="00951198">
        <w:rPr>
          <w:sz w:val="24"/>
          <w:szCs w:val="24"/>
        </w:rPr>
        <w:t xml:space="preserve"> </w:t>
      </w:r>
      <w:r w:rsidR="00EE1B6B" w:rsidRPr="00951198">
        <w:rPr>
          <w:sz w:val="24"/>
          <w:szCs w:val="24"/>
        </w:rPr>
        <w:t>pavaizduoti</w:t>
      </w:r>
      <w:r w:rsidR="00BD4AD2" w:rsidRPr="00951198">
        <w:rPr>
          <w:sz w:val="24"/>
          <w:szCs w:val="24"/>
        </w:rPr>
        <w:t xml:space="preserve"> </w:t>
      </w:r>
      <w:r w:rsidR="00EE1B6B" w:rsidRPr="00951198">
        <w:rPr>
          <w:sz w:val="24"/>
          <w:szCs w:val="24"/>
        </w:rPr>
        <w:t>5 paveiksle.</w:t>
      </w:r>
      <w:r w:rsidR="00EE1B6B" w:rsidRPr="00B816FE">
        <w:rPr>
          <w:sz w:val="24"/>
          <w:szCs w:val="24"/>
        </w:rPr>
        <w:t xml:space="preserve">  </w:t>
      </w:r>
    </w:p>
    <w:p w:rsidR="007B0A61" w:rsidRDefault="007B0A61" w:rsidP="00EE1B6B">
      <w:pPr>
        <w:ind w:firstLine="720"/>
        <w:jc w:val="both"/>
        <w:rPr>
          <w:sz w:val="24"/>
          <w:szCs w:val="24"/>
        </w:rPr>
      </w:pPr>
    </w:p>
    <w:p w:rsidR="00284DAD" w:rsidRPr="00B816FE" w:rsidRDefault="00284DAD" w:rsidP="00EE1B6B">
      <w:pPr>
        <w:ind w:firstLine="720"/>
        <w:jc w:val="both"/>
        <w:rPr>
          <w:sz w:val="24"/>
          <w:szCs w:val="24"/>
        </w:rPr>
      </w:pPr>
    </w:p>
    <w:p w:rsidR="00EE1B6B" w:rsidRPr="00EE1B6B" w:rsidRDefault="003A46AC" w:rsidP="007B0A61">
      <w:pPr>
        <w:jc w:val="both"/>
        <w:rPr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 wp14:anchorId="052FD6C4" wp14:editId="174ED554">
            <wp:extent cx="6318885" cy="3432175"/>
            <wp:effectExtent l="0" t="0" r="5715" b="0"/>
            <wp:docPr id="6" name="Objekta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4DAD" w:rsidRDefault="00284DAD" w:rsidP="00EE1B6B">
      <w:pPr>
        <w:ind w:firstLine="720"/>
        <w:jc w:val="both"/>
        <w:rPr>
          <w:sz w:val="24"/>
          <w:szCs w:val="24"/>
        </w:rPr>
      </w:pPr>
    </w:p>
    <w:p w:rsidR="00EE1B6B" w:rsidRPr="00D91308" w:rsidRDefault="00B0603F" w:rsidP="00EE1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 pav. 2014 – 2017</w:t>
      </w:r>
      <w:r w:rsidR="00EE1B6B" w:rsidRPr="00D91308">
        <w:rPr>
          <w:sz w:val="24"/>
          <w:szCs w:val="24"/>
        </w:rPr>
        <w:t xml:space="preserve"> m</w:t>
      </w:r>
      <w:r w:rsidR="00B816FE" w:rsidRPr="00D91308">
        <w:rPr>
          <w:sz w:val="24"/>
          <w:szCs w:val="24"/>
        </w:rPr>
        <w:t xml:space="preserve">etų </w:t>
      </w:r>
      <w:r w:rsidR="00EE1B6B" w:rsidRPr="00D91308">
        <w:rPr>
          <w:sz w:val="24"/>
          <w:szCs w:val="24"/>
        </w:rPr>
        <w:t xml:space="preserve"> asignavimai (mln</w:t>
      </w:r>
      <w:r w:rsidR="00B816FE" w:rsidRPr="00D91308">
        <w:rPr>
          <w:sz w:val="24"/>
          <w:szCs w:val="24"/>
        </w:rPr>
        <w:t>. eurų</w:t>
      </w:r>
      <w:r w:rsidR="00EE1B6B" w:rsidRPr="00D91308">
        <w:rPr>
          <w:sz w:val="24"/>
          <w:szCs w:val="24"/>
        </w:rPr>
        <w:t>) pagal ekonominį paskirstymą</w:t>
      </w:r>
    </w:p>
    <w:p w:rsidR="00284DAD" w:rsidRPr="00D91308" w:rsidRDefault="00284DAD" w:rsidP="00EE1B6B">
      <w:pPr>
        <w:ind w:firstLine="720"/>
        <w:jc w:val="both"/>
        <w:rPr>
          <w:sz w:val="24"/>
          <w:szCs w:val="24"/>
        </w:rPr>
      </w:pPr>
    </w:p>
    <w:p w:rsidR="00B816FE" w:rsidRPr="009B2D6C" w:rsidRDefault="00EE1B6B" w:rsidP="009B2D6C">
      <w:pPr>
        <w:ind w:firstLine="720"/>
        <w:jc w:val="both"/>
        <w:rPr>
          <w:sz w:val="24"/>
          <w:szCs w:val="24"/>
        </w:rPr>
      </w:pPr>
      <w:r w:rsidRPr="00BD4AD2">
        <w:rPr>
          <w:sz w:val="24"/>
          <w:szCs w:val="24"/>
        </w:rPr>
        <w:t>2015 metais suma darbo užmokesčiui, palyginti su 2014 metais, padidėjo 0,2 mln. eurų, nes didėjo minimali mėnesinė alga</w:t>
      </w:r>
      <w:r w:rsidR="00D91308">
        <w:rPr>
          <w:sz w:val="24"/>
          <w:szCs w:val="24"/>
        </w:rPr>
        <w:t xml:space="preserve"> (iki 325 eurų)</w:t>
      </w:r>
      <w:r w:rsidRPr="00BD4AD2">
        <w:rPr>
          <w:sz w:val="24"/>
          <w:szCs w:val="24"/>
        </w:rPr>
        <w:t>, kultū</w:t>
      </w:r>
      <w:r w:rsidR="00B816FE">
        <w:rPr>
          <w:sz w:val="24"/>
          <w:szCs w:val="24"/>
        </w:rPr>
        <w:t>ros</w:t>
      </w:r>
      <w:r w:rsidR="00A52C01">
        <w:rPr>
          <w:sz w:val="24"/>
          <w:szCs w:val="24"/>
        </w:rPr>
        <w:t xml:space="preserve"> </w:t>
      </w:r>
      <w:r w:rsidR="00A52C01" w:rsidRPr="00A52C01">
        <w:rPr>
          <w:sz w:val="24"/>
          <w:szCs w:val="24"/>
        </w:rPr>
        <w:t>darbuotojų</w:t>
      </w:r>
      <w:r w:rsidR="00B816FE">
        <w:rPr>
          <w:sz w:val="24"/>
          <w:szCs w:val="24"/>
        </w:rPr>
        <w:t xml:space="preserve">  darbo užmokestis</w:t>
      </w:r>
      <w:r w:rsidR="0064602E">
        <w:rPr>
          <w:sz w:val="24"/>
          <w:szCs w:val="24"/>
        </w:rPr>
        <w:t>.</w:t>
      </w:r>
      <w:r w:rsidR="00B816FE">
        <w:rPr>
          <w:sz w:val="24"/>
          <w:szCs w:val="24"/>
        </w:rPr>
        <w:t xml:space="preserve"> 2016 metais</w:t>
      </w:r>
      <w:r w:rsidR="004C2F97">
        <w:rPr>
          <w:sz w:val="24"/>
          <w:szCs w:val="24"/>
        </w:rPr>
        <w:t xml:space="preserve"> lėšos darbo užmokesčiui didėjo net 0,7 mln. </w:t>
      </w:r>
      <w:r w:rsidR="00EB0527">
        <w:rPr>
          <w:sz w:val="24"/>
          <w:szCs w:val="24"/>
        </w:rPr>
        <w:t>e</w:t>
      </w:r>
      <w:r w:rsidR="004C2F97">
        <w:rPr>
          <w:sz w:val="24"/>
          <w:szCs w:val="24"/>
        </w:rPr>
        <w:t xml:space="preserve">urų, </w:t>
      </w:r>
      <w:r w:rsidR="00EB0527">
        <w:rPr>
          <w:sz w:val="24"/>
          <w:szCs w:val="24"/>
        </w:rPr>
        <w:t>pa</w:t>
      </w:r>
      <w:r w:rsidR="004C2F97">
        <w:rPr>
          <w:sz w:val="24"/>
          <w:szCs w:val="24"/>
        </w:rPr>
        <w:t>lygint</w:t>
      </w:r>
      <w:r w:rsidR="00EB0527">
        <w:rPr>
          <w:sz w:val="24"/>
          <w:szCs w:val="24"/>
        </w:rPr>
        <w:t>i</w:t>
      </w:r>
      <w:r w:rsidR="004C2F97">
        <w:rPr>
          <w:sz w:val="24"/>
          <w:szCs w:val="24"/>
        </w:rPr>
        <w:t xml:space="preserve"> su 2015 metais, nes </w:t>
      </w:r>
      <w:r w:rsidR="00D91308">
        <w:rPr>
          <w:sz w:val="24"/>
          <w:szCs w:val="24"/>
        </w:rPr>
        <w:t xml:space="preserve">2 kartus buvo didinama minimali mėnesinė alga (iki 350 ir 380 eurų), </w:t>
      </w:r>
      <w:r w:rsidR="00A52C01">
        <w:rPr>
          <w:sz w:val="24"/>
          <w:szCs w:val="24"/>
        </w:rPr>
        <w:t xml:space="preserve">didėjo kai kurių socialinių darbuotojų darbo užmokestis, </w:t>
      </w:r>
      <w:r w:rsidR="00D91308">
        <w:rPr>
          <w:sz w:val="24"/>
          <w:szCs w:val="24"/>
        </w:rPr>
        <w:t>buvo</w:t>
      </w:r>
      <w:r w:rsidR="00A52C01">
        <w:rPr>
          <w:sz w:val="24"/>
          <w:szCs w:val="24"/>
        </w:rPr>
        <w:t xml:space="preserve"> g</w:t>
      </w:r>
      <w:r w:rsidR="00D91308">
        <w:rPr>
          <w:sz w:val="24"/>
          <w:szCs w:val="24"/>
        </w:rPr>
        <w:t>autos dotacijos kultūros ir meno darbuotojų darbo užmokesčiui didinti,</w:t>
      </w:r>
      <w:r w:rsidR="00A52C01">
        <w:rPr>
          <w:sz w:val="24"/>
          <w:szCs w:val="24"/>
        </w:rPr>
        <w:t xml:space="preserve"> </w:t>
      </w:r>
      <w:r w:rsidR="00EB0527">
        <w:rPr>
          <w:sz w:val="24"/>
          <w:szCs w:val="24"/>
        </w:rPr>
        <w:t xml:space="preserve">valstybės tarnautojams </w:t>
      </w:r>
      <w:r w:rsidR="00A52C01">
        <w:rPr>
          <w:sz w:val="24"/>
          <w:szCs w:val="24"/>
        </w:rPr>
        <w:t xml:space="preserve">buvo grąžintas visas </w:t>
      </w:r>
      <w:r w:rsidR="00A52C01" w:rsidRPr="00A52C01">
        <w:rPr>
          <w:sz w:val="24"/>
          <w:szCs w:val="24"/>
        </w:rPr>
        <w:t xml:space="preserve">dėl ekonomikos </w:t>
      </w:r>
      <w:r w:rsidR="00A52C01">
        <w:rPr>
          <w:sz w:val="24"/>
          <w:szCs w:val="24"/>
        </w:rPr>
        <w:t>krizės  neproporcingai sumažintas</w:t>
      </w:r>
      <w:r w:rsidR="00A52C01" w:rsidRPr="00A52C01">
        <w:rPr>
          <w:sz w:val="24"/>
          <w:szCs w:val="24"/>
        </w:rPr>
        <w:t xml:space="preserve"> darb</w:t>
      </w:r>
      <w:r w:rsidR="004C2F97">
        <w:rPr>
          <w:sz w:val="24"/>
          <w:szCs w:val="24"/>
        </w:rPr>
        <w:t>o užmokestis</w:t>
      </w:r>
      <w:r w:rsidR="00A52C01" w:rsidRPr="00942DB6">
        <w:rPr>
          <w:sz w:val="24"/>
          <w:szCs w:val="24"/>
        </w:rPr>
        <w:t>.</w:t>
      </w:r>
      <w:r w:rsidR="00C60E04" w:rsidRPr="00942DB6">
        <w:rPr>
          <w:sz w:val="24"/>
          <w:szCs w:val="24"/>
        </w:rPr>
        <w:t xml:space="preserve"> 2017 metais </w:t>
      </w:r>
      <w:r w:rsidR="003E1DC9" w:rsidRPr="00942DB6">
        <w:rPr>
          <w:sz w:val="24"/>
          <w:szCs w:val="24"/>
        </w:rPr>
        <w:t xml:space="preserve">darbo užmokestis </w:t>
      </w:r>
      <w:r w:rsidR="0064602E">
        <w:rPr>
          <w:sz w:val="24"/>
          <w:szCs w:val="24"/>
        </w:rPr>
        <w:t>S</w:t>
      </w:r>
      <w:r w:rsidR="003E1DC9" w:rsidRPr="00942DB6">
        <w:rPr>
          <w:sz w:val="24"/>
          <w:szCs w:val="24"/>
        </w:rPr>
        <w:t xml:space="preserve">avivaldybės biudžetinėse įstaigose didėjo 0,6 </w:t>
      </w:r>
      <w:r w:rsidR="009B2D6C" w:rsidRPr="00942DB6">
        <w:rPr>
          <w:sz w:val="24"/>
          <w:szCs w:val="24"/>
        </w:rPr>
        <w:t>mln.</w:t>
      </w:r>
      <w:r w:rsidR="003E1DC9" w:rsidRPr="00942DB6">
        <w:rPr>
          <w:sz w:val="24"/>
          <w:szCs w:val="24"/>
        </w:rPr>
        <w:t xml:space="preserve"> </w:t>
      </w:r>
      <w:r w:rsidR="003E1DC9" w:rsidRPr="00942DB6">
        <w:rPr>
          <w:sz w:val="24"/>
          <w:szCs w:val="24"/>
        </w:rPr>
        <w:lastRenderedPageBreak/>
        <w:t xml:space="preserve">eurų, </w:t>
      </w:r>
      <w:r w:rsidR="0064602E">
        <w:rPr>
          <w:sz w:val="24"/>
          <w:szCs w:val="24"/>
        </w:rPr>
        <w:t>pa</w:t>
      </w:r>
      <w:r w:rsidR="003E1DC9" w:rsidRPr="00942DB6">
        <w:rPr>
          <w:sz w:val="24"/>
          <w:szCs w:val="24"/>
        </w:rPr>
        <w:t>lygint</w:t>
      </w:r>
      <w:r w:rsidR="0064602E">
        <w:rPr>
          <w:sz w:val="24"/>
          <w:szCs w:val="24"/>
        </w:rPr>
        <w:t>i</w:t>
      </w:r>
      <w:r w:rsidR="003E1DC9" w:rsidRPr="00942DB6">
        <w:rPr>
          <w:sz w:val="24"/>
          <w:szCs w:val="24"/>
        </w:rPr>
        <w:t xml:space="preserve"> su 2016 metais.</w:t>
      </w:r>
      <w:r w:rsidR="009B2D6C" w:rsidRPr="00942DB6">
        <w:rPr>
          <w:sz w:val="24"/>
          <w:szCs w:val="24"/>
        </w:rPr>
        <w:t xml:space="preserve"> Darbo užmokestis didėja, nes nuo 2016-07-01 padidintiems kultūros darbuotojų atlyginima</w:t>
      </w:r>
      <w:r w:rsidR="0028005E" w:rsidRPr="00942DB6">
        <w:rPr>
          <w:sz w:val="24"/>
          <w:szCs w:val="24"/>
        </w:rPr>
        <w:t>m</w:t>
      </w:r>
      <w:r w:rsidR="009B2D6C" w:rsidRPr="00942DB6">
        <w:rPr>
          <w:sz w:val="24"/>
          <w:szCs w:val="24"/>
        </w:rPr>
        <w:t>s ir padidintai iki 380 eurų minimaliai mėnesinei algai  2017 m. numatytos lėšos dvylikai mėnesių</w:t>
      </w:r>
      <w:r w:rsidR="0064602E">
        <w:rPr>
          <w:sz w:val="24"/>
          <w:szCs w:val="24"/>
        </w:rPr>
        <w:t>;</w:t>
      </w:r>
      <w:r w:rsidR="009B2D6C" w:rsidRPr="00942DB6">
        <w:rPr>
          <w:sz w:val="24"/>
          <w:szCs w:val="24"/>
        </w:rPr>
        <w:t xml:space="preserve"> įsteigti 5,5 nauj</w:t>
      </w:r>
      <w:r w:rsidR="0064602E">
        <w:rPr>
          <w:sz w:val="24"/>
          <w:szCs w:val="24"/>
        </w:rPr>
        <w:t>ų</w:t>
      </w:r>
      <w:r w:rsidR="009B2D6C" w:rsidRPr="00942DB6">
        <w:rPr>
          <w:sz w:val="24"/>
          <w:szCs w:val="24"/>
        </w:rPr>
        <w:t xml:space="preserve"> etat</w:t>
      </w:r>
      <w:r w:rsidR="0064602E">
        <w:rPr>
          <w:sz w:val="24"/>
          <w:szCs w:val="24"/>
        </w:rPr>
        <w:t>ų</w:t>
      </w:r>
      <w:r w:rsidR="009B2D6C" w:rsidRPr="00942DB6">
        <w:rPr>
          <w:sz w:val="24"/>
          <w:szCs w:val="24"/>
        </w:rPr>
        <w:t xml:space="preserve"> darbui su socialinės rizikos šeimomis</w:t>
      </w:r>
      <w:r w:rsidR="0064602E">
        <w:rPr>
          <w:sz w:val="24"/>
          <w:szCs w:val="24"/>
        </w:rPr>
        <w:t>;</w:t>
      </w:r>
      <w:r w:rsidR="009B2D6C" w:rsidRPr="00942DB6">
        <w:rPr>
          <w:sz w:val="24"/>
          <w:szCs w:val="24"/>
        </w:rPr>
        <w:t xml:space="preserve"> numatytas darbo užmokestis vykdomuose projektuose iš ES lėšų</w:t>
      </w:r>
      <w:r w:rsidR="0064602E">
        <w:rPr>
          <w:sz w:val="24"/>
          <w:szCs w:val="24"/>
        </w:rPr>
        <w:t>.</w:t>
      </w:r>
      <w:r w:rsidR="009B2D6C" w:rsidRPr="00942DB6">
        <w:rPr>
          <w:sz w:val="24"/>
          <w:szCs w:val="24"/>
        </w:rPr>
        <w:t xml:space="preserve"> 2017 m. apskaičiuotos lėšos darbo užmokesčiui nėra sumažintos, o 2016 m. buvo sumažintos 2 procentais</w:t>
      </w:r>
      <w:r w:rsidR="0064602E">
        <w:rPr>
          <w:sz w:val="24"/>
          <w:szCs w:val="24"/>
        </w:rPr>
        <w:t>.</w:t>
      </w:r>
      <w:r w:rsidR="009B2D6C" w:rsidRPr="00942DB6">
        <w:rPr>
          <w:sz w:val="24"/>
          <w:szCs w:val="24"/>
        </w:rPr>
        <w:t xml:space="preserve"> 195,3 tūkst. eurų numatyta pedagogų darbo užmokesčiui didinti</w:t>
      </w:r>
      <w:r w:rsidR="0064602E">
        <w:rPr>
          <w:sz w:val="24"/>
          <w:szCs w:val="24"/>
        </w:rPr>
        <w:t>;</w:t>
      </w:r>
      <w:r w:rsidR="009B2D6C" w:rsidRPr="00942DB6">
        <w:rPr>
          <w:sz w:val="24"/>
          <w:szCs w:val="24"/>
        </w:rPr>
        <w:t xml:space="preserve"> keitėsi švietimo įstaigoms lėšų darbo užmokesčiui apskaičiavimo metodikos. </w:t>
      </w:r>
      <w:r w:rsidR="0028005E" w:rsidRPr="00942DB6">
        <w:rPr>
          <w:sz w:val="24"/>
          <w:szCs w:val="24"/>
        </w:rPr>
        <w:t xml:space="preserve">2017 metais gauta </w:t>
      </w:r>
      <w:r w:rsidR="00925540" w:rsidRPr="00942DB6">
        <w:rPr>
          <w:sz w:val="24"/>
          <w:szCs w:val="24"/>
        </w:rPr>
        <w:t xml:space="preserve">116,8 tūkst. eurų </w:t>
      </w:r>
      <w:r w:rsidR="009B2D6C" w:rsidRPr="00942DB6">
        <w:rPr>
          <w:sz w:val="24"/>
          <w:szCs w:val="24"/>
        </w:rPr>
        <w:t xml:space="preserve">dotacija </w:t>
      </w:r>
      <w:r w:rsidR="00C60E04" w:rsidRPr="00942DB6">
        <w:rPr>
          <w:sz w:val="24"/>
          <w:szCs w:val="24"/>
        </w:rPr>
        <w:t>valstybės ir savivaldybių įstaigų darbuotojų darbo apmokėjimo įstatymui įgyvendinti</w:t>
      </w:r>
      <w:r w:rsidR="00925540" w:rsidRPr="00942DB6">
        <w:rPr>
          <w:sz w:val="24"/>
          <w:szCs w:val="24"/>
        </w:rPr>
        <w:t>, buvo didinamas darbo užmokestis tiek valstybės tarnautojams, tiek biudžetinių įstaigų darbuotojams, dirbantiems pagal sutartis.</w:t>
      </w:r>
      <w:r w:rsidR="00925540" w:rsidRPr="009B2D6C">
        <w:rPr>
          <w:sz w:val="24"/>
          <w:szCs w:val="24"/>
        </w:rPr>
        <w:t xml:space="preserve"> </w:t>
      </w:r>
    </w:p>
    <w:p w:rsidR="004B4053" w:rsidRDefault="00EE1B6B" w:rsidP="00EE1B6B">
      <w:pPr>
        <w:ind w:firstLine="720"/>
        <w:jc w:val="both"/>
        <w:rPr>
          <w:sz w:val="24"/>
          <w:szCs w:val="24"/>
        </w:rPr>
      </w:pPr>
      <w:r w:rsidRPr="00BD4AD2">
        <w:rPr>
          <w:sz w:val="24"/>
          <w:szCs w:val="24"/>
        </w:rPr>
        <w:t xml:space="preserve">Išlaidų turtui įsigyti </w:t>
      </w:r>
      <w:r w:rsidR="00CF1C85">
        <w:rPr>
          <w:sz w:val="24"/>
          <w:szCs w:val="24"/>
        </w:rPr>
        <w:t>didelę</w:t>
      </w:r>
      <w:r w:rsidRPr="00BD4AD2">
        <w:rPr>
          <w:sz w:val="24"/>
          <w:szCs w:val="24"/>
        </w:rPr>
        <w:t xml:space="preserve"> dalį sudaro skolintos lėšos ir paskolų atidavimas bei lėšos  </w:t>
      </w:r>
      <w:r w:rsidR="00C942B3">
        <w:rPr>
          <w:sz w:val="24"/>
          <w:szCs w:val="24"/>
        </w:rPr>
        <w:t>Valstybės investicijų programoje</w:t>
      </w:r>
      <w:r w:rsidRPr="00BD4AD2">
        <w:rPr>
          <w:sz w:val="24"/>
          <w:szCs w:val="24"/>
        </w:rPr>
        <w:t xml:space="preserve"> numatytoms kapitalo investicijoms finansuoti. Šios lėšos </w:t>
      </w:r>
      <w:r w:rsidR="004C2F97">
        <w:rPr>
          <w:sz w:val="24"/>
          <w:szCs w:val="24"/>
        </w:rPr>
        <w:t xml:space="preserve">nuo </w:t>
      </w:r>
      <w:r w:rsidRPr="00BD4AD2">
        <w:rPr>
          <w:sz w:val="24"/>
          <w:szCs w:val="24"/>
        </w:rPr>
        <w:t>201</w:t>
      </w:r>
      <w:r w:rsidR="004C2F97">
        <w:rPr>
          <w:sz w:val="24"/>
          <w:szCs w:val="24"/>
        </w:rPr>
        <w:t>5 metų</w:t>
      </w:r>
      <w:r w:rsidRPr="00BD4AD2">
        <w:rPr>
          <w:sz w:val="24"/>
          <w:szCs w:val="24"/>
        </w:rPr>
        <w:t xml:space="preserve"> didėja, nes  nauja dotacija savivaldybės vietinės reikšmės keliams (gatvėms) tiesti, taisyti, prižiūrėti nuo 2015 metų buvo a</w:t>
      </w:r>
      <w:r w:rsidR="00B816FE">
        <w:rPr>
          <w:sz w:val="24"/>
          <w:szCs w:val="24"/>
        </w:rPr>
        <w:t>pskaitoma Savivaldybės biudžete</w:t>
      </w:r>
      <w:r w:rsidR="0097670F">
        <w:rPr>
          <w:sz w:val="24"/>
          <w:szCs w:val="24"/>
        </w:rPr>
        <w:t>.</w:t>
      </w:r>
      <w:r w:rsidR="00B816FE">
        <w:rPr>
          <w:sz w:val="24"/>
          <w:szCs w:val="24"/>
        </w:rPr>
        <w:t xml:space="preserve"> 2016 metais </w:t>
      </w:r>
      <w:r w:rsidR="004C2F97">
        <w:rPr>
          <w:sz w:val="24"/>
          <w:szCs w:val="24"/>
        </w:rPr>
        <w:t>išlaidos turtui ž</w:t>
      </w:r>
      <w:r w:rsidR="0097670F">
        <w:rPr>
          <w:sz w:val="24"/>
          <w:szCs w:val="24"/>
        </w:rPr>
        <w:t>ymiai</w:t>
      </w:r>
      <w:r w:rsidR="004C2F97">
        <w:rPr>
          <w:sz w:val="24"/>
          <w:szCs w:val="24"/>
        </w:rPr>
        <w:t xml:space="preserve"> didėj</w:t>
      </w:r>
      <w:r w:rsidR="0097670F">
        <w:rPr>
          <w:sz w:val="24"/>
          <w:szCs w:val="24"/>
        </w:rPr>
        <w:t>o</w:t>
      </w:r>
      <w:r w:rsidR="004C2F97">
        <w:rPr>
          <w:sz w:val="24"/>
          <w:szCs w:val="24"/>
        </w:rPr>
        <w:t xml:space="preserve"> ir dėl to, kad </w:t>
      </w:r>
      <w:r w:rsidR="00B816FE">
        <w:rPr>
          <w:sz w:val="24"/>
          <w:szCs w:val="24"/>
        </w:rPr>
        <w:t>buvo</w:t>
      </w:r>
      <w:r w:rsidR="004C2F97">
        <w:rPr>
          <w:sz w:val="24"/>
          <w:szCs w:val="24"/>
        </w:rPr>
        <w:t xml:space="preserve"> perskolintos net 3 paskolos</w:t>
      </w:r>
      <w:r w:rsidR="0097670F">
        <w:rPr>
          <w:sz w:val="24"/>
          <w:szCs w:val="24"/>
        </w:rPr>
        <w:t>;</w:t>
      </w:r>
      <w:r w:rsidR="004C2F97">
        <w:rPr>
          <w:sz w:val="24"/>
          <w:szCs w:val="24"/>
        </w:rPr>
        <w:t xml:space="preserve"> todėl </w:t>
      </w:r>
      <w:r w:rsidR="00B816FE">
        <w:rPr>
          <w:sz w:val="24"/>
          <w:szCs w:val="24"/>
        </w:rPr>
        <w:t xml:space="preserve"> </w:t>
      </w:r>
      <w:r w:rsidR="005A2736">
        <w:rPr>
          <w:sz w:val="24"/>
          <w:szCs w:val="24"/>
        </w:rPr>
        <w:t>išlaidose turtui į</w:t>
      </w:r>
      <w:r w:rsidR="00C942B3">
        <w:rPr>
          <w:sz w:val="24"/>
          <w:szCs w:val="24"/>
        </w:rPr>
        <w:t>sigyti apskaityta net 2,4 mln. eurų, kurie buvo skirti paskol</w:t>
      </w:r>
      <w:r w:rsidR="0097670F">
        <w:rPr>
          <w:sz w:val="24"/>
          <w:szCs w:val="24"/>
        </w:rPr>
        <w:t>oms</w:t>
      </w:r>
      <w:r w:rsidR="00C942B3">
        <w:rPr>
          <w:sz w:val="24"/>
          <w:szCs w:val="24"/>
        </w:rPr>
        <w:t xml:space="preserve"> grąžin</w:t>
      </w:r>
      <w:r w:rsidR="0097670F">
        <w:rPr>
          <w:sz w:val="24"/>
          <w:szCs w:val="24"/>
        </w:rPr>
        <w:t>ti</w:t>
      </w:r>
      <w:r w:rsidR="0064602E">
        <w:rPr>
          <w:sz w:val="24"/>
          <w:szCs w:val="24"/>
        </w:rPr>
        <w:t>.</w:t>
      </w:r>
      <w:r w:rsidR="00925540">
        <w:rPr>
          <w:sz w:val="24"/>
          <w:szCs w:val="24"/>
        </w:rPr>
        <w:t xml:space="preserve"> 2017 metais buvo vykdoma daug įvairų projektų, todėl išlaidos turtui įsigyti sudarė 6 tūkst. eurų.</w:t>
      </w:r>
      <w:r w:rsidR="007902AB">
        <w:rPr>
          <w:sz w:val="24"/>
          <w:szCs w:val="24"/>
        </w:rPr>
        <w:t xml:space="preserve"> Biudžetinės įstaigos galėjo įsigyti įvairaus turto, nes nemažas sumas </w:t>
      </w:r>
      <w:r w:rsidR="0064602E">
        <w:rPr>
          <w:sz w:val="24"/>
          <w:szCs w:val="24"/>
        </w:rPr>
        <w:t>per</w:t>
      </w:r>
      <w:r w:rsidR="007902AB">
        <w:rPr>
          <w:sz w:val="24"/>
          <w:szCs w:val="24"/>
        </w:rPr>
        <w:t>kėlė iš komunalinių paslaugų straipsnio.</w:t>
      </w:r>
      <w:r w:rsidR="003E1DC9">
        <w:rPr>
          <w:sz w:val="24"/>
          <w:szCs w:val="24"/>
        </w:rPr>
        <w:t xml:space="preserve"> </w:t>
      </w:r>
    </w:p>
    <w:p w:rsidR="00071CE1" w:rsidRDefault="007902AB" w:rsidP="00EE1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lentelėje parodyta, kokias sumas įstaigos </w:t>
      </w:r>
      <w:r w:rsidR="0064602E">
        <w:rPr>
          <w:sz w:val="24"/>
          <w:szCs w:val="24"/>
        </w:rPr>
        <w:t>per</w:t>
      </w:r>
      <w:r>
        <w:rPr>
          <w:sz w:val="24"/>
          <w:szCs w:val="24"/>
        </w:rPr>
        <w:t xml:space="preserve">kėlė iš komunalinių paslaugų straipsnio 2016 – 2017 metais. </w:t>
      </w:r>
    </w:p>
    <w:p w:rsidR="00071CE1" w:rsidRDefault="007902AB" w:rsidP="00EE1B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Formuojant 2018 metų biudžetą, komunalinių paslaugų</w:t>
      </w:r>
      <w:r w:rsidRPr="007902AB">
        <w:rPr>
          <w:sz w:val="24"/>
          <w:szCs w:val="24"/>
        </w:rPr>
        <w:t xml:space="preserve"> straipsnio išlaidoms</w:t>
      </w:r>
      <w:r>
        <w:rPr>
          <w:sz w:val="24"/>
          <w:szCs w:val="24"/>
        </w:rPr>
        <w:t xml:space="preserve"> (</w:t>
      </w:r>
      <w:r w:rsidRPr="007902AB">
        <w:rPr>
          <w:sz w:val="24"/>
          <w:szCs w:val="24"/>
        </w:rPr>
        <w:t>šildymui, elektrai, vandeniui</w:t>
      </w:r>
      <w:r w:rsidR="007239E8">
        <w:rPr>
          <w:sz w:val="24"/>
          <w:szCs w:val="24"/>
        </w:rPr>
        <w:t>)</w:t>
      </w:r>
      <w:r w:rsidRPr="007902AB">
        <w:rPr>
          <w:sz w:val="24"/>
          <w:szCs w:val="24"/>
        </w:rPr>
        <w:t xml:space="preserve"> apskaičiuoti atsisakyta normatyvų, ir lėšos skirtos pagal 201</w:t>
      </w:r>
      <w:r w:rsidR="007239E8">
        <w:rPr>
          <w:sz w:val="24"/>
          <w:szCs w:val="24"/>
        </w:rPr>
        <w:t>7 metų įstaigų kasines išlaidas.</w:t>
      </w:r>
      <w:r w:rsidRPr="007902AB">
        <w:rPr>
          <w:sz w:val="24"/>
          <w:szCs w:val="24"/>
        </w:rPr>
        <w:t xml:space="preserve"> </w:t>
      </w:r>
    </w:p>
    <w:p w:rsidR="00284DAD" w:rsidRDefault="00284DAD" w:rsidP="00EE1B6B">
      <w:pPr>
        <w:ind w:firstLine="720"/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92"/>
        <w:gridCol w:w="1118"/>
        <w:gridCol w:w="567"/>
        <w:gridCol w:w="1134"/>
        <w:gridCol w:w="851"/>
        <w:gridCol w:w="850"/>
        <w:gridCol w:w="992"/>
        <w:gridCol w:w="851"/>
      </w:tblGrid>
      <w:tr w:rsidR="00071CE1" w:rsidRPr="00071CE1" w:rsidTr="000369E4">
        <w:trPr>
          <w:trHeight w:val="27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9CB" w:rsidRPr="00444670" w:rsidRDefault="00335558" w:rsidP="00335558">
            <w:pPr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2</w:t>
            </w:r>
            <w:r w:rsidR="00444670">
              <w:rPr>
                <w:b/>
                <w:bCs/>
                <w:sz w:val="24"/>
                <w:szCs w:val="24"/>
                <w:lang w:eastAsia="lt-LT"/>
              </w:rPr>
              <w:t xml:space="preserve"> lentelė. Išlaidų k</w:t>
            </w:r>
            <w:r w:rsidR="00071CE1" w:rsidRPr="00444670">
              <w:rPr>
                <w:b/>
                <w:bCs/>
                <w:sz w:val="24"/>
                <w:szCs w:val="24"/>
                <w:lang w:eastAsia="lt-LT"/>
              </w:rPr>
              <w:t>omunalinėms paslaugoms analizė 2016 - 2017 metais (</w:t>
            </w:r>
            <w:r w:rsidR="00EB6A53" w:rsidRPr="00444670">
              <w:rPr>
                <w:b/>
                <w:bCs/>
                <w:sz w:val="24"/>
                <w:szCs w:val="24"/>
                <w:lang w:eastAsia="lt-LT"/>
              </w:rPr>
              <w:t>eurais</w:t>
            </w:r>
            <w:r w:rsidR="00071CE1" w:rsidRPr="00444670">
              <w:rPr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0369E4" w:rsidRPr="00071CE1" w:rsidTr="00BB4BFB">
        <w:trPr>
          <w:trHeight w:val="135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Įstaigos pavadinimas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Suma, įtraukta į 2016 metų biudžeto sąmatas komunalinėms paslaugoms 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Padidinta(+), sumažinta(-) per 2016 metus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Proc. (+;-)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Apskaičiuota pagal normatyvus 2017 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Suma, įtraukta į 2017 metų biudžeto sąmatas komunalinėms paslaugoms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Padidinta(+), sumažinta</w:t>
            </w:r>
            <w:r w:rsidR="000369E4">
              <w:rPr>
                <w:sz w:val="16"/>
                <w:szCs w:val="16"/>
                <w:lang w:eastAsia="lt-LT"/>
              </w:rPr>
              <w:t xml:space="preserve"> </w:t>
            </w:r>
            <w:r w:rsidRPr="00071CE1">
              <w:rPr>
                <w:sz w:val="16"/>
                <w:szCs w:val="16"/>
                <w:lang w:eastAsia="lt-LT"/>
              </w:rPr>
              <w:t>(-) per 2017 metus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64602E" w:rsidP="00690627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</w:t>
            </w:r>
            <w:r w:rsidR="00071CE1" w:rsidRPr="00071CE1">
              <w:rPr>
                <w:sz w:val="16"/>
                <w:szCs w:val="16"/>
                <w:lang w:eastAsia="lt-LT"/>
              </w:rPr>
              <w:t>orekcijos proc. (+</w:t>
            </w:r>
            <w:r w:rsidR="00690627">
              <w:rPr>
                <w:sz w:val="16"/>
                <w:szCs w:val="16"/>
                <w:lang w:eastAsia="lt-LT"/>
              </w:rPr>
              <w:t>;-) (nuo sąmatos</w:t>
            </w:r>
            <w:r>
              <w:rPr>
                <w:sz w:val="16"/>
                <w:szCs w:val="16"/>
                <w:lang w:eastAsia="lt-LT"/>
              </w:rPr>
              <w:t>,</w:t>
            </w:r>
            <w:r w:rsidR="00690627">
              <w:rPr>
                <w:sz w:val="16"/>
                <w:szCs w:val="16"/>
                <w:lang w:eastAsia="lt-LT"/>
              </w:rPr>
              <w:t xml:space="preserve"> plius metų pabaigos</w:t>
            </w:r>
            <w:r w:rsidR="00071CE1" w:rsidRPr="00071CE1">
              <w:rPr>
                <w:sz w:val="16"/>
                <w:szCs w:val="16"/>
                <w:lang w:eastAsia="lt-LT"/>
              </w:rPr>
              <w:t xml:space="preserve"> </w:t>
            </w:r>
            <w:r w:rsidR="00690627">
              <w:rPr>
                <w:sz w:val="16"/>
                <w:szCs w:val="16"/>
                <w:lang w:eastAsia="lt-LT"/>
              </w:rPr>
              <w:t>li</w:t>
            </w:r>
            <w:r w:rsidR="00071CE1" w:rsidRPr="00071CE1">
              <w:rPr>
                <w:sz w:val="16"/>
                <w:szCs w:val="16"/>
                <w:lang w:eastAsia="lt-LT"/>
              </w:rPr>
              <w:t>kutis)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CE1" w:rsidRPr="00071CE1" w:rsidRDefault="00071CE1" w:rsidP="0064602E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Likutis 2017 metų </w:t>
            </w:r>
            <w:r w:rsidR="0064602E">
              <w:rPr>
                <w:sz w:val="16"/>
                <w:szCs w:val="16"/>
                <w:lang w:eastAsia="lt-LT"/>
              </w:rPr>
              <w:t xml:space="preserve"> pabaigoje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E1" w:rsidRPr="00071CE1" w:rsidRDefault="00071CE1" w:rsidP="00071CE1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Senamiesčio 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44100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"Ryto" pagrindinė </w:t>
            </w:r>
            <w:r w:rsidRPr="00071CE1">
              <w:rPr>
                <w:sz w:val="16"/>
                <w:szCs w:val="16"/>
                <w:lang w:eastAsia="lt-LT"/>
              </w:rPr>
              <w:t>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58900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"Saulės" gimnazija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63300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Akademiko </w:t>
            </w:r>
            <w:r>
              <w:rPr>
                <w:sz w:val="16"/>
                <w:szCs w:val="16"/>
                <w:lang w:eastAsia="lt-LT"/>
              </w:rPr>
              <w:t>A.</w:t>
            </w:r>
            <w:r w:rsidR="0064602E">
              <w:rPr>
                <w:sz w:val="16"/>
                <w:szCs w:val="16"/>
                <w:lang w:eastAsia="lt-LT"/>
              </w:rPr>
              <w:t xml:space="preserve"> </w:t>
            </w:r>
            <w:r>
              <w:rPr>
                <w:sz w:val="16"/>
                <w:szCs w:val="16"/>
                <w:lang w:eastAsia="lt-LT"/>
              </w:rPr>
              <w:t xml:space="preserve">Jucio pagrindinė </w:t>
            </w:r>
            <w:r w:rsidRPr="00071CE1">
              <w:rPr>
                <w:sz w:val="16"/>
                <w:szCs w:val="16"/>
                <w:lang w:eastAsia="lt-LT"/>
              </w:rPr>
              <w:t xml:space="preserve"> mok</w:t>
            </w:r>
            <w:r>
              <w:rPr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33200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Platelių gimnazija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31800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Žem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>.</w:t>
            </w:r>
            <w:r w:rsidR="0064602E">
              <w:rPr>
                <w:sz w:val="16"/>
                <w:szCs w:val="16"/>
                <w:lang w:eastAsia="lt-LT"/>
              </w:rPr>
              <w:t xml:space="preserve"> </w:t>
            </w:r>
            <w:r w:rsidRPr="00071CE1">
              <w:rPr>
                <w:sz w:val="16"/>
                <w:szCs w:val="16"/>
                <w:lang w:eastAsia="lt-LT"/>
              </w:rPr>
              <w:t>Kalvarijos</w:t>
            </w:r>
            <w:r>
              <w:rPr>
                <w:sz w:val="16"/>
                <w:szCs w:val="16"/>
                <w:lang w:eastAsia="lt-LT"/>
              </w:rPr>
              <w:t xml:space="preserve"> </w:t>
            </w:r>
            <w:r w:rsidRPr="00071CE1">
              <w:rPr>
                <w:sz w:val="16"/>
                <w:szCs w:val="16"/>
                <w:lang w:eastAsia="lt-LT"/>
              </w:rPr>
              <w:t xml:space="preserve"> M.Valančiaus gimnazija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Alsėdžių  S.</w:t>
            </w:r>
            <w:r w:rsidR="0064602E">
              <w:rPr>
                <w:sz w:val="16"/>
                <w:szCs w:val="16"/>
                <w:lang w:eastAsia="lt-LT"/>
              </w:rPr>
              <w:t xml:space="preserve"> </w:t>
            </w:r>
            <w:r w:rsidRPr="00071CE1">
              <w:rPr>
                <w:sz w:val="16"/>
                <w:szCs w:val="16"/>
                <w:lang w:eastAsia="lt-LT"/>
              </w:rPr>
              <w:t>Narutavičiaus gimnazija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42900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"Babrungo" pagrindinė </w:t>
            </w:r>
            <w:r w:rsidRPr="00071CE1">
              <w:rPr>
                <w:sz w:val="16"/>
                <w:szCs w:val="16"/>
                <w:lang w:eastAsia="lt-LT"/>
              </w:rPr>
              <w:t xml:space="preserve"> 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13200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Vyskupo M.</w:t>
            </w:r>
            <w:r w:rsidR="0064602E">
              <w:rPr>
                <w:sz w:val="16"/>
                <w:szCs w:val="16"/>
                <w:lang w:eastAsia="lt-LT"/>
              </w:rPr>
              <w:t xml:space="preserve"> </w:t>
            </w:r>
            <w:r>
              <w:rPr>
                <w:sz w:val="16"/>
                <w:szCs w:val="16"/>
                <w:lang w:eastAsia="lt-LT"/>
              </w:rPr>
              <w:t xml:space="preserve">Valančiaus  pradinė </w:t>
            </w:r>
            <w:r w:rsidRPr="00071CE1">
              <w:rPr>
                <w:sz w:val="16"/>
                <w:szCs w:val="16"/>
                <w:lang w:eastAsia="lt-LT"/>
              </w:rPr>
              <w:t xml:space="preserve"> mok.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0369E4" w:rsidRPr="00071CE1" w:rsidTr="00DA7C5A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Suaugusių švietimo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15900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E1" w:rsidRPr="00071CE1" w:rsidRDefault="00071CE1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DA7C5A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Kulių gimnazija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45100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Šateikių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pagrindinė 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30600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Nausodžio pagrindinė 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13300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Stalgėnų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pagrindinė 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30500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284DAD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Stanelių pagrindinė </w:t>
            </w:r>
            <w:r w:rsidRPr="00071CE1">
              <w:rPr>
                <w:sz w:val="16"/>
                <w:szCs w:val="16"/>
                <w:lang w:eastAsia="lt-LT"/>
              </w:rPr>
              <w:t>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284DAD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Kantaučių pagrindinė mokykla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Žlibinų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I. Končiaus pagrindinė </w:t>
            </w:r>
            <w:r w:rsidRPr="00071CE1">
              <w:rPr>
                <w:sz w:val="16"/>
                <w:szCs w:val="16"/>
                <w:lang w:eastAsia="lt-LT"/>
              </w:rPr>
              <w:t>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9B3C28" w:rsidRPr="00071CE1" w:rsidTr="009B3C28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EB6A53" w:rsidRDefault="009B3C28" w:rsidP="009B3C28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28" w:rsidRPr="00071CE1" w:rsidRDefault="009B3C28" w:rsidP="009B3C28">
            <w:pPr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9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Lopšelis-darželis “Rūtelė”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44100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39000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Lopšelis-darželis “Saulutė”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35800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EB6A53">
              <w:rPr>
                <w:sz w:val="16"/>
                <w:szCs w:val="16"/>
                <w:lang w:eastAsia="lt-LT"/>
              </w:rPr>
              <w:t>28300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Lopšelis</w:t>
            </w:r>
            <w:r w:rsidRPr="00071CE1">
              <w:rPr>
                <w:sz w:val="16"/>
                <w:szCs w:val="16"/>
                <w:lang w:eastAsia="lt-LT"/>
              </w:rPr>
              <w:t>-darželis  “Pasaka”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20800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EB6A53">
              <w:rPr>
                <w:sz w:val="16"/>
                <w:szCs w:val="16"/>
                <w:lang w:eastAsia="lt-LT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Lopšelis </w:t>
            </w:r>
            <w:r w:rsidRPr="00071CE1">
              <w:rPr>
                <w:sz w:val="16"/>
                <w:szCs w:val="16"/>
                <w:lang w:eastAsia="lt-LT"/>
              </w:rPr>
              <w:t>-darželis “Vyturėlis”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26600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Lopšelis-darž</w:t>
            </w:r>
            <w:r>
              <w:rPr>
                <w:sz w:val="16"/>
                <w:szCs w:val="16"/>
                <w:lang w:eastAsia="lt-LT"/>
              </w:rPr>
              <w:t>elis</w:t>
            </w:r>
            <w:r w:rsidRPr="00071CE1">
              <w:rPr>
                <w:sz w:val="16"/>
                <w:szCs w:val="16"/>
                <w:lang w:eastAsia="lt-LT"/>
              </w:rPr>
              <w:t xml:space="preserve"> “Raudonkepuraitė”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42000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34700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Lopšelis-darželis “Nykštukas”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17000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17200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Prūsalių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darželis- mokykla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14400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Žem.Kalvarijos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lopšelis - darželis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14000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Platelių </w:t>
            </w:r>
            <w:proofErr w:type="spellStart"/>
            <w:r>
              <w:rPr>
                <w:sz w:val="16"/>
                <w:szCs w:val="16"/>
                <w:lang w:eastAsia="lt-LT"/>
              </w:rPr>
              <w:t>daugia</w:t>
            </w:r>
            <w:r w:rsidRPr="00071CE1">
              <w:rPr>
                <w:sz w:val="16"/>
                <w:szCs w:val="16"/>
                <w:lang w:eastAsia="lt-LT"/>
              </w:rPr>
              <w:t>funkcis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12800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2E785E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Didvyčių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daugiafunkcis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13600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Alsėdžių lopšelis darželis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Sporto ir rekreacijos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M.</w:t>
            </w:r>
            <w:r>
              <w:rPr>
                <w:sz w:val="16"/>
                <w:szCs w:val="16"/>
                <w:lang w:eastAsia="lt-LT"/>
              </w:rPr>
              <w:t xml:space="preserve"> </w:t>
            </w:r>
            <w:r w:rsidRPr="00071CE1">
              <w:rPr>
                <w:sz w:val="16"/>
                <w:szCs w:val="16"/>
                <w:lang w:eastAsia="lt-LT"/>
              </w:rPr>
              <w:t>Oginskio meno 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19800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Platelių meno mokykla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Plungės </w:t>
            </w:r>
            <w:proofErr w:type="spellStart"/>
            <w:r w:rsidRPr="00071CE1">
              <w:rPr>
                <w:sz w:val="16"/>
                <w:szCs w:val="16"/>
                <w:lang w:eastAsia="lt-LT"/>
              </w:rPr>
              <w:t>raj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. savivaldybės viešoji </w:t>
            </w:r>
            <w:proofErr w:type="spellStart"/>
            <w:r w:rsidRPr="00071CE1">
              <w:rPr>
                <w:sz w:val="16"/>
                <w:szCs w:val="16"/>
                <w:lang w:eastAsia="lt-LT"/>
              </w:rPr>
              <w:t>bibl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25000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9,7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Žemaičių dailės muziejus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42900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Plungės </w:t>
            </w:r>
            <w:proofErr w:type="spellStart"/>
            <w:r w:rsidRPr="00071CE1">
              <w:rPr>
                <w:sz w:val="16"/>
                <w:szCs w:val="16"/>
                <w:lang w:eastAsia="lt-LT"/>
              </w:rPr>
              <w:t>raj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>. savivaldybės kultūros c.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34200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2,8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Plungės krizių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16200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Plungės socialinių paslaugų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Žem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>. Kalvarijos kul</w:t>
            </w:r>
            <w:r>
              <w:rPr>
                <w:sz w:val="16"/>
                <w:szCs w:val="16"/>
                <w:lang w:eastAsia="lt-LT"/>
              </w:rPr>
              <w:t>t</w:t>
            </w:r>
            <w:r w:rsidRPr="00071CE1">
              <w:rPr>
                <w:sz w:val="16"/>
                <w:szCs w:val="16"/>
                <w:lang w:eastAsia="lt-LT"/>
              </w:rPr>
              <w:t>ūros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24700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Kulių kultūros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Šateikių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kultūros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Žlibinų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kultūros centras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Pedagoginė </w:t>
            </w:r>
            <w:proofErr w:type="spellStart"/>
            <w:r w:rsidRPr="00071CE1">
              <w:rPr>
                <w:sz w:val="16"/>
                <w:szCs w:val="16"/>
                <w:lang w:eastAsia="lt-LT"/>
              </w:rPr>
              <w:t>psicholog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>. tarnyba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Plungės TIC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Savivaldybės administracija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35400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-54900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34200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5,2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 xml:space="preserve">Alsėdžių seniūnija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EB6A53" w:rsidRDefault="00DA7C5A" w:rsidP="00071CE1">
            <w:pPr>
              <w:jc w:val="right"/>
              <w:rPr>
                <w:bCs/>
                <w:sz w:val="16"/>
                <w:szCs w:val="16"/>
                <w:lang w:eastAsia="lt-LT"/>
              </w:rPr>
            </w:pPr>
            <w:r w:rsidRPr="00EB6A53">
              <w:rPr>
                <w:bCs/>
                <w:sz w:val="16"/>
                <w:szCs w:val="16"/>
                <w:lang w:eastAsia="lt-LT"/>
              </w:rPr>
              <w:t>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Babrungo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Kulių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16200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Nausodžio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Paukštakių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13200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Platelių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Stalgėnų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Šateikių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Žem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>.</w:t>
            </w:r>
            <w:r>
              <w:rPr>
                <w:sz w:val="16"/>
                <w:szCs w:val="16"/>
                <w:lang w:eastAsia="lt-LT"/>
              </w:rPr>
              <w:t xml:space="preserve"> </w:t>
            </w:r>
            <w:r w:rsidRPr="00071CE1">
              <w:rPr>
                <w:sz w:val="16"/>
                <w:szCs w:val="16"/>
                <w:lang w:eastAsia="lt-LT"/>
              </w:rPr>
              <w:t>Kalvarijos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23800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21600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proofErr w:type="spellStart"/>
            <w:r w:rsidRPr="00071CE1">
              <w:rPr>
                <w:sz w:val="16"/>
                <w:szCs w:val="16"/>
                <w:lang w:eastAsia="lt-LT"/>
              </w:rPr>
              <w:t>Žlibinų</w:t>
            </w:r>
            <w:proofErr w:type="spellEnd"/>
            <w:r w:rsidRPr="00071CE1">
              <w:rPr>
                <w:sz w:val="16"/>
                <w:szCs w:val="16"/>
                <w:lang w:eastAsia="lt-LT"/>
              </w:rPr>
              <w:t xml:space="preserve"> seniūnija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7500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Plungės miesto seniūnija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98200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95800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95800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-12100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  <w:tr w:rsidR="00DA7C5A" w:rsidRPr="00071CE1" w:rsidTr="00BB4BFB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Iš viso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1180100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-150200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1073800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1093800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-175100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jc w:val="right"/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-16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C5A" w:rsidRPr="00071CE1" w:rsidRDefault="00DA7C5A" w:rsidP="00071CE1">
            <w:pPr>
              <w:rPr>
                <w:sz w:val="16"/>
                <w:szCs w:val="16"/>
                <w:lang w:eastAsia="lt-LT"/>
              </w:rPr>
            </w:pPr>
            <w:r w:rsidRPr="00071CE1">
              <w:rPr>
                <w:sz w:val="16"/>
                <w:szCs w:val="16"/>
                <w:lang w:eastAsia="lt-LT"/>
              </w:rPr>
              <w:t> </w:t>
            </w:r>
          </w:p>
        </w:tc>
      </w:tr>
    </w:tbl>
    <w:p w:rsidR="00DA7C5A" w:rsidRDefault="00DA7C5A" w:rsidP="0081123C">
      <w:pPr>
        <w:ind w:firstLine="720"/>
        <w:jc w:val="center"/>
        <w:rPr>
          <w:b/>
          <w:sz w:val="28"/>
          <w:szCs w:val="28"/>
        </w:rPr>
      </w:pPr>
    </w:p>
    <w:p w:rsidR="0081123C" w:rsidRPr="0081123C" w:rsidRDefault="0081123C" w:rsidP="0081123C">
      <w:pPr>
        <w:ind w:firstLine="720"/>
        <w:jc w:val="center"/>
        <w:rPr>
          <w:b/>
          <w:sz w:val="28"/>
          <w:szCs w:val="28"/>
        </w:rPr>
      </w:pPr>
      <w:r w:rsidRPr="0081123C">
        <w:rPr>
          <w:b/>
          <w:sz w:val="28"/>
          <w:szCs w:val="28"/>
        </w:rPr>
        <w:t>3. Išlaidos pagal funkcinę klasifikaciją</w:t>
      </w:r>
    </w:p>
    <w:p w:rsidR="00B41869" w:rsidRPr="0081123C" w:rsidRDefault="00B41869" w:rsidP="0081123C">
      <w:pPr>
        <w:ind w:firstLine="720"/>
        <w:jc w:val="both"/>
        <w:rPr>
          <w:sz w:val="24"/>
          <w:szCs w:val="24"/>
        </w:rPr>
      </w:pPr>
    </w:p>
    <w:p w:rsidR="0081123C" w:rsidRPr="0081123C" w:rsidRDefault="00322582" w:rsidP="008112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81123C" w:rsidRPr="0081123C">
        <w:rPr>
          <w:sz w:val="24"/>
          <w:szCs w:val="24"/>
        </w:rPr>
        <w:t xml:space="preserve"> metais, kaip ir ankstesniais metais, didžiausia dalis patvirtinto biudžeto asignavimų teko švietimui </w:t>
      </w:r>
      <w:r w:rsidR="0081123C" w:rsidRPr="00D96D1C">
        <w:rPr>
          <w:sz w:val="24"/>
          <w:szCs w:val="24"/>
        </w:rPr>
        <w:t xml:space="preserve">– </w:t>
      </w:r>
      <w:r w:rsidR="002A1BA9">
        <w:rPr>
          <w:sz w:val="24"/>
          <w:szCs w:val="24"/>
        </w:rPr>
        <w:t>50,9</w:t>
      </w:r>
      <w:r w:rsidR="0081123C" w:rsidRPr="00D96D1C">
        <w:rPr>
          <w:sz w:val="24"/>
          <w:szCs w:val="24"/>
        </w:rPr>
        <w:t xml:space="preserve"> proc.</w:t>
      </w:r>
      <w:r w:rsidR="0081123C" w:rsidRPr="0081123C">
        <w:rPr>
          <w:sz w:val="24"/>
          <w:szCs w:val="24"/>
        </w:rPr>
        <w:t xml:space="preserve"> visų biudžeto lėšų (</w:t>
      </w:r>
      <w:r w:rsidR="00363357">
        <w:rPr>
          <w:sz w:val="24"/>
          <w:szCs w:val="24"/>
        </w:rPr>
        <w:t>16</w:t>
      </w:r>
      <w:r w:rsidR="002A1BA9">
        <w:rPr>
          <w:sz w:val="24"/>
          <w:szCs w:val="24"/>
        </w:rPr>
        <w:t> 921,8</w:t>
      </w:r>
      <w:r w:rsidR="0081123C" w:rsidRPr="0081123C">
        <w:rPr>
          <w:sz w:val="24"/>
          <w:szCs w:val="24"/>
        </w:rPr>
        <w:t xml:space="preserve"> tūkst. eurų). Išlaidų dalis, skirta socialinei apsaugai – </w:t>
      </w:r>
      <w:r w:rsidR="002A1BA9">
        <w:rPr>
          <w:sz w:val="24"/>
          <w:szCs w:val="24"/>
        </w:rPr>
        <w:t>9,7</w:t>
      </w:r>
      <w:r w:rsidR="00D96D1C">
        <w:rPr>
          <w:sz w:val="24"/>
          <w:szCs w:val="24"/>
        </w:rPr>
        <w:t xml:space="preserve"> </w:t>
      </w:r>
      <w:r w:rsidR="0081123C" w:rsidRPr="0081123C">
        <w:rPr>
          <w:sz w:val="24"/>
          <w:szCs w:val="24"/>
        </w:rPr>
        <w:t>proc. visų biudžeto lėšų (</w:t>
      </w:r>
      <w:r w:rsidR="00363357">
        <w:rPr>
          <w:sz w:val="24"/>
          <w:szCs w:val="24"/>
        </w:rPr>
        <w:t>3</w:t>
      </w:r>
      <w:r w:rsidR="002A1BA9">
        <w:rPr>
          <w:sz w:val="24"/>
          <w:szCs w:val="24"/>
        </w:rPr>
        <w:t> 392,9</w:t>
      </w:r>
      <w:r w:rsidR="0081123C" w:rsidRPr="0081123C">
        <w:rPr>
          <w:sz w:val="24"/>
          <w:szCs w:val="24"/>
        </w:rPr>
        <w:t xml:space="preserve"> tūkst. eurų)</w:t>
      </w:r>
      <w:r w:rsidR="0097670F">
        <w:rPr>
          <w:sz w:val="24"/>
          <w:szCs w:val="24"/>
        </w:rPr>
        <w:t>.</w:t>
      </w:r>
    </w:p>
    <w:p w:rsidR="0081123C" w:rsidRPr="0081123C" w:rsidRDefault="002A1BA9" w:rsidP="0081123C">
      <w:pPr>
        <w:ind w:firstLine="720"/>
        <w:jc w:val="both"/>
        <w:rPr>
          <w:sz w:val="24"/>
          <w:szCs w:val="24"/>
        </w:rPr>
      </w:pPr>
      <w:r w:rsidRPr="00D5110C">
        <w:rPr>
          <w:sz w:val="24"/>
          <w:szCs w:val="24"/>
        </w:rPr>
        <w:t>Palygi</w:t>
      </w:r>
      <w:r w:rsidRPr="004A1297">
        <w:rPr>
          <w:sz w:val="24"/>
          <w:szCs w:val="24"/>
        </w:rPr>
        <w:t>nkime</w:t>
      </w:r>
      <w:r>
        <w:rPr>
          <w:sz w:val="24"/>
          <w:szCs w:val="24"/>
        </w:rPr>
        <w:t xml:space="preserve"> kai kurias 2014</w:t>
      </w:r>
      <w:r w:rsidR="0081123C" w:rsidRPr="0081123C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="0081123C" w:rsidRPr="0081123C">
        <w:rPr>
          <w:sz w:val="24"/>
          <w:szCs w:val="24"/>
        </w:rPr>
        <w:t xml:space="preserve"> metų  išlaidas pagal funkcinę klasifikaciją.</w:t>
      </w:r>
    </w:p>
    <w:p w:rsidR="0081123C" w:rsidRDefault="002A1BA9" w:rsidP="008112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Išlaidos, 2014</w:t>
      </w:r>
      <w:r w:rsidR="0081123C" w:rsidRPr="0081123C">
        <w:rPr>
          <w:sz w:val="24"/>
          <w:szCs w:val="24"/>
        </w:rPr>
        <w:t xml:space="preserve"> - 201</w:t>
      </w:r>
      <w:r>
        <w:rPr>
          <w:sz w:val="24"/>
          <w:szCs w:val="24"/>
        </w:rPr>
        <w:t>7</w:t>
      </w:r>
      <w:r w:rsidR="0081123C" w:rsidRPr="0081123C">
        <w:rPr>
          <w:sz w:val="24"/>
          <w:szCs w:val="24"/>
        </w:rPr>
        <w:t xml:space="preserve"> metais skirtos švietimui ir socialinei apsaugai,  grafiškai parodytos 6 paveiksle</w:t>
      </w:r>
      <w:r w:rsidR="00EB1006">
        <w:rPr>
          <w:sz w:val="24"/>
          <w:szCs w:val="24"/>
        </w:rPr>
        <w:t>:</w:t>
      </w:r>
    </w:p>
    <w:p w:rsidR="0081123C" w:rsidRPr="0081123C" w:rsidRDefault="003A46AC" w:rsidP="0081123C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57728" behindDoc="0" locked="0" layoutInCell="1" allowOverlap="1" wp14:anchorId="14335399" wp14:editId="101AC67D">
            <wp:simplePos x="0" y="0"/>
            <wp:positionH relativeFrom="column">
              <wp:posOffset>-47625</wp:posOffset>
            </wp:positionH>
            <wp:positionV relativeFrom="paragraph">
              <wp:posOffset>194945</wp:posOffset>
            </wp:positionV>
            <wp:extent cx="6381750" cy="3470275"/>
            <wp:effectExtent l="0" t="0" r="0" b="1905"/>
            <wp:wrapSquare wrapText="right"/>
            <wp:docPr id="1" name="Objekt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558" w:rsidRDefault="00335558" w:rsidP="0081123C">
      <w:pPr>
        <w:ind w:firstLine="720"/>
        <w:jc w:val="both"/>
        <w:rPr>
          <w:sz w:val="24"/>
          <w:szCs w:val="24"/>
        </w:rPr>
      </w:pPr>
    </w:p>
    <w:p w:rsidR="00335558" w:rsidRDefault="00335558" w:rsidP="0081123C">
      <w:pPr>
        <w:ind w:firstLine="720"/>
        <w:jc w:val="both"/>
        <w:rPr>
          <w:sz w:val="24"/>
          <w:szCs w:val="24"/>
        </w:rPr>
      </w:pPr>
      <w:r w:rsidRPr="00335558">
        <w:rPr>
          <w:sz w:val="24"/>
          <w:szCs w:val="24"/>
        </w:rPr>
        <w:t>6 pav. Išlaidos, 2014 – 2017 metais skirtos švietimui ir socialinei apsaugai</w:t>
      </w:r>
    </w:p>
    <w:p w:rsidR="00DA7C5A" w:rsidRDefault="00DA7C5A" w:rsidP="0081123C">
      <w:pPr>
        <w:ind w:firstLine="720"/>
        <w:jc w:val="both"/>
        <w:rPr>
          <w:sz w:val="24"/>
          <w:szCs w:val="24"/>
        </w:rPr>
      </w:pPr>
    </w:p>
    <w:p w:rsidR="0081123C" w:rsidRPr="0081123C" w:rsidRDefault="00444670" w:rsidP="008112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123C" w:rsidRPr="0081123C">
        <w:rPr>
          <w:sz w:val="24"/>
          <w:szCs w:val="24"/>
        </w:rPr>
        <w:t xml:space="preserve"> lentelėje ir</w:t>
      </w:r>
      <w:r w:rsidR="002A1BA9">
        <w:rPr>
          <w:sz w:val="24"/>
          <w:szCs w:val="24"/>
        </w:rPr>
        <w:t xml:space="preserve"> 7 paveiksle parodyta, kaip 2017</w:t>
      </w:r>
      <w:r w:rsidR="0081123C" w:rsidRPr="0081123C">
        <w:rPr>
          <w:sz w:val="24"/>
          <w:szCs w:val="24"/>
        </w:rPr>
        <w:t xml:space="preserve"> m. buvo paskirstytos  Savivaldybės biudžeto lėšos pagal funkcinę klasifikaciją. </w:t>
      </w:r>
    </w:p>
    <w:p w:rsidR="009237F5" w:rsidRDefault="009237F5" w:rsidP="0081123C">
      <w:pPr>
        <w:ind w:firstLine="720"/>
        <w:jc w:val="both"/>
        <w:rPr>
          <w:sz w:val="24"/>
          <w:szCs w:val="24"/>
        </w:rPr>
      </w:pPr>
    </w:p>
    <w:p w:rsidR="0081123C" w:rsidRPr="008960BD" w:rsidRDefault="00444670" w:rsidP="0081123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2582">
        <w:rPr>
          <w:b/>
          <w:sz w:val="24"/>
          <w:szCs w:val="24"/>
        </w:rPr>
        <w:t xml:space="preserve"> lentelė. 2017</w:t>
      </w:r>
      <w:r w:rsidR="0081123C" w:rsidRPr="008960BD">
        <w:rPr>
          <w:b/>
          <w:sz w:val="24"/>
          <w:szCs w:val="24"/>
        </w:rPr>
        <w:t xml:space="preserve"> metų biudžeto išlaidos pagal funkcinę klasifikaciją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1276"/>
        <w:gridCol w:w="1678"/>
        <w:gridCol w:w="23"/>
      </w:tblGrid>
      <w:tr w:rsidR="00363357" w:rsidRPr="00626725" w:rsidTr="00626725">
        <w:trPr>
          <w:gridAfter w:val="1"/>
          <w:wAfter w:w="23" w:type="dxa"/>
          <w:trHeight w:val="1003"/>
        </w:trPr>
        <w:tc>
          <w:tcPr>
            <w:tcW w:w="1526" w:type="dxa"/>
            <w:vMerge w:val="restart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Funkcinės  klasifikacijos kodas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Išlaidos pagal funkcinę klasifikaciją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Patikslintas ataskaitinio laikotarpio planas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Įvykdyta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Procentinė viso biudžeto dalis</w:t>
            </w:r>
          </w:p>
        </w:tc>
      </w:tr>
      <w:tr w:rsidR="00363357" w:rsidRPr="00626725" w:rsidTr="00626725">
        <w:trPr>
          <w:gridAfter w:val="1"/>
          <w:wAfter w:w="23" w:type="dxa"/>
          <w:trHeight w:val="315"/>
        </w:trPr>
        <w:tc>
          <w:tcPr>
            <w:tcW w:w="1526" w:type="dxa"/>
            <w:vMerge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tūkst. eurų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proc.</w:t>
            </w:r>
          </w:p>
        </w:tc>
      </w:tr>
      <w:tr w:rsidR="00363357" w:rsidRPr="00626725" w:rsidTr="00626725">
        <w:trPr>
          <w:gridAfter w:val="1"/>
          <w:wAfter w:w="23" w:type="dxa"/>
          <w:trHeight w:val="188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Bendros valstybės paslaugos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2720,8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2652,8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63357" w:rsidRPr="00626725" w:rsidTr="00626725">
        <w:trPr>
          <w:gridAfter w:val="1"/>
          <w:wAfter w:w="23" w:type="dxa"/>
          <w:trHeight w:val="176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Gynyba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0,1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Viešoji tvarka ir visuomenės apsauga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465,3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1,</w:t>
            </w:r>
            <w:r w:rsidR="00322582">
              <w:rPr>
                <w:sz w:val="24"/>
                <w:szCs w:val="24"/>
              </w:rPr>
              <w:t>4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Ekonomika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3063,1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3027,4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Aplinkos apsauga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1238,0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1186,2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Būstas ir komunalinis ūkis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1223,3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363357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Sveikatos apsauga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595,6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592,3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 xml:space="preserve">Poilsis, kultūra ir religija 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3864,2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3392,9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Švietimas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17026,2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16921,8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1526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363357" w:rsidRPr="00626725" w:rsidRDefault="00363357" w:rsidP="006F41BD">
            <w:pPr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Socialinė apsauga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3335,5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3214,0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363357" w:rsidRPr="00626725" w:rsidTr="00626725">
        <w:trPr>
          <w:gridAfter w:val="1"/>
          <w:wAfter w:w="23" w:type="dxa"/>
        </w:trPr>
        <w:tc>
          <w:tcPr>
            <w:tcW w:w="5353" w:type="dxa"/>
            <w:gridSpan w:val="2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b/>
                <w:sz w:val="24"/>
                <w:szCs w:val="24"/>
              </w:rPr>
            </w:pPr>
            <w:r w:rsidRPr="00626725">
              <w:rPr>
                <w:b/>
                <w:sz w:val="24"/>
                <w:szCs w:val="24"/>
              </w:rPr>
              <w:t>Iš viso išlaidų</w:t>
            </w:r>
          </w:p>
        </w:tc>
        <w:tc>
          <w:tcPr>
            <w:tcW w:w="1701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33553,7</w:t>
            </w:r>
          </w:p>
        </w:tc>
        <w:tc>
          <w:tcPr>
            <w:tcW w:w="1276" w:type="dxa"/>
            <w:shd w:val="clear" w:color="auto" w:fill="auto"/>
          </w:tcPr>
          <w:p w:rsidR="00363357" w:rsidRPr="00626725" w:rsidRDefault="00322582" w:rsidP="00626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32424</w:t>
            </w:r>
          </w:p>
        </w:tc>
        <w:tc>
          <w:tcPr>
            <w:tcW w:w="1678" w:type="dxa"/>
            <w:shd w:val="clear" w:color="auto" w:fill="auto"/>
          </w:tcPr>
          <w:p w:rsidR="00363357" w:rsidRPr="00626725" w:rsidRDefault="00363357" w:rsidP="00626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43D4" w:rsidRPr="00626725" w:rsidTr="00626725">
        <w:tc>
          <w:tcPr>
            <w:tcW w:w="1526" w:type="dxa"/>
            <w:shd w:val="clear" w:color="auto" w:fill="auto"/>
          </w:tcPr>
          <w:p w:rsidR="007C43D4" w:rsidRPr="00626725" w:rsidRDefault="007C43D4" w:rsidP="00626725">
            <w:pPr>
              <w:jc w:val="center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7C43D4" w:rsidRPr="00626725" w:rsidRDefault="007C43D4" w:rsidP="00626725">
            <w:pPr>
              <w:jc w:val="both"/>
              <w:rPr>
                <w:sz w:val="24"/>
                <w:szCs w:val="24"/>
              </w:rPr>
            </w:pPr>
            <w:r w:rsidRPr="00626725">
              <w:rPr>
                <w:sz w:val="24"/>
                <w:szCs w:val="24"/>
              </w:rPr>
              <w:t>Finansinių įsipareigojimų vykdymas (paskolų grąžinimas)</w:t>
            </w:r>
          </w:p>
        </w:tc>
        <w:tc>
          <w:tcPr>
            <w:tcW w:w="1701" w:type="dxa"/>
            <w:shd w:val="clear" w:color="auto" w:fill="auto"/>
          </w:tcPr>
          <w:p w:rsidR="007C43D4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276" w:type="dxa"/>
            <w:shd w:val="clear" w:color="auto" w:fill="auto"/>
          </w:tcPr>
          <w:p w:rsidR="007C43D4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3D4" w:rsidRPr="00626725" w:rsidRDefault="00322582" w:rsidP="0062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C43D4" w:rsidRPr="00626725" w:rsidTr="00626725">
        <w:tc>
          <w:tcPr>
            <w:tcW w:w="5353" w:type="dxa"/>
            <w:gridSpan w:val="2"/>
            <w:shd w:val="clear" w:color="auto" w:fill="auto"/>
          </w:tcPr>
          <w:p w:rsidR="007C43D4" w:rsidRPr="00626725" w:rsidRDefault="007C43D4" w:rsidP="00626725">
            <w:pPr>
              <w:jc w:val="center"/>
              <w:rPr>
                <w:b/>
                <w:sz w:val="24"/>
                <w:szCs w:val="24"/>
              </w:rPr>
            </w:pPr>
            <w:r w:rsidRPr="00626725">
              <w:rPr>
                <w:b/>
                <w:sz w:val="24"/>
                <w:szCs w:val="24"/>
              </w:rPr>
              <w:t>Iš viso asignavimų</w:t>
            </w:r>
          </w:p>
        </w:tc>
        <w:tc>
          <w:tcPr>
            <w:tcW w:w="1701" w:type="dxa"/>
            <w:shd w:val="clear" w:color="auto" w:fill="auto"/>
          </w:tcPr>
          <w:p w:rsidR="007C43D4" w:rsidRPr="00626725" w:rsidRDefault="00322582" w:rsidP="00626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34371,7</w:t>
            </w:r>
          </w:p>
        </w:tc>
        <w:tc>
          <w:tcPr>
            <w:tcW w:w="1276" w:type="dxa"/>
            <w:shd w:val="clear" w:color="auto" w:fill="auto"/>
          </w:tcPr>
          <w:p w:rsidR="007C43D4" w:rsidRPr="00626725" w:rsidRDefault="00322582" w:rsidP="00626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33241,8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43D4" w:rsidRPr="00626725" w:rsidRDefault="0059372E" w:rsidP="00626725">
            <w:pPr>
              <w:jc w:val="center"/>
              <w:rPr>
                <w:b/>
                <w:sz w:val="24"/>
                <w:szCs w:val="24"/>
              </w:rPr>
            </w:pPr>
            <w:r w:rsidRPr="00626725">
              <w:rPr>
                <w:b/>
                <w:sz w:val="24"/>
                <w:szCs w:val="24"/>
              </w:rPr>
              <w:t>100,0</w:t>
            </w:r>
          </w:p>
        </w:tc>
      </w:tr>
    </w:tbl>
    <w:p w:rsidR="00F65487" w:rsidRDefault="00B41869" w:rsidP="008112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372E" w:rsidRDefault="003A46AC" w:rsidP="009F0FA8">
      <w:pPr>
        <w:ind w:firstLine="142"/>
        <w:jc w:val="both"/>
        <w:rPr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6E3D5BD6" wp14:editId="42F903F3">
            <wp:extent cx="5895833" cy="4155744"/>
            <wp:effectExtent l="38100" t="0" r="0" b="0"/>
            <wp:docPr id="7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1869" w:rsidRDefault="002A1BA9" w:rsidP="0059372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7 pav. 2017</w:t>
      </w:r>
      <w:r w:rsidR="00F65487" w:rsidRPr="00F65487">
        <w:rPr>
          <w:sz w:val="24"/>
          <w:szCs w:val="24"/>
        </w:rPr>
        <w:t xml:space="preserve">  m. biudžeto išlaidos pagal funkcinę klasifikaciją</w:t>
      </w:r>
      <w:r w:rsidR="009E0749">
        <w:rPr>
          <w:sz w:val="24"/>
          <w:szCs w:val="24"/>
        </w:rPr>
        <w:t>, procentais</w:t>
      </w:r>
    </w:p>
    <w:p w:rsidR="00284DAD" w:rsidRPr="00830C05" w:rsidRDefault="00284DAD" w:rsidP="00A2563B">
      <w:pPr>
        <w:ind w:left="720"/>
        <w:rPr>
          <w:b/>
          <w:sz w:val="24"/>
          <w:szCs w:val="24"/>
        </w:rPr>
      </w:pPr>
    </w:p>
    <w:p w:rsidR="00A2563B" w:rsidRDefault="00A2563B" w:rsidP="00A2563B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Išlaidos švietimui</w:t>
      </w:r>
    </w:p>
    <w:p w:rsidR="00A2563B" w:rsidRPr="00610165" w:rsidRDefault="00A2563B" w:rsidP="00A2563B">
      <w:pPr>
        <w:ind w:left="720"/>
        <w:rPr>
          <w:b/>
          <w:sz w:val="24"/>
          <w:szCs w:val="24"/>
        </w:rPr>
      </w:pPr>
    </w:p>
    <w:p w:rsidR="00A2563B" w:rsidRDefault="00A2563B" w:rsidP="006101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m., kaip </w:t>
      </w:r>
      <w:r w:rsidR="00332228">
        <w:rPr>
          <w:sz w:val="24"/>
          <w:szCs w:val="24"/>
        </w:rPr>
        <w:t>ir ankstesniais metais</w:t>
      </w:r>
      <w:r w:rsidR="00D5110C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6E1930">
        <w:rPr>
          <w:sz w:val="24"/>
          <w:szCs w:val="24"/>
        </w:rPr>
        <w:t xml:space="preserve">švietimui buvo skirta </w:t>
      </w:r>
      <w:r w:rsidR="00332228">
        <w:rPr>
          <w:sz w:val="24"/>
          <w:szCs w:val="24"/>
        </w:rPr>
        <w:t>daugiausiai lėšų - 50,9 proc. visų biudžeto lėšų</w:t>
      </w:r>
      <w:r w:rsidR="00444670">
        <w:rPr>
          <w:sz w:val="24"/>
          <w:szCs w:val="24"/>
        </w:rPr>
        <w:t>. 4</w:t>
      </w:r>
      <w:r>
        <w:rPr>
          <w:sz w:val="24"/>
          <w:szCs w:val="24"/>
        </w:rPr>
        <w:t xml:space="preserve"> lentelėje pateikiame apskaičiavimus, kiek kurioje švietimo įstaigoje Savivaldybei </w:t>
      </w:r>
      <w:r w:rsidRPr="00724656">
        <w:rPr>
          <w:sz w:val="24"/>
          <w:szCs w:val="24"/>
        </w:rPr>
        <w:t>201</w:t>
      </w:r>
      <w:r w:rsidR="00332228">
        <w:rPr>
          <w:sz w:val="24"/>
          <w:szCs w:val="24"/>
        </w:rPr>
        <w:t>7</w:t>
      </w:r>
      <w:r>
        <w:rPr>
          <w:sz w:val="24"/>
          <w:szCs w:val="24"/>
        </w:rPr>
        <w:t xml:space="preserve"> metais kainavo vieno vaiko, mokinio  išlaikymas, lavinimas.</w:t>
      </w:r>
    </w:p>
    <w:p w:rsidR="00332228" w:rsidRDefault="00A2563B" w:rsidP="00A25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043"/>
        <w:gridCol w:w="947"/>
        <w:gridCol w:w="736"/>
        <w:gridCol w:w="965"/>
        <w:gridCol w:w="851"/>
        <w:gridCol w:w="708"/>
        <w:gridCol w:w="1134"/>
        <w:gridCol w:w="1134"/>
        <w:gridCol w:w="851"/>
      </w:tblGrid>
      <w:tr w:rsidR="00332228" w:rsidRPr="00332228" w:rsidTr="008269E4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228" w:rsidRPr="00332228" w:rsidRDefault="00444670" w:rsidP="00332228">
            <w:pPr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>
              <w:rPr>
                <w:b/>
                <w:bCs/>
                <w:sz w:val="24"/>
                <w:szCs w:val="24"/>
                <w:lang w:eastAsia="lt-LT"/>
              </w:rPr>
              <w:t>4</w:t>
            </w:r>
            <w:r w:rsidR="00332228" w:rsidRPr="00332228">
              <w:rPr>
                <w:b/>
                <w:bCs/>
                <w:sz w:val="24"/>
                <w:szCs w:val="24"/>
                <w:lang w:eastAsia="lt-LT"/>
              </w:rPr>
              <w:t xml:space="preserve"> lentelė. Lėšų, skirtų 2017 metais švietimo įstaigoms, analizė, tūkst. eurų</w:t>
            </w:r>
          </w:p>
        </w:tc>
      </w:tr>
      <w:tr w:rsidR="00332228" w:rsidRPr="00332228" w:rsidTr="008269E4">
        <w:trPr>
          <w:trHeight w:val="7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16"/>
                <w:szCs w:val="16"/>
                <w:lang w:eastAsia="lt-LT"/>
              </w:rPr>
            </w:pPr>
            <w:r w:rsidRPr="00332228">
              <w:rPr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lang w:eastAsia="lt-LT"/>
              </w:rPr>
            </w:pPr>
            <w:r w:rsidRPr="00332228">
              <w:rPr>
                <w:lang w:eastAsia="lt-LT"/>
              </w:rPr>
              <w:t>Švietimo įstaiga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228" w:rsidRPr="00332228" w:rsidRDefault="00332228" w:rsidP="00D5110C">
            <w:pPr>
              <w:jc w:val="center"/>
              <w:rPr>
                <w:lang w:eastAsia="lt-LT"/>
              </w:rPr>
            </w:pPr>
            <w:proofErr w:type="spellStart"/>
            <w:r w:rsidRPr="00332228">
              <w:rPr>
                <w:lang w:eastAsia="lt-LT"/>
              </w:rPr>
              <w:t>Savarankiškosios</w:t>
            </w:r>
            <w:proofErr w:type="spellEnd"/>
            <w:r w:rsidRPr="00332228">
              <w:rPr>
                <w:lang w:eastAsia="lt-LT"/>
              </w:rPr>
              <w:t xml:space="preserve"> ir valstybės </w:t>
            </w:r>
            <w:r w:rsidR="00D5110C">
              <w:rPr>
                <w:lang w:eastAsia="lt-LT"/>
              </w:rPr>
              <w:t>priskirtos</w:t>
            </w:r>
            <w:r w:rsidRPr="00332228">
              <w:rPr>
                <w:lang w:eastAsia="lt-LT"/>
              </w:rPr>
              <w:t xml:space="preserve"> savivaldybių  funkcijos, kitos dotacijos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lang w:eastAsia="lt-LT"/>
              </w:rPr>
            </w:pPr>
            <w:r w:rsidRPr="00332228">
              <w:rPr>
                <w:lang w:eastAsia="lt-LT"/>
              </w:rPr>
              <w:t xml:space="preserve">Mokinio krepšelis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lang w:eastAsia="lt-LT"/>
              </w:rPr>
            </w:pPr>
            <w:r w:rsidRPr="00332228">
              <w:rPr>
                <w:lang w:eastAsia="lt-LT"/>
              </w:rPr>
              <w:t>IŠ VISO</w:t>
            </w:r>
          </w:p>
        </w:tc>
      </w:tr>
      <w:tr w:rsidR="00332228" w:rsidRPr="00332228" w:rsidTr="00830C05">
        <w:trPr>
          <w:trHeight w:val="12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28" w:rsidRPr="00332228" w:rsidRDefault="00332228" w:rsidP="00332228">
            <w:pPr>
              <w:rPr>
                <w:lang w:eastAsia="lt-LT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28" w:rsidRPr="00332228" w:rsidRDefault="00332228" w:rsidP="00332228">
            <w:pPr>
              <w:rPr>
                <w:lang w:eastAsia="lt-L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D5110C" w:rsidP="00D5110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 v</w:t>
            </w:r>
            <w:r w:rsidR="00332228" w:rsidRPr="00332228">
              <w:rPr>
                <w:lang w:eastAsia="lt-LT"/>
              </w:rPr>
              <w:t>iso išlaidų 2017 m.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28" w:rsidRPr="00332228" w:rsidRDefault="00332228" w:rsidP="00332228">
            <w:pPr>
              <w:jc w:val="center"/>
              <w:rPr>
                <w:lang w:eastAsia="lt-LT"/>
              </w:rPr>
            </w:pPr>
            <w:r w:rsidRPr="00332228">
              <w:rPr>
                <w:lang w:eastAsia="lt-LT"/>
              </w:rPr>
              <w:t>Mokinių sk. 2017-09-01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lang w:eastAsia="lt-LT"/>
              </w:rPr>
            </w:pPr>
            <w:r w:rsidRPr="00332228">
              <w:rPr>
                <w:b/>
                <w:bCs/>
                <w:lang w:eastAsia="lt-LT"/>
              </w:rPr>
              <w:t>Tenka biudžeto lėšų 1 mok.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D5110C" w:rsidP="00D5110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 v</w:t>
            </w:r>
            <w:r w:rsidR="00332228" w:rsidRPr="00332228">
              <w:rPr>
                <w:lang w:eastAsia="lt-LT"/>
              </w:rPr>
              <w:t>iso išlaidų 2017 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28" w:rsidRPr="00332228" w:rsidRDefault="00332228" w:rsidP="00332228">
            <w:pPr>
              <w:jc w:val="center"/>
              <w:rPr>
                <w:lang w:eastAsia="lt-LT"/>
              </w:rPr>
            </w:pPr>
            <w:r w:rsidRPr="00332228">
              <w:rPr>
                <w:lang w:eastAsia="lt-LT"/>
              </w:rPr>
              <w:t>Mokinių sk. 2017-09-01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lang w:eastAsia="lt-LT"/>
              </w:rPr>
            </w:pPr>
            <w:r w:rsidRPr="00332228">
              <w:rPr>
                <w:b/>
                <w:bCs/>
                <w:lang w:eastAsia="lt-LT"/>
              </w:rPr>
              <w:t xml:space="preserve">Tenka mok. krepšelio lėšų 1 mok.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D5110C" w:rsidP="0033222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IŠ </w:t>
            </w:r>
            <w:r w:rsidR="00332228" w:rsidRPr="00332228">
              <w:rPr>
                <w:lang w:eastAsia="lt-LT"/>
              </w:rPr>
              <w:t>VISO IŠLAIDŲ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lang w:eastAsia="lt-LT"/>
              </w:rPr>
            </w:pPr>
            <w:r w:rsidRPr="00332228">
              <w:rPr>
                <w:lang w:eastAsia="lt-LT"/>
              </w:rPr>
              <w:t>Tenka visų išlaidų 1 mok.</w:t>
            </w:r>
          </w:p>
        </w:tc>
      </w:tr>
      <w:tr w:rsidR="00332228" w:rsidRPr="00332228" w:rsidTr="00942DB6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"Saulės" gimnazija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249,0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2,1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Platelių gimnazija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145,6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2,8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Senamiesčio mokykla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292,8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1081,7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1,6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Alsėdžių S.</w:t>
            </w:r>
            <w:r w:rsidR="00D5110C">
              <w:rPr>
                <w:sz w:val="22"/>
                <w:szCs w:val="22"/>
                <w:lang w:eastAsia="lt-LT"/>
              </w:rPr>
              <w:t xml:space="preserve"> </w:t>
            </w:r>
            <w:r w:rsidRPr="00332228">
              <w:rPr>
                <w:sz w:val="22"/>
                <w:szCs w:val="22"/>
                <w:lang w:eastAsia="lt-LT"/>
              </w:rPr>
              <w:t>Narutavičiaus g.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660,7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2,4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Kulių gimnazija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199,5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2,6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Ž.</w:t>
            </w:r>
            <w:r w:rsidR="00D5110C">
              <w:rPr>
                <w:sz w:val="22"/>
                <w:szCs w:val="22"/>
                <w:lang w:eastAsia="lt-LT"/>
              </w:rPr>
              <w:t xml:space="preserve"> </w:t>
            </w:r>
            <w:r w:rsidRPr="00332228">
              <w:rPr>
                <w:sz w:val="22"/>
                <w:szCs w:val="22"/>
                <w:lang w:eastAsia="lt-LT"/>
              </w:rPr>
              <w:t>Kalvarijos M.</w:t>
            </w:r>
            <w:r w:rsidR="00D5110C">
              <w:rPr>
                <w:sz w:val="22"/>
                <w:szCs w:val="22"/>
                <w:lang w:eastAsia="lt-LT"/>
              </w:rPr>
              <w:t xml:space="preserve"> </w:t>
            </w:r>
            <w:r w:rsidRPr="00332228">
              <w:rPr>
                <w:sz w:val="22"/>
                <w:szCs w:val="22"/>
                <w:lang w:eastAsia="lt-LT"/>
              </w:rPr>
              <w:t>Valančiaus g.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138,4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358,7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2,4</w:t>
            </w:r>
          </w:p>
        </w:tc>
      </w:tr>
      <w:tr w:rsidR="00332228" w:rsidRPr="00332228" w:rsidTr="00830C05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Suaugusiųjų švietimo</w:t>
            </w:r>
            <w:r w:rsidRPr="00332228">
              <w:rPr>
                <w:sz w:val="22"/>
                <w:szCs w:val="22"/>
                <w:lang w:eastAsia="lt-LT"/>
              </w:rPr>
              <w:t xml:space="preserve"> centras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116,1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2,4</w:t>
            </w:r>
          </w:p>
        </w:tc>
      </w:tr>
      <w:tr w:rsidR="00830C05" w:rsidRPr="00332228" w:rsidTr="00830C05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C05" w:rsidRPr="00332228" w:rsidRDefault="00830C05" w:rsidP="0033222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C05" w:rsidRPr="00332228" w:rsidRDefault="00830C05" w:rsidP="00830C0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5" w:rsidRPr="00332228" w:rsidRDefault="00830C05" w:rsidP="00830C0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5" w:rsidRPr="00332228" w:rsidRDefault="00830C05" w:rsidP="00830C0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C05" w:rsidRPr="00332228" w:rsidRDefault="00830C05" w:rsidP="00830C0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5" w:rsidRPr="00332228" w:rsidRDefault="00830C05" w:rsidP="00830C0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5" w:rsidRPr="00332228" w:rsidRDefault="00830C05" w:rsidP="00830C0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30C05" w:rsidRPr="00332228" w:rsidRDefault="00830C05" w:rsidP="00830C0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5" w:rsidRPr="00332228" w:rsidRDefault="00830C05" w:rsidP="00830C0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5" w:rsidRPr="00332228" w:rsidRDefault="00830C05" w:rsidP="00830C05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"Ryto"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332228">
              <w:rPr>
                <w:sz w:val="22"/>
                <w:szCs w:val="22"/>
                <w:lang w:eastAsia="lt-LT"/>
              </w:rPr>
              <w:t>pagrindinė mokykla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278,9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978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1174,5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1453,4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1,5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Akademiko A.Jucio pagrindinė</w:t>
            </w:r>
            <w:r w:rsidRPr="00332228">
              <w:rPr>
                <w:sz w:val="22"/>
                <w:szCs w:val="22"/>
                <w:lang w:eastAsia="lt-LT"/>
              </w:rPr>
              <w:t xml:space="preserve"> m</w:t>
            </w:r>
            <w:r>
              <w:rPr>
                <w:sz w:val="22"/>
                <w:szCs w:val="22"/>
                <w:lang w:eastAsia="lt-LT"/>
              </w:rPr>
              <w:t>okykla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148,6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2,8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"Babrungo" pag</w:t>
            </w:r>
            <w:r>
              <w:rPr>
                <w:sz w:val="22"/>
                <w:szCs w:val="22"/>
                <w:lang w:eastAsia="lt-LT"/>
              </w:rPr>
              <w:t>r</w:t>
            </w:r>
            <w:r w:rsidRPr="00332228">
              <w:rPr>
                <w:sz w:val="22"/>
                <w:szCs w:val="22"/>
                <w:lang w:eastAsia="lt-LT"/>
              </w:rPr>
              <w:t>indinė m</w:t>
            </w:r>
            <w:r>
              <w:rPr>
                <w:sz w:val="22"/>
                <w:szCs w:val="22"/>
                <w:lang w:eastAsia="lt-LT"/>
              </w:rPr>
              <w:t>okykla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2,2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332228">
              <w:rPr>
                <w:sz w:val="22"/>
                <w:szCs w:val="22"/>
                <w:lang w:eastAsia="lt-LT"/>
              </w:rPr>
              <w:t>Šateikių</w:t>
            </w:r>
            <w:proofErr w:type="spellEnd"/>
            <w:r w:rsidRPr="00332228">
              <w:rPr>
                <w:sz w:val="22"/>
                <w:szCs w:val="22"/>
                <w:lang w:eastAsia="lt-LT"/>
              </w:rPr>
              <w:t xml:space="preserve"> pagrindinė mokykla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2,9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Vysk. M.</w:t>
            </w:r>
            <w:r w:rsidR="00D5110C">
              <w:rPr>
                <w:sz w:val="22"/>
                <w:szCs w:val="22"/>
                <w:lang w:eastAsia="lt-LT"/>
              </w:rPr>
              <w:t xml:space="preserve"> </w:t>
            </w:r>
            <w:r w:rsidRPr="00332228">
              <w:rPr>
                <w:sz w:val="22"/>
                <w:szCs w:val="22"/>
                <w:lang w:eastAsia="lt-LT"/>
              </w:rPr>
              <w:t>Valančiaus pradinė m.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74,6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1,6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332228">
              <w:rPr>
                <w:sz w:val="22"/>
                <w:szCs w:val="22"/>
                <w:lang w:eastAsia="lt-LT"/>
              </w:rPr>
              <w:t>Prūsalių</w:t>
            </w:r>
            <w:proofErr w:type="spellEnd"/>
            <w:r w:rsidRPr="00332228">
              <w:rPr>
                <w:sz w:val="22"/>
                <w:szCs w:val="22"/>
                <w:lang w:eastAsia="lt-LT"/>
              </w:rPr>
              <w:t xml:space="preserve"> mokykla-darželis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90,8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3,4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2E785E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332228">
              <w:rPr>
                <w:sz w:val="22"/>
                <w:szCs w:val="22"/>
                <w:lang w:eastAsia="lt-LT"/>
              </w:rPr>
              <w:t>Didvyčių</w:t>
            </w:r>
            <w:proofErr w:type="spellEnd"/>
            <w:r w:rsidRPr="0033222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2E785E">
              <w:rPr>
                <w:sz w:val="22"/>
                <w:szCs w:val="22"/>
                <w:lang w:eastAsia="lt-LT"/>
              </w:rPr>
              <w:t>daugiafunkcis</w:t>
            </w:r>
            <w:proofErr w:type="spellEnd"/>
            <w:r w:rsidR="002E785E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2E785E">
              <w:rPr>
                <w:sz w:val="22"/>
                <w:szCs w:val="22"/>
                <w:lang w:eastAsia="lt-LT"/>
              </w:rPr>
              <w:t>centr</w:t>
            </w:r>
            <w:proofErr w:type="spellEnd"/>
            <w:r w:rsidR="002E785E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62,1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6,5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Lopšelis – darželis </w:t>
            </w:r>
            <w:r w:rsidRPr="00332228">
              <w:rPr>
                <w:sz w:val="22"/>
                <w:szCs w:val="22"/>
                <w:lang w:eastAsia="lt-LT"/>
              </w:rPr>
              <w:t>"Pasaka"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379,7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2,8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Lopšelis – darželis "Vyturėlis"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301,0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2,3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Lopšelis – darželis "Rūtelė"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2,4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Lopšelis – darželis "Saulutė"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310,9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2,4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Lopšelis – darželis "Raudonkepuraitė"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302,6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2,5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Lopšelis – darželis "Nykštukas"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2,6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Platelių universalus</w:t>
            </w:r>
            <w:r w:rsidRPr="00332228">
              <w:rPr>
                <w:sz w:val="22"/>
                <w:szCs w:val="22"/>
                <w:lang w:eastAsia="lt-LT"/>
              </w:rPr>
              <w:t xml:space="preserve"> daugiafunkcis c.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123,0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4,2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 xml:space="preserve">Alsėdžių </w:t>
            </w:r>
            <w:r>
              <w:rPr>
                <w:sz w:val="22"/>
                <w:szCs w:val="22"/>
                <w:lang w:eastAsia="lt-LT"/>
              </w:rPr>
              <w:t>l</w:t>
            </w:r>
            <w:r w:rsidRPr="00332228">
              <w:rPr>
                <w:sz w:val="22"/>
                <w:szCs w:val="22"/>
                <w:lang w:eastAsia="lt-LT"/>
              </w:rPr>
              <w:t>opšelis – darželis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3,0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332228">
              <w:rPr>
                <w:sz w:val="22"/>
                <w:szCs w:val="22"/>
                <w:lang w:eastAsia="lt-LT"/>
              </w:rPr>
              <w:t>Žem</w:t>
            </w:r>
            <w:proofErr w:type="spellEnd"/>
            <w:r w:rsidRPr="00332228">
              <w:rPr>
                <w:sz w:val="22"/>
                <w:szCs w:val="22"/>
                <w:lang w:eastAsia="lt-LT"/>
              </w:rPr>
              <w:t xml:space="preserve">. Kalvarijos </w:t>
            </w:r>
            <w:r>
              <w:rPr>
                <w:sz w:val="22"/>
                <w:szCs w:val="22"/>
                <w:lang w:eastAsia="lt-LT"/>
              </w:rPr>
              <w:t>l</w:t>
            </w:r>
            <w:r w:rsidRPr="00332228">
              <w:rPr>
                <w:sz w:val="22"/>
                <w:szCs w:val="22"/>
                <w:lang w:eastAsia="lt-LT"/>
              </w:rPr>
              <w:t>opšelis – darželis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110,6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4,0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Sporto ir rekreacijos </w:t>
            </w:r>
            <w:r w:rsidRPr="00332228">
              <w:rPr>
                <w:sz w:val="22"/>
                <w:szCs w:val="22"/>
                <w:lang w:eastAsia="lt-LT"/>
              </w:rPr>
              <w:t>centras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395,0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0,9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M.</w:t>
            </w:r>
            <w:r w:rsidR="00D5110C">
              <w:rPr>
                <w:sz w:val="22"/>
                <w:szCs w:val="22"/>
                <w:lang w:eastAsia="lt-LT"/>
              </w:rPr>
              <w:t xml:space="preserve"> </w:t>
            </w:r>
            <w:r w:rsidRPr="00332228">
              <w:rPr>
                <w:sz w:val="22"/>
                <w:szCs w:val="22"/>
                <w:lang w:eastAsia="lt-LT"/>
              </w:rPr>
              <w:t>Oginskio meno mok.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839,4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1,6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Platelių meno mokykla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243,0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1,1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Specialiojo ugdymo centras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467,4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327,6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9,7</w:t>
            </w:r>
          </w:p>
        </w:tc>
      </w:tr>
      <w:tr w:rsidR="00332228" w:rsidRPr="00332228" w:rsidTr="008269E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228" w:rsidRPr="00332228" w:rsidRDefault="00332228" w:rsidP="00D5110C">
            <w:pPr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Pedagog</w:t>
            </w:r>
            <w:r>
              <w:rPr>
                <w:sz w:val="22"/>
                <w:szCs w:val="22"/>
                <w:lang w:eastAsia="lt-LT"/>
              </w:rPr>
              <w:t>inė psichologinė</w:t>
            </w:r>
            <w:r w:rsidRPr="00332228">
              <w:rPr>
                <w:sz w:val="22"/>
                <w:szCs w:val="22"/>
                <w:lang w:eastAsia="lt-LT"/>
              </w:rPr>
              <w:t xml:space="preserve"> tarnyba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12,8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sz w:val="22"/>
                <w:szCs w:val="22"/>
                <w:lang w:eastAsia="lt-LT"/>
              </w:rPr>
            </w:pPr>
            <w:r w:rsidRPr="00332228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332228" w:rsidRPr="00332228" w:rsidTr="008269E4">
        <w:trPr>
          <w:trHeight w:val="300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28" w:rsidRPr="00332228" w:rsidRDefault="00D5110C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</w:t>
            </w:r>
            <w:r w:rsidR="00332228" w:rsidRPr="00332228">
              <w:rPr>
                <w:b/>
                <w:bCs/>
                <w:sz w:val="22"/>
                <w:szCs w:val="22"/>
                <w:lang w:eastAsia="lt-LT"/>
              </w:rPr>
              <w:t>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6409,1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6720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7547,3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14104,7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28" w:rsidRPr="00332228" w:rsidRDefault="00332228" w:rsidP="00332228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32228">
              <w:rPr>
                <w:b/>
                <w:bCs/>
                <w:sz w:val="22"/>
                <w:szCs w:val="22"/>
                <w:lang w:eastAsia="lt-LT"/>
              </w:rPr>
              <w:t>2,10</w:t>
            </w:r>
          </w:p>
        </w:tc>
      </w:tr>
    </w:tbl>
    <w:p w:rsidR="00A2563B" w:rsidRDefault="00A2563B" w:rsidP="00A25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2563B" w:rsidRDefault="00A2563B" w:rsidP="00A25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8 paveiksle grafiškai</w:t>
      </w:r>
      <w:r w:rsidRPr="001252CD">
        <w:rPr>
          <w:sz w:val="24"/>
          <w:szCs w:val="24"/>
        </w:rPr>
        <w:t xml:space="preserve"> </w:t>
      </w:r>
      <w:r>
        <w:rPr>
          <w:sz w:val="24"/>
          <w:szCs w:val="24"/>
        </w:rPr>
        <w:t>pavaizduota</w:t>
      </w:r>
      <w:r w:rsidR="00332228">
        <w:rPr>
          <w:sz w:val="24"/>
          <w:szCs w:val="24"/>
        </w:rPr>
        <w:t>, kaip 2017</w:t>
      </w:r>
      <w:r>
        <w:rPr>
          <w:sz w:val="24"/>
          <w:szCs w:val="24"/>
        </w:rPr>
        <w:t xml:space="preserve"> metais švietimo įstaigoms  </w:t>
      </w:r>
      <w:r w:rsidR="00925A73">
        <w:rPr>
          <w:sz w:val="24"/>
          <w:szCs w:val="24"/>
        </w:rPr>
        <w:t xml:space="preserve">iš visų finansavimo šaltinių </w:t>
      </w:r>
      <w:r>
        <w:rPr>
          <w:sz w:val="24"/>
          <w:szCs w:val="24"/>
        </w:rPr>
        <w:t xml:space="preserve">buvo paskirstytas finansavimas, skiriamas vienam mokiniui, vaikui išlaikyti, ugdyti.  </w:t>
      </w:r>
    </w:p>
    <w:p w:rsidR="00A2563B" w:rsidRDefault="0075731F" w:rsidP="00A2563B">
      <w:pPr>
        <w:jc w:val="both"/>
        <w:rPr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038A6221" wp14:editId="6EE348C1">
            <wp:extent cx="6012815" cy="7620569"/>
            <wp:effectExtent l="0" t="0" r="6985" b="0"/>
            <wp:docPr id="15" name="Diagra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563B" w:rsidRDefault="00A2563B" w:rsidP="00A2563B">
      <w:pPr>
        <w:jc w:val="center"/>
        <w:rPr>
          <w:sz w:val="24"/>
          <w:szCs w:val="24"/>
        </w:rPr>
      </w:pPr>
      <w:r>
        <w:rPr>
          <w:sz w:val="24"/>
          <w:szCs w:val="24"/>
        </w:rPr>
        <w:t>8  pav</w:t>
      </w:r>
      <w:r w:rsidRPr="00CE38FB">
        <w:rPr>
          <w:sz w:val="24"/>
          <w:szCs w:val="24"/>
        </w:rPr>
        <w:t>. Lėšos</w:t>
      </w:r>
      <w:r>
        <w:rPr>
          <w:sz w:val="24"/>
          <w:szCs w:val="24"/>
        </w:rPr>
        <w:t>, skirtos vienam mokiniui,</w:t>
      </w:r>
      <w:r w:rsidR="00332228">
        <w:rPr>
          <w:sz w:val="24"/>
          <w:szCs w:val="24"/>
        </w:rPr>
        <w:t xml:space="preserve"> vaikui švietimo įstaigose  2017</w:t>
      </w:r>
      <w:r>
        <w:rPr>
          <w:sz w:val="24"/>
          <w:szCs w:val="24"/>
        </w:rPr>
        <w:t xml:space="preserve"> metais, </w:t>
      </w:r>
      <w:r w:rsidR="00332228">
        <w:rPr>
          <w:sz w:val="24"/>
          <w:szCs w:val="24"/>
        </w:rPr>
        <w:t>tūkst. eurų</w:t>
      </w:r>
    </w:p>
    <w:p w:rsidR="00A2563B" w:rsidRDefault="00A2563B" w:rsidP="00A2563B">
      <w:pPr>
        <w:ind w:firstLine="720"/>
        <w:jc w:val="both"/>
        <w:rPr>
          <w:sz w:val="24"/>
          <w:szCs w:val="24"/>
        </w:rPr>
      </w:pPr>
    </w:p>
    <w:p w:rsidR="00A2563B" w:rsidRDefault="00A2563B" w:rsidP="00A256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paveiksle parodyta, kiek </w:t>
      </w:r>
      <w:r w:rsidR="00332228">
        <w:rPr>
          <w:sz w:val="24"/>
          <w:szCs w:val="24"/>
        </w:rPr>
        <w:t>asignavimų 2017</w:t>
      </w:r>
      <w:r>
        <w:rPr>
          <w:sz w:val="24"/>
          <w:szCs w:val="24"/>
        </w:rPr>
        <w:t xml:space="preserve"> metais buvo skirta vienam mokiniui iš </w:t>
      </w:r>
      <w:proofErr w:type="spellStart"/>
      <w:r>
        <w:rPr>
          <w:sz w:val="24"/>
          <w:szCs w:val="24"/>
        </w:rPr>
        <w:t>savarankiškųjų</w:t>
      </w:r>
      <w:proofErr w:type="spellEnd"/>
      <w:r w:rsidR="00332228">
        <w:rPr>
          <w:sz w:val="24"/>
          <w:szCs w:val="24"/>
        </w:rPr>
        <w:t>,</w:t>
      </w:r>
      <w:r>
        <w:rPr>
          <w:sz w:val="24"/>
          <w:szCs w:val="24"/>
        </w:rPr>
        <w:t xml:space="preserve"> va</w:t>
      </w:r>
      <w:r w:rsidR="006E6242">
        <w:rPr>
          <w:sz w:val="24"/>
          <w:szCs w:val="24"/>
        </w:rPr>
        <w:t>l</w:t>
      </w:r>
      <w:r>
        <w:rPr>
          <w:sz w:val="24"/>
          <w:szCs w:val="24"/>
        </w:rPr>
        <w:t>stybės priskirtų savivaldybei funkcijų</w:t>
      </w:r>
      <w:r w:rsidR="00CC3A05">
        <w:rPr>
          <w:sz w:val="24"/>
          <w:szCs w:val="24"/>
        </w:rPr>
        <w:t xml:space="preserve"> bei kitų</w:t>
      </w:r>
      <w:r>
        <w:rPr>
          <w:sz w:val="24"/>
          <w:szCs w:val="24"/>
        </w:rPr>
        <w:t xml:space="preserve"> </w:t>
      </w:r>
      <w:r w:rsidR="00332228">
        <w:rPr>
          <w:sz w:val="24"/>
          <w:szCs w:val="24"/>
        </w:rPr>
        <w:t xml:space="preserve">dotacijų, </w:t>
      </w:r>
      <w:r>
        <w:rPr>
          <w:sz w:val="24"/>
          <w:szCs w:val="24"/>
        </w:rPr>
        <w:t>be mokinio krepšelio lėšų.</w:t>
      </w:r>
    </w:p>
    <w:p w:rsidR="00925A73" w:rsidRDefault="0075731F" w:rsidP="00925A73">
      <w:pPr>
        <w:jc w:val="both"/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640CBAD7" wp14:editId="5768C327">
            <wp:extent cx="6012815" cy="8243375"/>
            <wp:effectExtent l="0" t="0" r="6985" b="5715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563B" w:rsidRDefault="00A2563B" w:rsidP="00A2563B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9 pav</w:t>
      </w:r>
      <w:r w:rsidRPr="00CE38FB">
        <w:rPr>
          <w:sz w:val="24"/>
          <w:szCs w:val="24"/>
        </w:rPr>
        <w:t>. Lėšos</w:t>
      </w:r>
      <w:r>
        <w:rPr>
          <w:sz w:val="24"/>
          <w:szCs w:val="24"/>
        </w:rPr>
        <w:t>, skirtos vienam mokiniui, vaikui švieti</w:t>
      </w:r>
      <w:r w:rsidR="00332228">
        <w:rPr>
          <w:sz w:val="24"/>
          <w:szCs w:val="24"/>
        </w:rPr>
        <w:t>mo įstaigose  2017</w:t>
      </w:r>
      <w:r>
        <w:rPr>
          <w:sz w:val="24"/>
          <w:szCs w:val="24"/>
        </w:rPr>
        <w:t xml:space="preserve"> metais iš </w:t>
      </w:r>
      <w:proofErr w:type="spellStart"/>
      <w:r>
        <w:rPr>
          <w:sz w:val="24"/>
          <w:szCs w:val="24"/>
        </w:rPr>
        <w:t>savarankiškųjų</w:t>
      </w:r>
      <w:proofErr w:type="spellEnd"/>
      <w:r>
        <w:rPr>
          <w:sz w:val="24"/>
          <w:szCs w:val="24"/>
        </w:rPr>
        <w:t xml:space="preserve"> ir valstybės priskirtų savivaldybei funkcijų bei dotacijų, </w:t>
      </w:r>
      <w:r w:rsidR="00332228">
        <w:rPr>
          <w:sz w:val="24"/>
          <w:szCs w:val="24"/>
        </w:rPr>
        <w:t>tūkst. eurų</w:t>
      </w:r>
    </w:p>
    <w:p w:rsidR="00942DB6" w:rsidRDefault="00942DB6" w:rsidP="00A2563B">
      <w:pPr>
        <w:ind w:firstLine="142"/>
        <w:jc w:val="center"/>
        <w:rPr>
          <w:sz w:val="24"/>
          <w:szCs w:val="24"/>
        </w:rPr>
      </w:pPr>
    </w:p>
    <w:p w:rsidR="00942DB6" w:rsidRDefault="00942DB6" w:rsidP="00A2563B">
      <w:pPr>
        <w:ind w:firstLine="142"/>
        <w:jc w:val="center"/>
        <w:rPr>
          <w:sz w:val="24"/>
          <w:szCs w:val="24"/>
        </w:rPr>
      </w:pPr>
    </w:p>
    <w:tbl>
      <w:tblPr>
        <w:tblW w:w="10005" w:type="dxa"/>
        <w:tblInd w:w="108" w:type="dxa"/>
        <w:tblLook w:val="0000" w:firstRow="0" w:lastRow="0" w:firstColumn="0" w:lastColumn="0" w:noHBand="0" w:noVBand="0"/>
      </w:tblPr>
      <w:tblGrid>
        <w:gridCol w:w="10005"/>
      </w:tblGrid>
      <w:tr w:rsidR="00A2563B" w:rsidRPr="00A73E49" w:rsidTr="0075731F">
        <w:trPr>
          <w:trHeight w:val="27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63B" w:rsidRDefault="00A2563B" w:rsidP="00925A73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2563B" w:rsidRPr="00A73E49" w:rsidRDefault="00A2563B" w:rsidP="00925A73">
            <w:pPr>
              <w:ind w:firstLine="720"/>
              <w:jc w:val="both"/>
              <w:rPr>
                <w:sz w:val="24"/>
                <w:szCs w:val="24"/>
              </w:rPr>
            </w:pPr>
            <w:r w:rsidRPr="007907DD">
              <w:rPr>
                <w:sz w:val="24"/>
                <w:szCs w:val="24"/>
              </w:rPr>
              <w:lastRenderedPageBreak/>
              <w:t xml:space="preserve">Skaičiuojant, kiek </w:t>
            </w:r>
            <w:r w:rsidRPr="00D956D6">
              <w:rPr>
                <w:sz w:val="24"/>
                <w:szCs w:val="24"/>
              </w:rPr>
              <w:t xml:space="preserve">Savivaldybei </w:t>
            </w:r>
            <w:r w:rsidRPr="00FF29FC">
              <w:rPr>
                <w:sz w:val="24"/>
                <w:szCs w:val="24"/>
              </w:rPr>
              <w:t>iš biudžeto kainuoja išlaikyti vieną vaiką, mokinį, įvertinta, kiek buvo švietimo įstaigai</w:t>
            </w:r>
            <w:r w:rsidRPr="00A73E49">
              <w:rPr>
                <w:sz w:val="24"/>
                <w:szCs w:val="24"/>
              </w:rPr>
              <w:t xml:space="preserve"> skirta asignavimų savarankiškosioms savivaldybės funkcijoms ir </w:t>
            </w:r>
            <w:r w:rsidR="00925A73">
              <w:rPr>
                <w:sz w:val="24"/>
                <w:szCs w:val="24"/>
              </w:rPr>
              <w:t xml:space="preserve">dotacijų - mokinio krepšeliui, </w:t>
            </w:r>
            <w:r w:rsidRPr="00A73E49">
              <w:rPr>
                <w:sz w:val="24"/>
                <w:szCs w:val="24"/>
              </w:rPr>
              <w:t xml:space="preserve">valstybės </w:t>
            </w:r>
            <w:r>
              <w:rPr>
                <w:sz w:val="24"/>
                <w:szCs w:val="24"/>
              </w:rPr>
              <w:t xml:space="preserve">priskirtoms </w:t>
            </w:r>
            <w:r w:rsidRPr="00A73E49">
              <w:rPr>
                <w:sz w:val="24"/>
                <w:szCs w:val="24"/>
              </w:rPr>
              <w:t>funkcijoms</w:t>
            </w:r>
            <w:r w:rsidR="00925A73">
              <w:rPr>
                <w:sz w:val="24"/>
                <w:szCs w:val="24"/>
              </w:rPr>
              <w:t xml:space="preserve"> bei kitoms dotacijoms</w:t>
            </w:r>
            <w:r w:rsidRPr="00A73E49">
              <w:rPr>
                <w:sz w:val="24"/>
                <w:szCs w:val="24"/>
              </w:rPr>
              <w:t xml:space="preserve"> tais metais. </w:t>
            </w:r>
          </w:p>
          <w:p w:rsidR="00A2563B" w:rsidRPr="00A73E49" w:rsidRDefault="00A2563B" w:rsidP="00925A73">
            <w:pPr>
              <w:jc w:val="both"/>
              <w:rPr>
                <w:sz w:val="24"/>
                <w:szCs w:val="24"/>
              </w:rPr>
            </w:pPr>
            <w:r w:rsidRPr="00A73E49">
              <w:rPr>
                <w:sz w:val="24"/>
                <w:szCs w:val="24"/>
              </w:rPr>
              <w:t xml:space="preserve">             Skaičiuojant lėšas vienam vaikui, mokiniui</w:t>
            </w:r>
            <w:r>
              <w:rPr>
                <w:sz w:val="24"/>
                <w:szCs w:val="24"/>
              </w:rPr>
              <w:t>,</w:t>
            </w:r>
            <w:r w:rsidRPr="00A73E49">
              <w:rPr>
                <w:sz w:val="24"/>
                <w:szCs w:val="24"/>
              </w:rPr>
              <w:t xml:space="preserve"> yra kai kurių neatitikimų. Atkreiptinas dėmesys į Platelių meno mokyklą, Platelių gimnaziją, Platelių universalų </w:t>
            </w:r>
            <w:proofErr w:type="spellStart"/>
            <w:r w:rsidRPr="00A73E49">
              <w:rPr>
                <w:sz w:val="24"/>
                <w:szCs w:val="24"/>
              </w:rPr>
              <w:t>daugiafun</w:t>
            </w:r>
            <w:r w:rsidR="00BD488F">
              <w:rPr>
                <w:sz w:val="24"/>
                <w:szCs w:val="24"/>
              </w:rPr>
              <w:t>k</w:t>
            </w:r>
            <w:r w:rsidRPr="00A73E49">
              <w:rPr>
                <w:sz w:val="24"/>
                <w:szCs w:val="24"/>
              </w:rPr>
              <w:t>cį</w:t>
            </w:r>
            <w:proofErr w:type="spellEnd"/>
            <w:r w:rsidRPr="00A73E49">
              <w:rPr>
                <w:sz w:val="24"/>
                <w:szCs w:val="24"/>
              </w:rPr>
              <w:t xml:space="preserve"> centrą</w:t>
            </w:r>
            <w:r>
              <w:rPr>
                <w:sz w:val="24"/>
                <w:szCs w:val="24"/>
              </w:rPr>
              <w:t>.</w:t>
            </w:r>
          </w:p>
          <w:p w:rsidR="00A2563B" w:rsidRPr="00A73E49" w:rsidRDefault="00A2563B" w:rsidP="00925A73">
            <w:pPr>
              <w:jc w:val="both"/>
              <w:rPr>
                <w:sz w:val="24"/>
                <w:szCs w:val="24"/>
              </w:rPr>
            </w:pPr>
            <w:r w:rsidRPr="00A73E49">
              <w:rPr>
                <w:sz w:val="24"/>
                <w:szCs w:val="24"/>
              </w:rPr>
              <w:t xml:space="preserve">             Platelių meno mokykloje vienam mokiniui skiriama mažiau biudžeto lėšų, negu M. Oginskio meno mokykloje, nes už Platelių meno mokyklos komunalines paslaugas moka Platelių gimnazija.</w:t>
            </w:r>
          </w:p>
          <w:p w:rsidR="00A2563B" w:rsidRPr="00A73E49" w:rsidRDefault="00A2563B" w:rsidP="00925A73">
            <w:pPr>
              <w:jc w:val="both"/>
              <w:rPr>
                <w:sz w:val="24"/>
                <w:szCs w:val="24"/>
              </w:rPr>
            </w:pPr>
            <w:r w:rsidRPr="00A73E49">
              <w:rPr>
                <w:sz w:val="24"/>
                <w:szCs w:val="24"/>
              </w:rPr>
              <w:t xml:space="preserve">             Platelių universaliame </w:t>
            </w:r>
            <w:proofErr w:type="spellStart"/>
            <w:r w:rsidRPr="00A73E49">
              <w:rPr>
                <w:sz w:val="24"/>
                <w:szCs w:val="24"/>
              </w:rPr>
              <w:t>daugiafunkciame</w:t>
            </w:r>
            <w:proofErr w:type="spellEnd"/>
            <w:r w:rsidRPr="00A73E49">
              <w:rPr>
                <w:sz w:val="24"/>
                <w:szCs w:val="24"/>
              </w:rPr>
              <w:t xml:space="preserve"> centre vieno vaiko išlaikymas skaičiuotas</w:t>
            </w:r>
            <w:r>
              <w:rPr>
                <w:sz w:val="24"/>
                <w:szCs w:val="24"/>
              </w:rPr>
              <w:t>,</w:t>
            </w:r>
            <w:r w:rsidRPr="00A73E49">
              <w:rPr>
                <w:sz w:val="24"/>
                <w:szCs w:val="24"/>
              </w:rPr>
              <w:t xml:space="preserve"> pridedant visas išlaid</w:t>
            </w:r>
            <w:r>
              <w:rPr>
                <w:sz w:val="24"/>
                <w:szCs w:val="24"/>
              </w:rPr>
              <w:t>a</w:t>
            </w:r>
            <w:r w:rsidRPr="00A73E49">
              <w:rPr>
                <w:sz w:val="24"/>
                <w:szCs w:val="24"/>
              </w:rPr>
              <w:t>s, kurios p</w:t>
            </w:r>
            <w:r w:rsidR="00D5110C">
              <w:rPr>
                <w:sz w:val="24"/>
                <w:szCs w:val="24"/>
              </w:rPr>
              <w:t>atiriamos</w:t>
            </w:r>
            <w:r w:rsidRPr="00A73E49">
              <w:rPr>
                <w:sz w:val="24"/>
                <w:szCs w:val="24"/>
              </w:rPr>
              <w:t xml:space="preserve"> vykdant  daugiau veiklų</w:t>
            </w:r>
            <w:r>
              <w:rPr>
                <w:sz w:val="24"/>
                <w:szCs w:val="24"/>
              </w:rPr>
              <w:t>:</w:t>
            </w:r>
            <w:r w:rsidRPr="00A73E49">
              <w:rPr>
                <w:sz w:val="24"/>
                <w:szCs w:val="24"/>
              </w:rPr>
              <w:t xml:space="preserve"> lankosi lankytojai</w:t>
            </w:r>
            <w:r>
              <w:rPr>
                <w:sz w:val="24"/>
                <w:szCs w:val="24"/>
              </w:rPr>
              <w:t xml:space="preserve"> </w:t>
            </w:r>
            <w:r w:rsidRPr="00A73E49">
              <w:rPr>
                <w:sz w:val="24"/>
                <w:szCs w:val="24"/>
              </w:rPr>
              <w:t xml:space="preserve">- suaugusieji ir mokyklinio amžiaus vaikai, Platelių UDC patalpomis naudojasi Platelių meno mokyklos dailės specialybės moksleiviai. </w:t>
            </w:r>
          </w:p>
          <w:p w:rsidR="00A2563B" w:rsidRDefault="00A2563B" w:rsidP="00925A73">
            <w:pPr>
              <w:jc w:val="both"/>
              <w:rPr>
                <w:sz w:val="24"/>
                <w:szCs w:val="24"/>
              </w:rPr>
            </w:pPr>
            <w:r w:rsidRPr="00A73E49">
              <w:rPr>
                <w:sz w:val="24"/>
                <w:szCs w:val="24"/>
              </w:rPr>
              <w:t xml:space="preserve">           </w:t>
            </w:r>
          </w:p>
          <w:p w:rsidR="00A2563B" w:rsidRDefault="00444670" w:rsidP="00925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  <w:r w:rsidR="00A2563B">
              <w:rPr>
                <w:sz w:val="24"/>
                <w:szCs w:val="24"/>
              </w:rPr>
              <w:t xml:space="preserve"> lentelėje ir 10 paveiksle parodyta, kiek vienam mokiniui, vaikui Plungės rajono savivaldybės švietimo įstaigose  tenka bendro pastatų ploto. Pastebimi labai dideli netolygumai. Skirtumas tarp vienam mokiniui</w:t>
            </w:r>
            <w:r w:rsidR="00474636">
              <w:rPr>
                <w:sz w:val="24"/>
                <w:szCs w:val="24"/>
              </w:rPr>
              <w:t xml:space="preserve">, vaikui </w:t>
            </w:r>
            <w:r w:rsidR="00A2563B">
              <w:rPr>
                <w:sz w:val="24"/>
                <w:szCs w:val="24"/>
              </w:rPr>
              <w:t>tenkančio bendro pastatų ploto siekia net 10 kartų</w:t>
            </w:r>
            <w:r w:rsidR="00BD488F">
              <w:rPr>
                <w:sz w:val="24"/>
                <w:szCs w:val="24"/>
              </w:rPr>
              <w:t xml:space="preserve"> ir daugiau</w:t>
            </w:r>
            <w:r w:rsidR="00A2563B">
              <w:rPr>
                <w:sz w:val="24"/>
                <w:szCs w:val="24"/>
              </w:rPr>
              <w:t xml:space="preserve">, išskyrus Specialiojo ugdymo centrą, kur vienam mokiniui tenka </w:t>
            </w:r>
            <w:r w:rsidR="00BD488F">
              <w:rPr>
                <w:sz w:val="24"/>
                <w:szCs w:val="24"/>
              </w:rPr>
              <w:t>97,4</w:t>
            </w:r>
            <w:r w:rsidR="00A2563B">
              <w:rPr>
                <w:sz w:val="24"/>
                <w:szCs w:val="24"/>
              </w:rPr>
              <w:t xml:space="preserve"> kv. metro pastatų ploto.</w:t>
            </w:r>
          </w:p>
          <w:p w:rsidR="00A2563B" w:rsidRDefault="00A2563B" w:rsidP="00925A73">
            <w:pPr>
              <w:jc w:val="both"/>
              <w:rPr>
                <w:sz w:val="24"/>
                <w:szCs w:val="24"/>
              </w:rPr>
            </w:pPr>
          </w:p>
          <w:p w:rsidR="00A2563B" w:rsidRPr="005D4806" w:rsidRDefault="00444670" w:rsidP="00925A73">
            <w:pPr>
              <w:tabs>
                <w:tab w:val="left" w:pos="720"/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5D4806">
              <w:rPr>
                <w:b/>
                <w:sz w:val="24"/>
                <w:szCs w:val="24"/>
              </w:rPr>
              <w:t>5</w:t>
            </w:r>
            <w:r w:rsidR="00A2563B" w:rsidRPr="005D4806">
              <w:rPr>
                <w:b/>
                <w:sz w:val="24"/>
                <w:szCs w:val="24"/>
              </w:rPr>
              <w:t xml:space="preserve"> lentelė. Vienam vaikui, mokiniui tenkanti bendrojo pastatų ploto dalis švietimo įstaigose</w:t>
            </w:r>
          </w:p>
          <w:tbl>
            <w:tblPr>
              <w:tblW w:w="8534" w:type="dxa"/>
              <w:tblLook w:val="04A0" w:firstRow="1" w:lastRow="0" w:firstColumn="1" w:lastColumn="0" w:noHBand="0" w:noVBand="1"/>
            </w:tblPr>
            <w:tblGrid>
              <w:gridCol w:w="580"/>
              <w:gridCol w:w="3418"/>
              <w:gridCol w:w="1275"/>
              <w:gridCol w:w="1418"/>
              <w:gridCol w:w="1843"/>
            </w:tblGrid>
            <w:tr w:rsidR="00925A73" w:rsidRPr="00925A73" w:rsidTr="005D4806">
              <w:trPr>
                <w:trHeight w:val="8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Eil. Nr.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Švietimo įstaiga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Įstaigos plotas, kv.</w:t>
                  </w:r>
                  <w:r w:rsidR="00D5110C">
                    <w:rPr>
                      <w:sz w:val="22"/>
                      <w:szCs w:val="22"/>
                      <w:lang w:eastAsia="lt-LT"/>
                    </w:rPr>
                    <w:t xml:space="preserve"> </w:t>
                  </w:r>
                  <w:r w:rsidRPr="00925A73">
                    <w:rPr>
                      <w:sz w:val="22"/>
                      <w:szCs w:val="22"/>
                      <w:lang w:eastAsia="lt-LT"/>
                    </w:rPr>
                    <w:t>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Mokinių, vaikų sk. 2017-09-01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Tenka ploto vienam vaikui, mokiniui, kv.</w:t>
                  </w:r>
                  <w:r w:rsidR="00D5110C"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 </w:t>
                  </w: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m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"Saulės" gimnazija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7300,0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619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11,8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Platelių gimnazija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4433,0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156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28,4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Senamiesčio mokykla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6693,4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885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7,6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4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Alsėdžių S.Narutavičiaus g.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5242,0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17,0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5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Kulių gimnazija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3871,0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17,5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6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Ž.Kalvarijos M.Valančiaus g.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2872,9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14,0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7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Suaugusiųjų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šviet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centras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2533,5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83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30,5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8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"Ryto"</w:t>
                  </w:r>
                  <w:r w:rsidR="007130BD">
                    <w:rPr>
                      <w:sz w:val="22"/>
                      <w:szCs w:val="22"/>
                      <w:lang w:eastAsia="lt-LT"/>
                    </w:rPr>
                    <w:t xml:space="preserve"> </w:t>
                  </w:r>
                  <w:r w:rsidRPr="00925A73">
                    <w:rPr>
                      <w:sz w:val="22"/>
                      <w:szCs w:val="22"/>
                      <w:lang w:eastAsia="lt-LT"/>
                    </w:rPr>
                    <w:t>pagrindinė mokykla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8342,2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978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8,5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9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Akademiko A.Jucio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pagr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m.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4758,9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28,7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10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"Babrungo"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pagindinė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 m.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14,4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11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Šateikių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 pagrindinė mokykla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3701,9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27,8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12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Vysk. M.Valančiaus pradinė m.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5,8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13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Prūsalių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 mokykla-darželis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701,6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14,3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14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75731F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Didvyčių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 </w:t>
                  </w:r>
                  <w:proofErr w:type="spellStart"/>
                  <w:r w:rsidR="0075731F">
                    <w:rPr>
                      <w:sz w:val="22"/>
                      <w:szCs w:val="22"/>
                      <w:lang w:eastAsia="lt-LT"/>
                    </w:rPr>
                    <w:t>daugiafunkcis</w:t>
                  </w:r>
                  <w:proofErr w:type="spellEnd"/>
                  <w:r w:rsidR="0075731F">
                    <w:rPr>
                      <w:sz w:val="22"/>
                      <w:szCs w:val="22"/>
                      <w:lang w:eastAsia="lt-LT"/>
                    </w:rPr>
                    <w:t xml:space="preserve"> c.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591,0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36,9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15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Lopšel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</w:t>
                  </w:r>
                  <w:r w:rsidR="007130BD">
                    <w:rPr>
                      <w:sz w:val="22"/>
                      <w:szCs w:val="22"/>
                      <w:lang w:eastAsia="lt-LT"/>
                    </w:rPr>
                    <w:t xml:space="preserve"> -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darž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"Pasaka"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2195,3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10,3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16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Lopšel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</w:t>
                  </w:r>
                  <w:r w:rsidR="007130BD">
                    <w:rPr>
                      <w:sz w:val="22"/>
                      <w:szCs w:val="22"/>
                      <w:lang w:eastAsia="lt-LT"/>
                    </w:rPr>
                    <w:t xml:space="preserve"> -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darž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"Vyturėlis"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3329,3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16,4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17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Lopšel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</w:t>
                  </w:r>
                  <w:r w:rsidR="007130BD">
                    <w:rPr>
                      <w:sz w:val="22"/>
                      <w:szCs w:val="22"/>
                      <w:lang w:eastAsia="lt-LT"/>
                    </w:rPr>
                    <w:t xml:space="preserve"> -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darž."Rūtelė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3266,8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14,7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18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Lopšel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</w:t>
                  </w:r>
                  <w:r w:rsidR="007130BD">
                    <w:rPr>
                      <w:sz w:val="22"/>
                      <w:szCs w:val="22"/>
                      <w:lang w:eastAsia="lt-LT"/>
                    </w:rPr>
                    <w:t xml:space="preserve"> -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darž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"Saulutė"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2505,7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12,2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19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Lopš.d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"Raudonkepuraitė"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1780,2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9,5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20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Lopšel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</w:t>
                  </w:r>
                  <w:r w:rsidR="007130BD">
                    <w:rPr>
                      <w:sz w:val="22"/>
                      <w:szCs w:val="22"/>
                      <w:lang w:eastAsia="lt-LT"/>
                    </w:rPr>
                    <w:t xml:space="preserve"> -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darž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"Nykštukas"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1481,8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10,9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21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Platelių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univ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daugiafunkcis c.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1512,6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37,8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22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Alsėdžių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lopšel.darželis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715,6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16,3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23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Žem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. Kalvarijos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lopšel.darž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741,3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19,5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24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 xml:space="preserve">Sporto ir </w:t>
                  </w:r>
                  <w:proofErr w:type="spellStart"/>
                  <w:r w:rsidRPr="00925A73">
                    <w:rPr>
                      <w:sz w:val="22"/>
                      <w:szCs w:val="22"/>
                      <w:lang w:eastAsia="lt-LT"/>
                    </w:rPr>
                    <w:t>rekreac</w:t>
                  </w:r>
                  <w:proofErr w:type="spellEnd"/>
                  <w:r w:rsidRPr="00925A73">
                    <w:rPr>
                      <w:sz w:val="22"/>
                      <w:szCs w:val="22"/>
                      <w:lang w:eastAsia="lt-LT"/>
                    </w:rPr>
                    <w:t>. centras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1385,8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471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2,9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25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M.Oginskio meno mok.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2844,0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524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5,4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26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Platelių meno mokykla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733,5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3,2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27</w:t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Specialiojo ugdymo centras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7983,7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sz w:val="22"/>
                      <w:szCs w:val="22"/>
                      <w:lang w:eastAsia="lt-LT"/>
                    </w:rPr>
                    <w:t>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97,4</w:t>
                  </w:r>
                </w:p>
              </w:tc>
            </w:tr>
            <w:tr w:rsidR="00925A73" w:rsidRPr="00925A73" w:rsidTr="005D4806">
              <w:trPr>
                <w:trHeight w:val="289"/>
              </w:trPr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Iš viso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85417,0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6765,0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A73" w:rsidRPr="00925A73" w:rsidRDefault="00925A73" w:rsidP="00925A73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925A73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12,6</w:t>
                  </w:r>
                </w:p>
              </w:tc>
            </w:tr>
          </w:tbl>
          <w:p w:rsidR="00925A73" w:rsidRDefault="00925A73" w:rsidP="00925A73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  <w:p w:rsidR="00A2563B" w:rsidRPr="00A73E49" w:rsidRDefault="0075731F" w:rsidP="00CC3A05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68A3FFD3" wp14:editId="769A43BA">
                  <wp:extent cx="4351020" cy="8258175"/>
                  <wp:effectExtent l="0" t="0" r="0" b="0"/>
                  <wp:docPr id="13" name="Diagrama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2563B" w:rsidRPr="00925A73" w:rsidRDefault="00925A73" w:rsidP="00EB6A53">
      <w:pPr>
        <w:tabs>
          <w:tab w:val="left" w:pos="1418"/>
        </w:tabs>
        <w:jc w:val="center"/>
        <w:rPr>
          <w:sz w:val="24"/>
          <w:szCs w:val="24"/>
        </w:rPr>
      </w:pPr>
      <w:r w:rsidRPr="00925A73">
        <w:rPr>
          <w:sz w:val="24"/>
          <w:szCs w:val="24"/>
        </w:rPr>
        <w:lastRenderedPageBreak/>
        <w:t>1</w:t>
      </w:r>
      <w:r w:rsidR="00A2563B" w:rsidRPr="00925A73">
        <w:rPr>
          <w:sz w:val="24"/>
          <w:szCs w:val="24"/>
        </w:rPr>
        <w:t>0 pav. Bendras švietimo įstaigų  pastatų plotas, tenkan</w:t>
      </w:r>
      <w:r w:rsidR="00BD488F">
        <w:rPr>
          <w:sz w:val="24"/>
          <w:szCs w:val="24"/>
        </w:rPr>
        <w:t>tis vienam mokiniui, vaikui 2017</w:t>
      </w:r>
      <w:r w:rsidR="00A2563B" w:rsidRPr="00925A73">
        <w:rPr>
          <w:sz w:val="24"/>
          <w:szCs w:val="24"/>
        </w:rPr>
        <w:t xml:space="preserve"> metais, kv. metrais</w:t>
      </w:r>
    </w:p>
    <w:p w:rsidR="00B41869" w:rsidRDefault="00B41869" w:rsidP="0081123C">
      <w:pPr>
        <w:ind w:firstLine="720"/>
        <w:jc w:val="both"/>
        <w:rPr>
          <w:sz w:val="24"/>
          <w:szCs w:val="24"/>
        </w:rPr>
      </w:pPr>
    </w:p>
    <w:p w:rsidR="00CC3A05" w:rsidRPr="00925A73" w:rsidRDefault="00CC3A05" w:rsidP="0081123C">
      <w:pPr>
        <w:ind w:firstLine="720"/>
        <w:jc w:val="both"/>
        <w:rPr>
          <w:sz w:val="24"/>
          <w:szCs w:val="24"/>
        </w:rPr>
      </w:pPr>
    </w:p>
    <w:p w:rsidR="00071CE1" w:rsidRDefault="00071CE1" w:rsidP="0081123C">
      <w:pPr>
        <w:ind w:firstLine="720"/>
        <w:jc w:val="both"/>
        <w:rPr>
          <w:sz w:val="24"/>
          <w:szCs w:val="24"/>
        </w:rPr>
      </w:pPr>
    </w:p>
    <w:p w:rsidR="00F65487" w:rsidRPr="00F65487" w:rsidRDefault="008269E4" w:rsidP="00F6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65487" w:rsidRPr="00F65487">
        <w:rPr>
          <w:b/>
          <w:sz w:val="28"/>
          <w:szCs w:val="28"/>
        </w:rPr>
        <w:t>. Mokėtinos ir gautinos sumos</w:t>
      </w:r>
    </w:p>
    <w:p w:rsidR="00B41869" w:rsidRDefault="00B41869" w:rsidP="0081123C">
      <w:pPr>
        <w:ind w:firstLine="720"/>
        <w:jc w:val="both"/>
        <w:rPr>
          <w:sz w:val="24"/>
          <w:szCs w:val="24"/>
        </w:rPr>
      </w:pPr>
    </w:p>
    <w:p w:rsidR="00F65487" w:rsidRPr="00F65487" w:rsidRDefault="00F65487" w:rsidP="00F65487">
      <w:pPr>
        <w:tabs>
          <w:tab w:val="center" w:pos="5179"/>
        </w:tabs>
        <w:ind w:firstLine="720"/>
        <w:jc w:val="both"/>
        <w:rPr>
          <w:sz w:val="24"/>
          <w:szCs w:val="24"/>
          <w:lang w:eastAsia="lt-LT"/>
        </w:rPr>
      </w:pPr>
      <w:r w:rsidRPr="00F65487">
        <w:rPr>
          <w:sz w:val="24"/>
          <w:szCs w:val="24"/>
          <w:lang w:eastAsia="lt-LT"/>
        </w:rPr>
        <w:t xml:space="preserve">Plungės rajono savivaldybės </w:t>
      </w:r>
      <w:r>
        <w:rPr>
          <w:sz w:val="24"/>
          <w:szCs w:val="24"/>
          <w:lang w:eastAsia="lt-LT"/>
        </w:rPr>
        <w:t>mokėtina suma</w:t>
      </w:r>
      <w:r w:rsidR="002A1BA9">
        <w:rPr>
          <w:sz w:val="24"/>
          <w:szCs w:val="24"/>
          <w:lang w:eastAsia="lt-LT"/>
        </w:rPr>
        <w:t xml:space="preserve"> 2017</w:t>
      </w:r>
      <w:r w:rsidRPr="00F65487">
        <w:rPr>
          <w:sz w:val="24"/>
          <w:szCs w:val="24"/>
          <w:lang w:eastAsia="lt-LT"/>
        </w:rPr>
        <w:t xml:space="preserve"> m. gruodžio 31 d. buvo </w:t>
      </w:r>
      <w:r w:rsidR="002A1BA9">
        <w:rPr>
          <w:sz w:val="24"/>
          <w:szCs w:val="24"/>
          <w:lang w:eastAsia="lt-LT"/>
        </w:rPr>
        <w:t>6 939,1</w:t>
      </w:r>
      <w:r w:rsidRPr="00F65487">
        <w:rPr>
          <w:sz w:val="24"/>
          <w:szCs w:val="24"/>
          <w:lang w:eastAsia="lt-LT"/>
        </w:rPr>
        <w:t xml:space="preserve"> tūkst. eurų, iš jų  5</w:t>
      </w:r>
      <w:r w:rsidR="002A1BA9">
        <w:rPr>
          <w:sz w:val="24"/>
          <w:szCs w:val="24"/>
          <w:lang w:eastAsia="lt-LT"/>
        </w:rPr>
        <w:t> 680,7</w:t>
      </w:r>
      <w:r w:rsidR="00CC3A05">
        <w:rPr>
          <w:sz w:val="24"/>
          <w:szCs w:val="24"/>
          <w:lang w:eastAsia="lt-LT"/>
        </w:rPr>
        <w:t xml:space="preserve"> tūkst. eurų - </w:t>
      </w:r>
      <w:r w:rsidRPr="00F65487">
        <w:rPr>
          <w:sz w:val="24"/>
          <w:szCs w:val="24"/>
          <w:lang w:eastAsia="lt-LT"/>
        </w:rPr>
        <w:t>paskolos.</w:t>
      </w:r>
      <w:r w:rsidR="002A1BA9">
        <w:rPr>
          <w:sz w:val="24"/>
          <w:szCs w:val="24"/>
          <w:lang w:eastAsia="lt-LT"/>
        </w:rPr>
        <w:t xml:space="preserve"> Palyginti su 2016</w:t>
      </w:r>
      <w:r w:rsidRPr="00F65487">
        <w:rPr>
          <w:sz w:val="24"/>
          <w:szCs w:val="24"/>
          <w:lang w:eastAsia="lt-LT"/>
        </w:rPr>
        <w:t xml:space="preserve"> m. gruodžio 31 d., </w:t>
      </w:r>
      <w:r>
        <w:rPr>
          <w:sz w:val="24"/>
          <w:szCs w:val="24"/>
          <w:lang w:eastAsia="lt-LT"/>
        </w:rPr>
        <w:t>mokėtina suma</w:t>
      </w:r>
      <w:r w:rsidRPr="00F65487">
        <w:rPr>
          <w:sz w:val="24"/>
          <w:szCs w:val="24"/>
          <w:lang w:eastAsia="lt-LT"/>
        </w:rPr>
        <w:t xml:space="preserve"> </w:t>
      </w:r>
      <w:r w:rsidR="002A1BA9">
        <w:rPr>
          <w:sz w:val="24"/>
          <w:szCs w:val="24"/>
          <w:lang w:eastAsia="lt-LT"/>
        </w:rPr>
        <w:t>sumažėjo 179,4</w:t>
      </w:r>
      <w:r w:rsidRPr="00F65487">
        <w:rPr>
          <w:sz w:val="24"/>
          <w:szCs w:val="24"/>
          <w:lang w:eastAsia="lt-LT"/>
        </w:rPr>
        <w:t xml:space="preserve"> tūkst. eurų. </w:t>
      </w:r>
      <w:r w:rsidR="002A1BA9">
        <w:rPr>
          <w:sz w:val="24"/>
          <w:szCs w:val="24"/>
          <w:lang w:eastAsia="lt-LT"/>
        </w:rPr>
        <w:t>Mokėtin</w:t>
      </w:r>
      <w:r w:rsidR="00D5110C">
        <w:rPr>
          <w:sz w:val="24"/>
          <w:szCs w:val="24"/>
          <w:lang w:eastAsia="lt-LT"/>
        </w:rPr>
        <w:t>ų</w:t>
      </w:r>
      <w:r w:rsidR="002A1BA9">
        <w:rPr>
          <w:sz w:val="24"/>
          <w:szCs w:val="24"/>
          <w:lang w:eastAsia="lt-LT"/>
        </w:rPr>
        <w:t xml:space="preserve"> sum</w:t>
      </w:r>
      <w:r w:rsidR="00D5110C">
        <w:rPr>
          <w:sz w:val="24"/>
          <w:szCs w:val="24"/>
          <w:lang w:eastAsia="lt-LT"/>
        </w:rPr>
        <w:t>ų</w:t>
      </w:r>
      <w:r w:rsidR="002A1BA9" w:rsidRPr="002A1BA9">
        <w:rPr>
          <w:sz w:val="24"/>
          <w:szCs w:val="24"/>
          <w:lang w:eastAsia="lt-LT"/>
        </w:rPr>
        <w:t>, kuri</w:t>
      </w:r>
      <w:r w:rsidR="00D5110C">
        <w:rPr>
          <w:sz w:val="24"/>
          <w:szCs w:val="24"/>
          <w:lang w:eastAsia="lt-LT"/>
        </w:rPr>
        <w:t>ų</w:t>
      </w:r>
      <w:r w:rsidR="002A1BA9" w:rsidRPr="002A1BA9">
        <w:rPr>
          <w:sz w:val="24"/>
          <w:szCs w:val="24"/>
          <w:lang w:eastAsia="lt-LT"/>
        </w:rPr>
        <w:t xml:space="preserve"> įvykdymo terminas praleistas daugiau kaip 45 dienos</w:t>
      </w:r>
      <w:r w:rsidR="00795037">
        <w:rPr>
          <w:sz w:val="24"/>
          <w:szCs w:val="24"/>
          <w:lang w:eastAsia="lt-LT"/>
        </w:rPr>
        <w:t xml:space="preserve"> – nėra, o </w:t>
      </w:r>
      <w:r w:rsidR="00795037" w:rsidRPr="00795037">
        <w:rPr>
          <w:sz w:val="24"/>
          <w:szCs w:val="24"/>
          <w:lang w:eastAsia="lt-LT"/>
        </w:rPr>
        <w:t>2016 m. gruodžio 31 d. liko 523,8 tūkst. eurų mokėtina suma, kurios įvykdymo terminas praleistas daugiau kaip 45 dienos.</w:t>
      </w:r>
    </w:p>
    <w:p w:rsidR="002A1BA9" w:rsidRDefault="00795037" w:rsidP="00F65487">
      <w:pPr>
        <w:tabs>
          <w:tab w:val="center" w:pos="5179"/>
        </w:tabs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2017</w:t>
      </w:r>
      <w:r w:rsidR="00F65487" w:rsidRPr="00F65487">
        <w:rPr>
          <w:sz w:val="24"/>
          <w:szCs w:val="24"/>
          <w:lang w:eastAsia="lt-LT"/>
        </w:rPr>
        <w:t xml:space="preserve"> m. gruodžio 31 d.  Plun</w:t>
      </w:r>
      <w:r w:rsidR="008960BD">
        <w:rPr>
          <w:sz w:val="24"/>
          <w:szCs w:val="24"/>
          <w:lang w:eastAsia="lt-LT"/>
        </w:rPr>
        <w:t>gės rajono savivaldybės gautina suma</w:t>
      </w:r>
      <w:r w:rsidR="00F65487" w:rsidRPr="00F65487">
        <w:rPr>
          <w:sz w:val="24"/>
          <w:szCs w:val="24"/>
          <w:lang w:eastAsia="lt-LT"/>
        </w:rPr>
        <w:t xml:space="preserve"> – </w:t>
      </w:r>
      <w:r>
        <w:rPr>
          <w:sz w:val="24"/>
          <w:szCs w:val="24"/>
          <w:lang w:eastAsia="lt-LT"/>
        </w:rPr>
        <w:t>35,0</w:t>
      </w:r>
      <w:r w:rsidR="00F65487" w:rsidRPr="00F65487">
        <w:rPr>
          <w:sz w:val="24"/>
          <w:szCs w:val="24"/>
          <w:lang w:eastAsia="lt-LT"/>
        </w:rPr>
        <w:t xml:space="preserve"> tūkst. eurų. Palyginti su</w:t>
      </w:r>
      <w:r>
        <w:rPr>
          <w:sz w:val="24"/>
          <w:szCs w:val="24"/>
          <w:lang w:eastAsia="lt-LT"/>
        </w:rPr>
        <w:t xml:space="preserve"> 2016</w:t>
      </w:r>
      <w:r w:rsidR="008960BD">
        <w:rPr>
          <w:sz w:val="24"/>
          <w:szCs w:val="24"/>
          <w:lang w:eastAsia="lt-LT"/>
        </w:rPr>
        <w:t xml:space="preserve"> m. gruodžio 31 d., gautina suma</w:t>
      </w:r>
      <w:r w:rsidR="00F65487" w:rsidRPr="00F65487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sumažėjo 52,9</w:t>
      </w:r>
      <w:r w:rsidR="00F65487" w:rsidRPr="00F65487">
        <w:rPr>
          <w:sz w:val="24"/>
          <w:szCs w:val="24"/>
          <w:lang w:eastAsia="lt-LT"/>
        </w:rPr>
        <w:t xml:space="preserve"> tūkst. eurų.</w:t>
      </w:r>
      <w:r w:rsidR="00F65487" w:rsidRPr="00F65487">
        <w:rPr>
          <w:sz w:val="24"/>
          <w:szCs w:val="24"/>
          <w:lang w:eastAsia="lt-LT"/>
        </w:rPr>
        <w:tab/>
        <w:t xml:space="preserve"> </w:t>
      </w:r>
    </w:p>
    <w:p w:rsidR="00071CE1" w:rsidRDefault="00071CE1" w:rsidP="00F65487">
      <w:pPr>
        <w:tabs>
          <w:tab w:val="center" w:pos="5179"/>
        </w:tabs>
        <w:ind w:firstLine="720"/>
        <w:jc w:val="both"/>
        <w:rPr>
          <w:sz w:val="24"/>
          <w:szCs w:val="24"/>
          <w:lang w:eastAsia="lt-LT"/>
        </w:rPr>
      </w:pPr>
    </w:p>
    <w:p w:rsidR="006C541A" w:rsidRPr="00891F7B" w:rsidRDefault="008269E4" w:rsidP="00891F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C541A" w:rsidRPr="00891F7B">
        <w:rPr>
          <w:b/>
          <w:sz w:val="28"/>
          <w:szCs w:val="28"/>
        </w:rPr>
        <w:t>. Paskolos ir palūkanos</w:t>
      </w:r>
    </w:p>
    <w:p w:rsidR="006C541A" w:rsidRPr="006C541A" w:rsidRDefault="006C541A" w:rsidP="006C541A">
      <w:pPr>
        <w:ind w:firstLine="720"/>
        <w:jc w:val="both"/>
        <w:rPr>
          <w:sz w:val="24"/>
          <w:szCs w:val="24"/>
        </w:rPr>
      </w:pPr>
    </w:p>
    <w:p w:rsidR="00B92CCC" w:rsidRDefault="00795037" w:rsidP="00B92C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 2017</w:t>
      </w:r>
      <w:r w:rsidR="006C541A" w:rsidRPr="006C541A">
        <w:rPr>
          <w:sz w:val="24"/>
          <w:szCs w:val="24"/>
        </w:rPr>
        <w:t xml:space="preserve"> metus paimta </w:t>
      </w:r>
      <w:r>
        <w:rPr>
          <w:sz w:val="24"/>
          <w:szCs w:val="24"/>
        </w:rPr>
        <w:t>777,5</w:t>
      </w:r>
      <w:r w:rsidR="00891F7B">
        <w:rPr>
          <w:sz w:val="24"/>
          <w:szCs w:val="24"/>
        </w:rPr>
        <w:t xml:space="preserve"> tūkst. eurų</w:t>
      </w:r>
      <w:r w:rsidR="006C541A" w:rsidRPr="006C54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ilgalaikių </w:t>
      </w:r>
      <w:r w:rsidR="006C541A" w:rsidRPr="006C541A">
        <w:rPr>
          <w:sz w:val="24"/>
          <w:szCs w:val="24"/>
        </w:rPr>
        <w:t>paskolų</w:t>
      </w:r>
      <w:r>
        <w:rPr>
          <w:sz w:val="24"/>
          <w:szCs w:val="24"/>
        </w:rPr>
        <w:t>.</w:t>
      </w:r>
      <w:r w:rsidR="006C541A" w:rsidRPr="006C541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C541A" w:rsidRPr="006C541A">
        <w:rPr>
          <w:sz w:val="24"/>
          <w:szCs w:val="24"/>
        </w:rPr>
        <w:t>askolos buvo paimtos  projektams, finansuojamiems iš ES ir kitos tarptautinės finansinės paramos lėšų,</w:t>
      </w:r>
      <w:r w:rsidR="00891F7B">
        <w:rPr>
          <w:sz w:val="24"/>
          <w:szCs w:val="24"/>
        </w:rPr>
        <w:t xml:space="preserve"> Valstybės investicijų projektams </w:t>
      </w:r>
      <w:r w:rsidR="006C541A" w:rsidRPr="00C04992">
        <w:rPr>
          <w:sz w:val="24"/>
          <w:szCs w:val="24"/>
        </w:rPr>
        <w:t>įgyvendinti</w:t>
      </w:r>
      <w:r w:rsidR="00C04992" w:rsidRPr="00C04992">
        <w:rPr>
          <w:sz w:val="24"/>
          <w:szCs w:val="24"/>
        </w:rPr>
        <w:t xml:space="preserve"> </w:t>
      </w:r>
      <w:r w:rsidR="00B92CCC">
        <w:rPr>
          <w:sz w:val="24"/>
          <w:szCs w:val="24"/>
        </w:rPr>
        <w:t>bei</w:t>
      </w:r>
      <w:r>
        <w:rPr>
          <w:sz w:val="24"/>
          <w:szCs w:val="24"/>
        </w:rPr>
        <w:t xml:space="preserve"> prisidėti prie kitų investicijų projektų</w:t>
      </w:r>
      <w:r w:rsidR="00B92CCC">
        <w:rPr>
          <w:sz w:val="24"/>
          <w:szCs w:val="24"/>
        </w:rPr>
        <w:t xml:space="preserve">. </w:t>
      </w:r>
      <w:r w:rsidRPr="00795037">
        <w:rPr>
          <w:sz w:val="24"/>
          <w:szCs w:val="24"/>
        </w:rPr>
        <w:t>Projektai, kuriems buvo naudojamos sko</w:t>
      </w:r>
      <w:r w:rsidR="00444670">
        <w:rPr>
          <w:sz w:val="24"/>
          <w:szCs w:val="24"/>
        </w:rPr>
        <w:t>lintos lėšos nurodyti 6</w:t>
      </w:r>
      <w:r>
        <w:rPr>
          <w:sz w:val="24"/>
          <w:szCs w:val="24"/>
        </w:rPr>
        <w:t xml:space="preserve"> lentelėje</w:t>
      </w:r>
    </w:p>
    <w:p w:rsidR="00071CE1" w:rsidRPr="00B92CCC" w:rsidRDefault="00071CE1" w:rsidP="00B92CCC">
      <w:pPr>
        <w:ind w:firstLine="720"/>
        <w:jc w:val="both"/>
        <w:rPr>
          <w:sz w:val="24"/>
          <w:szCs w:val="24"/>
          <w:lang w:eastAsia="lt-LT"/>
        </w:rPr>
      </w:pPr>
    </w:p>
    <w:p w:rsidR="00795037" w:rsidRPr="00444670" w:rsidRDefault="00444670" w:rsidP="00795037">
      <w:pPr>
        <w:jc w:val="center"/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>6</w:t>
      </w:r>
      <w:r w:rsidR="00795037" w:rsidRPr="00444670">
        <w:rPr>
          <w:b/>
          <w:sz w:val="24"/>
          <w:szCs w:val="24"/>
        </w:rPr>
        <w:t xml:space="preserve"> lentelė. Projektai, kuriems </w:t>
      </w:r>
      <w:r w:rsidR="00BD488F">
        <w:rPr>
          <w:b/>
          <w:sz w:val="24"/>
          <w:szCs w:val="24"/>
        </w:rPr>
        <w:t xml:space="preserve">2017 metais </w:t>
      </w:r>
      <w:r w:rsidR="00795037" w:rsidRPr="00444670">
        <w:rPr>
          <w:b/>
          <w:sz w:val="24"/>
          <w:szCs w:val="24"/>
        </w:rPr>
        <w:t>buvo naudojamos skolintos lėšos</w:t>
      </w:r>
      <w:r w:rsidR="00BD488F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4"/>
        <w:gridCol w:w="1391"/>
      </w:tblGrid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</w:tcPr>
          <w:p w:rsidR="00795037" w:rsidRPr="00EB6A53" w:rsidRDefault="00795037" w:rsidP="00795037">
            <w:pPr>
              <w:jc w:val="center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Projektai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071CE1">
            <w:pPr>
              <w:jc w:val="center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Suma</w:t>
            </w:r>
          </w:p>
          <w:p w:rsidR="00795037" w:rsidRPr="00EB6A53" w:rsidRDefault="00795037" w:rsidP="00071CE1">
            <w:pPr>
              <w:jc w:val="center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tūkst. eurų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Kulių miestelio inžinerinių statinių ir viešųjų erdvių sutvarkymas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3,2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Buvusio mokyklos pastato dalies ir viešųjų erdvių Narvaišių kaime kompleksiškas atnaujinimas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26,3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Visuomeninės paskirties pastato, esančio Telšių 3 Alsėdžiuose, atnaujinimas ir pritaikymas kaimo bendruomenės poreikiams, socialinei ir kultūrinei veiklai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21,2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Plungės rajono savivaldybės kultūros centro pastato Plungėje, Senamiesčio a. 3, rekonstrukcija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55,3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Dalies visuomeninės paskirties pastato ir viešųjų erdvių, esančių Platelių miestelio centrinėje dalyje, sutvarkymas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7,4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Daugiabučių namų atnaujinimo (modernizavimo) programa, II etapas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57,2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Aktyvaus poilsio ir pramogų zonos sukūrimas Plungės m. M. Oginskio dvaro teritorijoje, prie autobusų stoties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118,5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AE588E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Plungės rajono </w:t>
            </w:r>
            <w:proofErr w:type="spellStart"/>
            <w:r w:rsidRPr="00EB6A53">
              <w:rPr>
                <w:sz w:val="22"/>
                <w:szCs w:val="22"/>
              </w:rPr>
              <w:t>Žem</w:t>
            </w:r>
            <w:proofErr w:type="spellEnd"/>
            <w:r w:rsidRPr="00EB6A53">
              <w:rPr>
                <w:sz w:val="22"/>
                <w:szCs w:val="22"/>
              </w:rPr>
              <w:t>. Kalvarijos kadastrinės vietovės dalies melioracijos sistemų rekonstrukcija (melioracijos sistemų naudotojų asociacija „</w:t>
            </w:r>
            <w:proofErr w:type="spellStart"/>
            <w:r w:rsidR="00AE588E" w:rsidRPr="00EB6A53">
              <w:rPr>
                <w:sz w:val="22"/>
                <w:szCs w:val="22"/>
              </w:rPr>
              <w:t>Alksnos</w:t>
            </w:r>
            <w:proofErr w:type="spellEnd"/>
            <w:r w:rsidRPr="00EB6A53">
              <w:rPr>
                <w:sz w:val="22"/>
                <w:szCs w:val="22"/>
              </w:rPr>
              <w:t>“)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22,0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Plungės rajono </w:t>
            </w:r>
            <w:proofErr w:type="spellStart"/>
            <w:r w:rsidRPr="00EB6A53">
              <w:rPr>
                <w:sz w:val="22"/>
                <w:szCs w:val="22"/>
              </w:rPr>
              <w:t>Žem</w:t>
            </w:r>
            <w:proofErr w:type="spellEnd"/>
            <w:r w:rsidRPr="00EB6A53">
              <w:rPr>
                <w:sz w:val="22"/>
                <w:szCs w:val="22"/>
              </w:rPr>
              <w:t>. Kalvarijos kadastrinės vietovės dalies melioracijos sistemų rekonstrukcija (melioracijos sistemų naudotojų asociacija „</w:t>
            </w:r>
            <w:proofErr w:type="spellStart"/>
            <w:r w:rsidRPr="00EB6A53">
              <w:rPr>
                <w:sz w:val="22"/>
                <w:szCs w:val="22"/>
              </w:rPr>
              <w:t>Ajerynė</w:t>
            </w:r>
            <w:proofErr w:type="spellEnd"/>
            <w:r w:rsidRPr="00EB6A53">
              <w:rPr>
                <w:sz w:val="22"/>
                <w:szCs w:val="22"/>
              </w:rPr>
              <w:t>“)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23,4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Plungės Senamiesčio mokyklos kapitalinis remontas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40,0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Darnaus turizmo paslaugų plėtra, priimant bendrus sprendimus 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44,6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Paviršinių nuotekų sistemų tvarkymas Plungės mieste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19,5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 Plungės dvaro sodybos žirgyno pastato Parko g. 5, Plungės m., Plungės raj. sav., pritaikymo kultūros reikmėms, kapitalinio remonto ir tvarkybos darbų techninis projektas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39,9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Viešosios bibliotekos pastato rekonstravimas, M. Oginskio dvaro ansamblio laikrodinės oranžerijos restauravimas ir pritaikymas bibliotekos reikmėms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16,8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Socialinio būsto plėtra Plungės rajone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7,3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Plungės r. Kulių gimnazijos remontas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42,4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Privažiavimo kelio prie Plungės r. Alsėdžių gimnazijos ir kiemo kapitalinio remonto projektui parengti, projekto ekspertizei, remonto darbams ir statybos darbų techninei priežiūrai vykdyti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104,6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Plungės „Saulės“ gimnazijos laiptų ir stogelio remontas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19,6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 xml:space="preserve">Makščių gatvės Alsėdžių miestelyje rekonstrukcijos darbai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38,3</w:t>
            </w:r>
          </w:p>
        </w:tc>
      </w:tr>
      <w:tr w:rsidR="00795037" w:rsidRPr="00EB6A53" w:rsidTr="00071CE1">
        <w:trPr>
          <w:trHeight w:val="255"/>
        </w:trPr>
        <w:tc>
          <w:tcPr>
            <w:tcW w:w="8294" w:type="dxa"/>
            <w:shd w:val="clear" w:color="auto" w:fill="auto"/>
            <w:hideMark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proofErr w:type="spellStart"/>
            <w:r w:rsidRPr="00EB6A53">
              <w:rPr>
                <w:sz w:val="22"/>
                <w:szCs w:val="22"/>
              </w:rPr>
              <w:t>VšĮ</w:t>
            </w:r>
            <w:proofErr w:type="spellEnd"/>
            <w:r w:rsidRPr="00EB6A53">
              <w:rPr>
                <w:sz w:val="22"/>
                <w:szCs w:val="22"/>
              </w:rPr>
              <w:t xml:space="preserve"> Plungės r. sav. ligoninės pastatų Tumo Vaižganto g. 89 ir Tumo Vaižganto g. 91, Plungėje, rekonstravimas (II etapas) 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sz w:val="22"/>
                <w:szCs w:val="22"/>
              </w:rPr>
            </w:pPr>
            <w:r w:rsidRPr="00EB6A53">
              <w:rPr>
                <w:sz w:val="22"/>
                <w:szCs w:val="22"/>
              </w:rPr>
              <w:t>70,0</w:t>
            </w:r>
          </w:p>
        </w:tc>
      </w:tr>
      <w:tr w:rsidR="00795037" w:rsidRPr="00EB6A53" w:rsidTr="00071CE1">
        <w:tc>
          <w:tcPr>
            <w:tcW w:w="8294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b/>
                <w:sz w:val="22"/>
                <w:szCs w:val="22"/>
              </w:rPr>
            </w:pPr>
            <w:r w:rsidRPr="00EB6A53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391" w:type="dxa"/>
            <w:shd w:val="clear" w:color="auto" w:fill="auto"/>
          </w:tcPr>
          <w:p w:rsidR="00795037" w:rsidRPr="00EB6A53" w:rsidRDefault="00795037" w:rsidP="00795037">
            <w:pPr>
              <w:jc w:val="both"/>
              <w:rPr>
                <w:b/>
                <w:sz w:val="22"/>
                <w:szCs w:val="22"/>
              </w:rPr>
            </w:pPr>
            <w:r w:rsidRPr="00EB6A53">
              <w:rPr>
                <w:b/>
                <w:sz w:val="22"/>
                <w:szCs w:val="22"/>
              </w:rPr>
              <w:t>777,5</w:t>
            </w:r>
          </w:p>
        </w:tc>
      </w:tr>
    </w:tbl>
    <w:p w:rsidR="00AE588E" w:rsidRPr="00AE588E" w:rsidRDefault="00AE588E" w:rsidP="00AE588E">
      <w:pPr>
        <w:ind w:firstLine="720"/>
        <w:jc w:val="both"/>
        <w:rPr>
          <w:sz w:val="24"/>
          <w:szCs w:val="24"/>
        </w:rPr>
      </w:pPr>
      <w:r w:rsidRPr="00AE588E">
        <w:rPr>
          <w:sz w:val="24"/>
          <w:szCs w:val="24"/>
        </w:rPr>
        <w:lastRenderedPageBreak/>
        <w:t xml:space="preserve">2017 metais skolintos lėšos buvo imamos iš 2 paskolų pagal pasirašytas su AB </w:t>
      </w:r>
      <w:proofErr w:type="spellStart"/>
      <w:r w:rsidRPr="00AE588E">
        <w:rPr>
          <w:sz w:val="24"/>
          <w:szCs w:val="24"/>
        </w:rPr>
        <w:t>Danske</w:t>
      </w:r>
      <w:proofErr w:type="spellEnd"/>
      <w:r w:rsidRPr="00AE588E">
        <w:rPr>
          <w:sz w:val="24"/>
          <w:szCs w:val="24"/>
        </w:rPr>
        <w:t xml:space="preserve"> </w:t>
      </w:r>
      <w:proofErr w:type="spellStart"/>
      <w:r w:rsidRPr="00AE588E">
        <w:rPr>
          <w:sz w:val="24"/>
          <w:szCs w:val="24"/>
        </w:rPr>
        <w:t>Bank</w:t>
      </w:r>
      <w:proofErr w:type="spellEnd"/>
      <w:r w:rsidRPr="00AE588E">
        <w:rPr>
          <w:sz w:val="24"/>
          <w:szCs w:val="24"/>
        </w:rPr>
        <w:t xml:space="preserve"> A/S Lietuvos filialu sutartis. Šių paskolų panaudojimo sąrašai buvo tvirtinti ir keisti  Savivaldybės administracijos  direktori</w:t>
      </w:r>
      <w:r w:rsidR="00490A89">
        <w:rPr>
          <w:sz w:val="24"/>
          <w:szCs w:val="24"/>
        </w:rPr>
        <w:t>a</w:t>
      </w:r>
      <w:r w:rsidRPr="00AE588E">
        <w:rPr>
          <w:sz w:val="24"/>
          <w:szCs w:val="24"/>
        </w:rPr>
        <w:t>us įsakymais.</w:t>
      </w:r>
    </w:p>
    <w:p w:rsidR="00AE588E" w:rsidRPr="00AE588E" w:rsidRDefault="00AE588E" w:rsidP="00AE588E">
      <w:pPr>
        <w:ind w:firstLine="720"/>
        <w:jc w:val="both"/>
        <w:rPr>
          <w:sz w:val="24"/>
          <w:szCs w:val="24"/>
        </w:rPr>
      </w:pPr>
      <w:r w:rsidRPr="00AE588E">
        <w:rPr>
          <w:sz w:val="24"/>
          <w:szCs w:val="24"/>
        </w:rPr>
        <w:t xml:space="preserve">Negrąžintų ilgalaikių paskolų likutis 2017 m. gruodžio 31 d. buvo 5 680,7 tūkst. eurų (metų pradžioje ilgalaikių paskolų liktis buvo 5 721,0 tūkst. eurų). </w:t>
      </w:r>
    </w:p>
    <w:p w:rsidR="00AE588E" w:rsidRPr="00AE588E" w:rsidRDefault="00AE588E" w:rsidP="00AE588E">
      <w:pPr>
        <w:ind w:firstLine="720"/>
        <w:jc w:val="both"/>
        <w:rPr>
          <w:sz w:val="24"/>
          <w:szCs w:val="24"/>
        </w:rPr>
      </w:pPr>
      <w:r w:rsidRPr="00AE588E">
        <w:rPr>
          <w:sz w:val="24"/>
          <w:szCs w:val="24"/>
        </w:rPr>
        <w:t xml:space="preserve">Per 2017 metus grąžinta komerciniams bankams ir Finansų ministerijai  817,8 tūkst. eurų  ilgalaikių paskolų. </w:t>
      </w:r>
    </w:p>
    <w:p w:rsidR="00444670" w:rsidRDefault="00AE588E" w:rsidP="00AE588E">
      <w:pPr>
        <w:ind w:firstLine="720"/>
        <w:jc w:val="both"/>
        <w:rPr>
          <w:sz w:val="24"/>
          <w:szCs w:val="24"/>
        </w:rPr>
      </w:pPr>
      <w:r w:rsidRPr="00AE588E">
        <w:rPr>
          <w:sz w:val="24"/>
          <w:szCs w:val="24"/>
        </w:rPr>
        <w:t>Savivaldybės įmonių paskolų, kurioms suteiktos garantijos, likutis 2017 m. gruodžio 31</w:t>
      </w:r>
      <w:r w:rsidR="00CC3F7A">
        <w:rPr>
          <w:sz w:val="24"/>
          <w:szCs w:val="24"/>
        </w:rPr>
        <w:t xml:space="preserve">  d.  sudarė  455,1 tūkst. eurų (</w:t>
      </w:r>
      <w:r w:rsidR="00BD488F">
        <w:rPr>
          <w:sz w:val="24"/>
          <w:szCs w:val="24"/>
        </w:rPr>
        <w:t xml:space="preserve">likutis </w:t>
      </w:r>
      <w:r w:rsidR="0094184A">
        <w:rPr>
          <w:sz w:val="24"/>
          <w:szCs w:val="24"/>
        </w:rPr>
        <w:t>g</w:t>
      </w:r>
      <w:r w:rsidR="00CC3F7A">
        <w:rPr>
          <w:sz w:val="24"/>
          <w:szCs w:val="24"/>
        </w:rPr>
        <w:t>arantij</w:t>
      </w:r>
      <w:r w:rsidR="00444670">
        <w:rPr>
          <w:sz w:val="24"/>
          <w:szCs w:val="24"/>
        </w:rPr>
        <w:t>os</w:t>
      </w:r>
      <w:r w:rsidR="00CC3F7A">
        <w:rPr>
          <w:sz w:val="24"/>
          <w:szCs w:val="24"/>
        </w:rPr>
        <w:t xml:space="preserve"> </w:t>
      </w:r>
      <w:r w:rsidR="00CC3F7A" w:rsidRPr="00CC3F7A">
        <w:rPr>
          <w:sz w:val="24"/>
          <w:szCs w:val="24"/>
        </w:rPr>
        <w:t xml:space="preserve">dėl </w:t>
      </w:r>
      <w:r w:rsidR="0094184A">
        <w:rPr>
          <w:sz w:val="24"/>
          <w:szCs w:val="24"/>
        </w:rPr>
        <w:t xml:space="preserve">1,8 </w:t>
      </w:r>
      <w:r w:rsidR="00CC3F7A" w:rsidRPr="00CC3F7A">
        <w:rPr>
          <w:sz w:val="24"/>
          <w:szCs w:val="24"/>
        </w:rPr>
        <w:t>mln.</w:t>
      </w:r>
      <w:r w:rsidR="0094184A">
        <w:rPr>
          <w:sz w:val="24"/>
          <w:szCs w:val="24"/>
        </w:rPr>
        <w:t xml:space="preserve"> </w:t>
      </w:r>
      <w:r w:rsidR="00CC3F7A" w:rsidRPr="00CC3F7A">
        <w:rPr>
          <w:sz w:val="24"/>
          <w:szCs w:val="24"/>
        </w:rPr>
        <w:t xml:space="preserve">UAB </w:t>
      </w:r>
      <w:r w:rsidR="00E40E34">
        <w:rPr>
          <w:sz w:val="24"/>
          <w:szCs w:val="24"/>
        </w:rPr>
        <w:t>„</w:t>
      </w:r>
      <w:r w:rsidR="00CC3F7A" w:rsidRPr="00CC3F7A">
        <w:rPr>
          <w:sz w:val="24"/>
          <w:szCs w:val="24"/>
        </w:rPr>
        <w:t>Plungės šilumos tinklai</w:t>
      </w:r>
      <w:r w:rsidR="00E40E34">
        <w:rPr>
          <w:sz w:val="24"/>
          <w:szCs w:val="24"/>
        </w:rPr>
        <w:t>“</w:t>
      </w:r>
      <w:r w:rsidR="00CC3F7A" w:rsidRPr="00CC3F7A">
        <w:rPr>
          <w:sz w:val="24"/>
          <w:szCs w:val="24"/>
        </w:rPr>
        <w:t xml:space="preserve">  paskolos</w:t>
      </w:r>
      <w:r w:rsidR="0094184A">
        <w:rPr>
          <w:sz w:val="24"/>
          <w:szCs w:val="24"/>
        </w:rPr>
        <w:t xml:space="preserve">, paimtos investicijų projektui „Naujo biokuro katilo įrengimas Lentpjūvės g. katilinėje, </w:t>
      </w:r>
      <w:r w:rsidR="00444670">
        <w:rPr>
          <w:sz w:val="24"/>
          <w:szCs w:val="24"/>
        </w:rPr>
        <w:t>panaikinant Telšių g. dujinę katilinę“</w:t>
      </w:r>
      <w:r w:rsidR="0094184A">
        <w:rPr>
          <w:sz w:val="24"/>
          <w:szCs w:val="24"/>
        </w:rPr>
        <w:t xml:space="preserve"> </w:t>
      </w:r>
      <w:r w:rsidR="00CC3F7A" w:rsidRPr="00CC3F7A">
        <w:rPr>
          <w:sz w:val="24"/>
          <w:szCs w:val="24"/>
        </w:rPr>
        <w:t xml:space="preserve"> 868</w:t>
      </w:r>
      <w:r w:rsidR="0094184A">
        <w:rPr>
          <w:sz w:val="24"/>
          <w:szCs w:val="24"/>
        </w:rPr>
        <w:t xml:space="preserve">,9 tūkst. </w:t>
      </w:r>
      <w:r w:rsidR="00CC3F7A" w:rsidRPr="00CC3F7A">
        <w:rPr>
          <w:sz w:val="24"/>
          <w:szCs w:val="24"/>
        </w:rPr>
        <w:t xml:space="preserve">eurų </w:t>
      </w:r>
      <w:r w:rsidR="00CC3F7A">
        <w:rPr>
          <w:sz w:val="24"/>
          <w:szCs w:val="24"/>
        </w:rPr>
        <w:t>dalies</w:t>
      </w:r>
      <w:r w:rsidR="0094184A">
        <w:rPr>
          <w:sz w:val="24"/>
          <w:szCs w:val="24"/>
        </w:rPr>
        <w:t xml:space="preserve">). </w:t>
      </w:r>
    </w:p>
    <w:p w:rsidR="00444670" w:rsidRDefault="0094184A" w:rsidP="00AE58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m. </w:t>
      </w:r>
      <w:r w:rsidR="00E40E34">
        <w:rPr>
          <w:sz w:val="24"/>
          <w:szCs w:val="24"/>
        </w:rPr>
        <w:t>Savivaldybės t</w:t>
      </w:r>
      <w:r>
        <w:rPr>
          <w:sz w:val="24"/>
          <w:szCs w:val="24"/>
        </w:rPr>
        <w:t xml:space="preserve">aryba suteikė garantiją </w:t>
      </w:r>
      <w:r w:rsidR="00444670" w:rsidRPr="00444670">
        <w:rPr>
          <w:sz w:val="24"/>
          <w:szCs w:val="24"/>
        </w:rPr>
        <w:t>dėl 164</w:t>
      </w:r>
      <w:r w:rsidR="00444670">
        <w:rPr>
          <w:sz w:val="24"/>
          <w:szCs w:val="24"/>
        </w:rPr>
        <w:t>,</w:t>
      </w:r>
      <w:r w:rsidR="00444670" w:rsidRPr="00444670">
        <w:rPr>
          <w:sz w:val="24"/>
          <w:szCs w:val="24"/>
        </w:rPr>
        <w:t>7</w:t>
      </w:r>
      <w:r w:rsidR="00444670">
        <w:rPr>
          <w:sz w:val="24"/>
          <w:szCs w:val="24"/>
        </w:rPr>
        <w:t xml:space="preserve"> tūkst. </w:t>
      </w:r>
      <w:r w:rsidR="00444670" w:rsidRPr="00444670">
        <w:rPr>
          <w:sz w:val="24"/>
          <w:szCs w:val="24"/>
        </w:rPr>
        <w:t>eurų uždarosios akcinės bendrovės „Telšių regiono atliekų tvarkymo centras“ septyneriems metams imamos 632</w:t>
      </w:r>
      <w:r w:rsidR="00444670">
        <w:rPr>
          <w:sz w:val="24"/>
          <w:szCs w:val="24"/>
        </w:rPr>
        <w:t xml:space="preserve">,2 tūkst. </w:t>
      </w:r>
      <w:r w:rsidR="00444670" w:rsidRPr="00444670">
        <w:rPr>
          <w:sz w:val="24"/>
          <w:szCs w:val="24"/>
        </w:rPr>
        <w:t>eurų paskolos projekto „Komunalinių atliekų tvarkymo infrastruktūros plėtra Telšių regione“ finansavimui</w:t>
      </w:r>
      <w:r w:rsidR="00444670">
        <w:rPr>
          <w:sz w:val="24"/>
          <w:szCs w:val="24"/>
        </w:rPr>
        <w:t>, bet bendrovė paskolos iki 2017 m. gruodžio 31 d. nepaėmė.</w:t>
      </w:r>
      <w:r w:rsidR="00444670" w:rsidRPr="00444670">
        <w:rPr>
          <w:sz w:val="24"/>
          <w:szCs w:val="24"/>
        </w:rPr>
        <w:t xml:space="preserve"> </w:t>
      </w:r>
    </w:p>
    <w:p w:rsidR="006C541A" w:rsidRDefault="00AE588E" w:rsidP="00AE58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skola neviršijo</w:t>
      </w:r>
      <w:r w:rsidRPr="00AE588E">
        <w:rPr>
          <w:sz w:val="24"/>
          <w:szCs w:val="24"/>
        </w:rPr>
        <w:t xml:space="preserve"> finansinių rodiklių įstatymu nustatyto skolinimosi limito.</w:t>
      </w:r>
      <w:r w:rsidR="006C541A" w:rsidRPr="006C541A">
        <w:rPr>
          <w:sz w:val="24"/>
          <w:szCs w:val="24"/>
        </w:rPr>
        <w:t xml:space="preserve"> </w:t>
      </w:r>
    </w:p>
    <w:p w:rsidR="00EB6A53" w:rsidRDefault="00AE588E" w:rsidP="00B92C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Pr="00AE588E">
        <w:rPr>
          <w:sz w:val="24"/>
          <w:szCs w:val="24"/>
        </w:rPr>
        <w:t xml:space="preserve"> m. gruodžio 31 d. Savivaldybė turėjo įsipareigojimų komerciniams bankams ir Finansų ministerija</w:t>
      </w:r>
      <w:r>
        <w:rPr>
          <w:sz w:val="24"/>
          <w:szCs w:val="24"/>
        </w:rPr>
        <w:t>i dėl paskolų grąžinimo iki 2027</w:t>
      </w:r>
      <w:r w:rsidRPr="00AE588E">
        <w:rPr>
          <w:sz w:val="24"/>
          <w:szCs w:val="24"/>
        </w:rPr>
        <w:t xml:space="preserve"> metų</w:t>
      </w:r>
      <w:r>
        <w:rPr>
          <w:sz w:val="24"/>
          <w:szCs w:val="24"/>
        </w:rPr>
        <w:t xml:space="preserve">. </w:t>
      </w:r>
      <w:r w:rsidR="00444670">
        <w:rPr>
          <w:sz w:val="24"/>
          <w:szCs w:val="24"/>
        </w:rPr>
        <w:t>7</w:t>
      </w:r>
      <w:r w:rsidRPr="00AE588E">
        <w:rPr>
          <w:sz w:val="24"/>
          <w:szCs w:val="24"/>
        </w:rPr>
        <w:t xml:space="preserve"> lentelėje parodyta, kaip išdėstytas paimtų ilgalaikių paskolų atidavimas iki </w:t>
      </w:r>
      <w:r>
        <w:rPr>
          <w:sz w:val="24"/>
          <w:szCs w:val="24"/>
        </w:rPr>
        <w:t>2027 metų ir kokios 2017</w:t>
      </w:r>
      <w:r w:rsidRPr="00AE588E">
        <w:rPr>
          <w:sz w:val="24"/>
          <w:szCs w:val="24"/>
        </w:rPr>
        <w:t xml:space="preserve"> m. pabaigoje buvo dabar turimų </w:t>
      </w:r>
      <w:r w:rsidR="00951198">
        <w:rPr>
          <w:sz w:val="24"/>
          <w:szCs w:val="24"/>
        </w:rPr>
        <w:t xml:space="preserve">7 </w:t>
      </w:r>
      <w:r w:rsidRPr="00AE588E">
        <w:rPr>
          <w:sz w:val="24"/>
          <w:szCs w:val="24"/>
        </w:rPr>
        <w:t>ilgalaikių paskolų palūkanos.</w:t>
      </w:r>
    </w:p>
    <w:p w:rsidR="00BD488F" w:rsidRDefault="00BD488F" w:rsidP="00B92CCC">
      <w:pPr>
        <w:ind w:firstLine="720"/>
        <w:jc w:val="both"/>
        <w:rPr>
          <w:sz w:val="24"/>
          <w:szCs w:val="24"/>
        </w:rPr>
      </w:pPr>
    </w:p>
    <w:p w:rsidR="00BD488F" w:rsidRPr="00490A89" w:rsidRDefault="00490A89" w:rsidP="00490A89">
      <w:pPr>
        <w:jc w:val="center"/>
        <w:rPr>
          <w:b/>
          <w:sz w:val="24"/>
          <w:szCs w:val="24"/>
        </w:rPr>
      </w:pPr>
      <w:r w:rsidRPr="00490A89">
        <w:rPr>
          <w:b/>
          <w:sz w:val="24"/>
          <w:szCs w:val="24"/>
        </w:rPr>
        <w:t>7 lentelė. Paimtų ilgalaikių paskolų atidavimas iki 2027 metų</w:t>
      </w:r>
    </w:p>
    <w:p w:rsidR="00490A89" w:rsidRPr="00BD488F" w:rsidRDefault="00490A89" w:rsidP="00BD488F">
      <w:pPr>
        <w:jc w:val="both"/>
      </w:pPr>
    </w:p>
    <w:p w:rsidR="003E1DC9" w:rsidRDefault="00B66010" w:rsidP="005D4806">
      <w:pPr>
        <w:jc w:val="both"/>
        <w:rPr>
          <w:sz w:val="24"/>
          <w:szCs w:val="24"/>
        </w:rPr>
      </w:pPr>
      <w:r w:rsidRPr="00B66010">
        <w:rPr>
          <w:noProof/>
          <w:lang w:eastAsia="lt-LT"/>
        </w:rPr>
        <w:drawing>
          <wp:inline distT="0" distB="0" distL="0" distR="0" wp14:anchorId="3AE4B6A1" wp14:editId="733F1DDF">
            <wp:extent cx="6012815" cy="4208378"/>
            <wp:effectExtent l="0" t="0" r="6985" b="190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2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88E" w:rsidRPr="00AE588E">
        <w:rPr>
          <w:sz w:val="24"/>
          <w:szCs w:val="24"/>
        </w:rPr>
        <w:tab/>
      </w:r>
      <w:r w:rsidR="009E4BF2">
        <w:rPr>
          <w:sz w:val="24"/>
          <w:szCs w:val="24"/>
        </w:rPr>
        <w:tab/>
      </w:r>
    </w:p>
    <w:p w:rsidR="00127CFB" w:rsidRDefault="00AE588E" w:rsidP="00610165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AE588E">
        <w:rPr>
          <w:sz w:val="24"/>
          <w:szCs w:val="24"/>
        </w:rPr>
        <w:t>Per 2017 metus buvo sumokėta 54,1 tūkst. eurų palūkanų (per 2016 metus buvo sumokėta 109,3 tūkst. eurų palūkanų). Sumokamų palūkanų suma žymiai sumažėjo, nes 2016 me</w:t>
      </w:r>
      <w:r w:rsidR="00CC3A05">
        <w:rPr>
          <w:sz w:val="24"/>
          <w:szCs w:val="24"/>
        </w:rPr>
        <w:t>tais buvo perskolintos paskolos</w:t>
      </w:r>
      <w:r w:rsidRPr="00AE588E">
        <w:rPr>
          <w:sz w:val="24"/>
          <w:szCs w:val="24"/>
        </w:rPr>
        <w:t xml:space="preserve"> bei mažėjo tarpbankinės palūkanų normos EURIBOR, kurių pagrindu sudarytos sutartys. </w:t>
      </w:r>
      <w:r w:rsidR="0009160C">
        <w:rPr>
          <w:sz w:val="24"/>
          <w:szCs w:val="24"/>
        </w:rPr>
        <w:t>Paskolų likučio ir p</w:t>
      </w:r>
      <w:r w:rsidR="006C541A" w:rsidRPr="006C541A">
        <w:rPr>
          <w:sz w:val="24"/>
          <w:szCs w:val="24"/>
        </w:rPr>
        <w:t>alūk</w:t>
      </w:r>
      <w:r w:rsidR="00EB6A53">
        <w:rPr>
          <w:sz w:val="24"/>
          <w:szCs w:val="24"/>
        </w:rPr>
        <w:t>anų mokėjimo dinamika parodyta 11</w:t>
      </w:r>
      <w:r w:rsidR="005473E4">
        <w:rPr>
          <w:sz w:val="24"/>
          <w:szCs w:val="24"/>
        </w:rPr>
        <w:t xml:space="preserve"> paveiksle.</w:t>
      </w:r>
      <w:r w:rsidR="006C541A" w:rsidRPr="006C541A">
        <w:rPr>
          <w:sz w:val="24"/>
          <w:szCs w:val="24"/>
        </w:rPr>
        <w:t xml:space="preserve"> </w:t>
      </w:r>
      <w:r w:rsidR="005473E4">
        <w:rPr>
          <w:sz w:val="24"/>
          <w:szCs w:val="24"/>
        </w:rPr>
        <w:t>Iš jo</w:t>
      </w:r>
      <w:r w:rsidR="006C541A" w:rsidRPr="006C541A">
        <w:rPr>
          <w:sz w:val="24"/>
          <w:szCs w:val="24"/>
        </w:rPr>
        <w:t xml:space="preserve"> </w:t>
      </w:r>
      <w:r w:rsidR="006C541A" w:rsidRPr="006C541A">
        <w:rPr>
          <w:sz w:val="24"/>
          <w:szCs w:val="24"/>
        </w:rPr>
        <w:lastRenderedPageBreak/>
        <w:t xml:space="preserve">matyti, kad palūkanų </w:t>
      </w:r>
      <w:r w:rsidR="005E6513" w:rsidRPr="006C541A">
        <w:rPr>
          <w:sz w:val="24"/>
          <w:szCs w:val="24"/>
        </w:rPr>
        <w:t xml:space="preserve">kasmet </w:t>
      </w:r>
      <w:r w:rsidR="006C541A" w:rsidRPr="006C541A">
        <w:rPr>
          <w:sz w:val="24"/>
          <w:szCs w:val="24"/>
        </w:rPr>
        <w:t>reikia mokėti mažiau, nors paskolų likutis ir didėja</w:t>
      </w:r>
      <w:r w:rsidR="005473E4">
        <w:rPr>
          <w:sz w:val="24"/>
          <w:szCs w:val="24"/>
        </w:rPr>
        <w:t xml:space="preserve"> (2017 metais nežymiai sumažėjo)</w:t>
      </w:r>
    </w:p>
    <w:p w:rsidR="003E1DC9" w:rsidRDefault="003E1DC9" w:rsidP="0069062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E1DC9" w:rsidRDefault="003E1DC9" w:rsidP="0069062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46AC">
        <w:rPr>
          <w:noProof/>
          <w:lang w:eastAsia="lt-LT"/>
        </w:rPr>
        <w:drawing>
          <wp:inline distT="0" distB="0" distL="0" distR="0">
            <wp:extent cx="4712335" cy="2997835"/>
            <wp:effectExtent l="0" t="0" r="12065" b="12065"/>
            <wp:docPr id="12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E1DC9" w:rsidRDefault="003E1DC9" w:rsidP="005473E4">
      <w:pPr>
        <w:jc w:val="center"/>
      </w:pPr>
    </w:p>
    <w:p w:rsidR="00C942B3" w:rsidRPr="00A108D6" w:rsidRDefault="00EB6A53" w:rsidP="005473E4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5473E4" w:rsidRPr="00A108D6">
        <w:rPr>
          <w:sz w:val="24"/>
          <w:szCs w:val="24"/>
        </w:rPr>
        <w:t xml:space="preserve"> pav</w:t>
      </w:r>
      <w:r w:rsidR="006C541A" w:rsidRPr="00A108D6">
        <w:rPr>
          <w:sz w:val="24"/>
          <w:szCs w:val="24"/>
        </w:rPr>
        <w:t xml:space="preserve">. </w:t>
      </w:r>
      <w:r w:rsidR="0009160C">
        <w:rPr>
          <w:sz w:val="24"/>
          <w:szCs w:val="24"/>
        </w:rPr>
        <w:t>Paskolų likučio ir p</w:t>
      </w:r>
      <w:r w:rsidR="006C541A" w:rsidRPr="00A108D6">
        <w:rPr>
          <w:sz w:val="24"/>
          <w:szCs w:val="24"/>
        </w:rPr>
        <w:t>alūkanų mokėjimo dinamika 201</w:t>
      </w:r>
      <w:r w:rsidR="005473E4" w:rsidRPr="00A108D6">
        <w:rPr>
          <w:sz w:val="24"/>
          <w:szCs w:val="24"/>
        </w:rPr>
        <w:t>2- 2017</w:t>
      </w:r>
      <w:r w:rsidR="006C541A" w:rsidRPr="00A108D6">
        <w:rPr>
          <w:sz w:val="24"/>
          <w:szCs w:val="24"/>
        </w:rPr>
        <w:t xml:space="preserve"> m.</w:t>
      </w:r>
      <w:r w:rsidR="009E4BF2" w:rsidRPr="00A108D6">
        <w:rPr>
          <w:sz w:val="24"/>
          <w:szCs w:val="24"/>
        </w:rPr>
        <w:t>, tūkst. eurų</w:t>
      </w:r>
    </w:p>
    <w:tbl>
      <w:tblPr>
        <w:tblW w:w="1134" w:type="dxa"/>
        <w:tblInd w:w="8340" w:type="dxa"/>
        <w:tblLayout w:type="fixed"/>
        <w:tblLook w:val="0000" w:firstRow="0" w:lastRow="0" w:firstColumn="0" w:lastColumn="0" w:noHBand="0" w:noVBand="0"/>
      </w:tblPr>
      <w:tblGrid>
        <w:gridCol w:w="1134"/>
      </w:tblGrid>
      <w:tr w:rsidR="00C942B3" w:rsidRPr="00A108D6" w:rsidTr="005473E4">
        <w:trPr>
          <w:trHeight w:val="100"/>
        </w:trPr>
        <w:tc>
          <w:tcPr>
            <w:tcW w:w="1134" w:type="dxa"/>
          </w:tcPr>
          <w:p w:rsidR="00C942B3" w:rsidRPr="00A108D6" w:rsidRDefault="00C942B3" w:rsidP="00D1293A">
            <w:pPr>
              <w:jc w:val="both"/>
              <w:rPr>
                <w:sz w:val="24"/>
                <w:szCs w:val="24"/>
              </w:rPr>
            </w:pPr>
          </w:p>
        </w:tc>
      </w:tr>
    </w:tbl>
    <w:p w:rsidR="006C541A" w:rsidRPr="00A108D6" w:rsidRDefault="00A043F7" w:rsidP="006C541A">
      <w:pPr>
        <w:ind w:firstLine="720"/>
        <w:jc w:val="both"/>
        <w:rPr>
          <w:sz w:val="24"/>
          <w:szCs w:val="24"/>
        </w:rPr>
      </w:pPr>
      <w:r w:rsidRPr="00A108D6">
        <w:rPr>
          <w:sz w:val="24"/>
          <w:szCs w:val="24"/>
        </w:rPr>
        <w:t>EURIBOR kitimas parodytas 5</w:t>
      </w:r>
      <w:r w:rsidR="006C541A" w:rsidRPr="00A108D6">
        <w:rPr>
          <w:sz w:val="24"/>
          <w:szCs w:val="24"/>
        </w:rPr>
        <w:t xml:space="preserve"> lentelėje.</w:t>
      </w:r>
    </w:p>
    <w:p w:rsidR="008960BD" w:rsidRPr="00A108D6" w:rsidRDefault="008960BD" w:rsidP="006C541A">
      <w:pPr>
        <w:ind w:firstLine="720"/>
        <w:jc w:val="both"/>
        <w:rPr>
          <w:b/>
          <w:sz w:val="24"/>
          <w:szCs w:val="24"/>
        </w:rPr>
      </w:pPr>
    </w:p>
    <w:p w:rsidR="006C541A" w:rsidRPr="008960BD" w:rsidRDefault="008D349D" w:rsidP="006C541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60BD" w:rsidRPr="00A108D6">
        <w:rPr>
          <w:b/>
          <w:sz w:val="24"/>
          <w:szCs w:val="24"/>
        </w:rPr>
        <w:t xml:space="preserve"> </w:t>
      </w:r>
      <w:r w:rsidR="006C541A" w:rsidRPr="00A108D6">
        <w:rPr>
          <w:b/>
          <w:sz w:val="24"/>
          <w:szCs w:val="24"/>
        </w:rPr>
        <w:t xml:space="preserve"> lentelė. 3 i</w:t>
      </w:r>
      <w:r w:rsidR="00127CFB" w:rsidRPr="00A108D6">
        <w:rPr>
          <w:b/>
          <w:sz w:val="24"/>
          <w:szCs w:val="24"/>
        </w:rPr>
        <w:t>r 6 mė</w:t>
      </w:r>
      <w:r w:rsidR="005473E4" w:rsidRPr="00A108D6">
        <w:rPr>
          <w:b/>
          <w:sz w:val="24"/>
          <w:szCs w:val="24"/>
        </w:rPr>
        <w:t>nesių EURIBOR kitimas 2012- 2017</w:t>
      </w:r>
      <w:r w:rsidR="006C541A" w:rsidRPr="00A108D6">
        <w:rPr>
          <w:b/>
          <w:sz w:val="24"/>
          <w:szCs w:val="24"/>
        </w:rPr>
        <w:t xml:space="preserve"> m.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268"/>
      </w:tblGrid>
      <w:tr w:rsidR="00553A0C" w:rsidRPr="00881776" w:rsidTr="00BF1490">
        <w:trPr>
          <w:trHeight w:val="495"/>
        </w:trPr>
        <w:tc>
          <w:tcPr>
            <w:tcW w:w="2518" w:type="dxa"/>
            <w:shd w:val="clear" w:color="auto" w:fill="auto"/>
          </w:tcPr>
          <w:p w:rsidR="00553A0C" w:rsidRPr="00BF1490" w:rsidRDefault="00553A0C" w:rsidP="00D1293A">
            <w:pPr>
              <w:rPr>
                <w:sz w:val="24"/>
                <w:szCs w:val="24"/>
              </w:rPr>
            </w:pPr>
          </w:p>
          <w:p w:rsidR="00553A0C" w:rsidRPr="00BF1490" w:rsidRDefault="00553A0C" w:rsidP="00D1293A">
            <w:pPr>
              <w:rPr>
                <w:sz w:val="24"/>
                <w:szCs w:val="24"/>
              </w:rPr>
            </w:pPr>
          </w:p>
          <w:p w:rsidR="00553A0C" w:rsidRPr="00BF1490" w:rsidRDefault="00553A0C" w:rsidP="00D1293A">
            <w:pPr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D1293A">
            <w:pPr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3 mėn. EURIBOR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D1293A">
            <w:pPr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6 mėn. EURIBOR</w:t>
            </w:r>
          </w:p>
        </w:tc>
      </w:tr>
      <w:tr w:rsidR="008960BD" w:rsidRPr="00881776" w:rsidTr="00BF1490">
        <w:trPr>
          <w:trHeight w:val="276"/>
        </w:trPr>
        <w:tc>
          <w:tcPr>
            <w:tcW w:w="2518" w:type="dxa"/>
            <w:shd w:val="clear" w:color="auto" w:fill="auto"/>
          </w:tcPr>
          <w:p w:rsidR="008960BD" w:rsidRPr="00BF1490" w:rsidRDefault="008960BD" w:rsidP="00D129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960BD" w:rsidRPr="00BF1490" w:rsidRDefault="008960BD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procentai</w:t>
            </w:r>
          </w:p>
        </w:tc>
      </w:tr>
      <w:tr w:rsidR="00553A0C" w:rsidRPr="00881776" w:rsidTr="00BF1490">
        <w:trPr>
          <w:trHeight w:val="276"/>
        </w:trPr>
        <w:tc>
          <w:tcPr>
            <w:tcW w:w="2518" w:type="dxa"/>
            <w:shd w:val="clear" w:color="auto" w:fill="auto"/>
          </w:tcPr>
          <w:p w:rsidR="00553A0C" w:rsidRPr="00BF1490" w:rsidRDefault="00553A0C" w:rsidP="00D1293A">
            <w:pPr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2012-01-24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1,149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1,451</w:t>
            </w:r>
          </w:p>
        </w:tc>
      </w:tr>
      <w:tr w:rsidR="00553A0C" w:rsidRPr="00881776" w:rsidTr="00BF1490">
        <w:trPr>
          <w:trHeight w:val="276"/>
        </w:trPr>
        <w:tc>
          <w:tcPr>
            <w:tcW w:w="2518" w:type="dxa"/>
            <w:shd w:val="clear" w:color="auto" w:fill="auto"/>
          </w:tcPr>
          <w:p w:rsidR="00553A0C" w:rsidRPr="00BF1490" w:rsidRDefault="00553A0C" w:rsidP="00D1293A">
            <w:pPr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2012-12-31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0,187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0,320</w:t>
            </w:r>
          </w:p>
        </w:tc>
      </w:tr>
      <w:tr w:rsidR="00553A0C" w:rsidRPr="00881776" w:rsidTr="00BF1490">
        <w:trPr>
          <w:trHeight w:val="276"/>
        </w:trPr>
        <w:tc>
          <w:tcPr>
            <w:tcW w:w="2518" w:type="dxa"/>
            <w:shd w:val="clear" w:color="auto" w:fill="auto"/>
          </w:tcPr>
          <w:p w:rsidR="00553A0C" w:rsidRPr="00BF1490" w:rsidRDefault="00553A0C" w:rsidP="00D1293A">
            <w:pPr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2013-03-01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0,206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0,328</w:t>
            </w:r>
          </w:p>
        </w:tc>
      </w:tr>
      <w:tr w:rsidR="00553A0C" w:rsidTr="00BF1490">
        <w:trPr>
          <w:trHeight w:val="276"/>
        </w:trPr>
        <w:tc>
          <w:tcPr>
            <w:tcW w:w="2518" w:type="dxa"/>
            <w:shd w:val="clear" w:color="auto" w:fill="auto"/>
          </w:tcPr>
          <w:p w:rsidR="00553A0C" w:rsidRPr="00BF1490" w:rsidRDefault="00553A0C" w:rsidP="00D1293A">
            <w:pPr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2013-12-02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0,236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0,331</w:t>
            </w:r>
          </w:p>
        </w:tc>
      </w:tr>
      <w:tr w:rsidR="00553A0C" w:rsidRPr="00BF1490" w:rsidTr="00BF1490">
        <w:trPr>
          <w:trHeight w:val="276"/>
        </w:trPr>
        <w:tc>
          <w:tcPr>
            <w:tcW w:w="2518" w:type="dxa"/>
            <w:shd w:val="clear" w:color="auto" w:fill="auto"/>
          </w:tcPr>
          <w:p w:rsidR="00553A0C" w:rsidRPr="00BF1490" w:rsidRDefault="00553A0C" w:rsidP="00BF1490">
            <w:pPr>
              <w:jc w:val="both"/>
              <w:rPr>
                <w:sz w:val="24"/>
                <w:szCs w:val="24"/>
                <w:lang w:val="pt-BR"/>
              </w:rPr>
            </w:pPr>
            <w:r w:rsidRPr="00BF1490">
              <w:rPr>
                <w:sz w:val="24"/>
                <w:szCs w:val="24"/>
                <w:lang w:val="pt-BR"/>
              </w:rPr>
              <w:t>2014-03-03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  <w:lang w:val="pt-BR"/>
              </w:rPr>
            </w:pPr>
            <w:r w:rsidRPr="00BF1490">
              <w:rPr>
                <w:sz w:val="24"/>
                <w:szCs w:val="24"/>
                <w:lang w:val="pt-BR"/>
              </w:rPr>
              <w:t>0,288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  <w:lang w:val="pt-BR"/>
              </w:rPr>
            </w:pPr>
            <w:r w:rsidRPr="00BF1490">
              <w:rPr>
                <w:sz w:val="24"/>
                <w:szCs w:val="24"/>
                <w:lang w:val="pt-BR"/>
              </w:rPr>
              <w:t>0,387</w:t>
            </w:r>
          </w:p>
        </w:tc>
      </w:tr>
      <w:tr w:rsidR="00553A0C" w:rsidRPr="00BF1490" w:rsidTr="00BF1490">
        <w:trPr>
          <w:trHeight w:val="291"/>
        </w:trPr>
        <w:tc>
          <w:tcPr>
            <w:tcW w:w="2518" w:type="dxa"/>
            <w:shd w:val="clear" w:color="auto" w:fill="auto"/>
          </w:tcPr>
          <w:p w:rsidR="00553A0C" w:rsidRPr="00BF1490" w:rsidRDefault="00553A0C" w:rsidP="00BF1490">
            <w:pPr>
              <w:jc w:val="both"/>
              <w:rPr>
                <w:sz w:val="24"/>
                <w:szCs w:val="24"/>
                <w:lang w:val="pt-BR"/>
              </w:rPr>
            </w:pPr>
            <w:r w:rsidRPr="00BF1490">
              <w:rPr>
                <w:sz w:val="24"/>
                <w:szCs w:val="24"/>
                <w:lang w:val="pt-BR"/>
              </w:rPr>
              <w:t>2014-12-31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  <w:lang w:val="pt-BR"/>
              </w:rPr>
            </w:pPr>
            <w:r w:rsidRPr="00BF1490">
              <w:rPr>
                <w:sz w:val="24"/>
                <w:szCs w:val="24"/>
                <w:lang w:val="pt-BR"/>
              </w:rPr>
              <w:t>0,078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  <w:lang w:val="pt-BR"/>
              </w:rPr>
            </w:pPr>
            <w:r w:rsidRPr="00BF1490">
              <w:rPr>
                <w:sz w:val="24"/>
                <w:szCs w:val="24"/>
                <w:lang w:val="pt-BR"/>
              </w:rPr>
              <w:t>0,171</w:t>
            </w:r>
          </w:p>
        </w:tc>
      </w:tr>
      <w:tr w:rsidR="00553A0C" w:rsidRPr="00BF1490" w:rsidTr="00BF1490">
        <w:tc>
          <w:tcPr>
            <w:tcW w:w="2518" w:type="dxa"/>
            <w:shd w:val="clear" w:color="auto" w:fill="auto"/>
          </w:tcPr>
          <w:p w:rsidR="00553A0C" w:rsidRPr="00BF1490" w:rsidRDefault="00553A0C" w:rsidP="00BF1490">
            <w:pPr>
              <w:jc w:val="both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2015-03-03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0,038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0,109</w:t>
            </w:r>
          </w:p>
        </w:tc>
      </w:tr>
      <w:tr w:rsidR="00553A0C" w:rsidRPr="00BF1490" w:rsidTr="00BF1490">
        <w:tc>
          <w:tcPr>
            <w:tcW w:w="2518" w:type="dxa"/>
            <w:shd w:val="clear" w:color="auto" w:fill="auto"/>
          </w:tcPr>
          <w:p w:rsidR="00553A0C" w:rsidRPr="00BF1490" w:rsidRDefault="00553A0C" w:rsidP="00BF1490">
            <w:pPr>
              <w:jc w:val="both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2015-12-31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-0,131</w:t>
            </w:r>
          </w:p>
        </w:tc>
        <w:tc>
          <w:tcPr>
            <w:tcW w:w="2268" w:type="dxa"/>
            <w:shd w:val="clear" w:color="auto" w:fill="auto"/>
          </w:tcPr>
          <w:p w:rsidR="00553A0C" w:rsidRPr="00BF1490" w:rsidRDefault="00553A0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-0,04</w:t>
            </w:r>
          </w:p>
        </w:tc>
      </w:tr>
      <w:tr w:rsidR="0072565F" w:rsidRPr="00BF1490" w:rsidTr="00BF1490">
        <w:tc>
          <w:tcPr>
            <w:tcW w:w="2518" w:type="dxa"/>
            <w:shd w:val="clear" w:color="auto" w:fill="auto"/>
          </w:tcPr>
          <w:p w:rsidR="0072565F" w:rsidRPr="00BF1490" w:rsidRDefault="00127CFB" w:rsidP="00BF1490">
            <w:pPr>
              <w:jc w:val="both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2016</w:t>
            </w:r>
            <w:r w:rsidR="0072565F" w:rsidRPr="00BF1490">
              <w:rPr>
                <w:sz w:val="24"/>
                <w:szCs w:val="24"/>
              </w:rPr>
              <w:t>-03-03</w:t>
            </w:r>
          </w:p>
        </w:tc>
        <w:tc>
          <w:tcPr>
            <w:tcW w:w="2268" w:type="dxa"/>
            <w:shd w:val="clear" w:color="auto" w:fill="auto"/>
          </w:tcPr>
          <w:p w:rsidR="0072565F" w:rsidRPr="00BF1490" w:rsidRDefault="00916556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-0,213</w:t>
            </w:r>
          </w:p>
        </w:tc>
        <w:tc>
          <w:tcPr>
            <w:tcW w:w="2268" w:type="dxa"/>
            <w:shd w:val="clear" w:color="auto" w:fill="auto"/>
          </w:tcPr>
          <w:p w:rsidR="0072565F" w:rsidRPr="00BF1490" w:rsidRDefault="00916556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-0,135</w:t>
            </w:r>
          </w:p>
        </w:tc>
      </w:tr>
      <w:tr w:rsidR="0072565F" w:rsidRPr="00BF1490" w:rsidTr="00BF1490">
        <w:tc>
          <w:tcPr>
            <w:tcW w:w="2518" w:type="dxa"/>
            <w:shd w:val="clear" w:color="auto" w:fill="auto"/>
          </w:tcPr>
          <w:p w:rsidR="0072565F" w:rsidRPr="00BF1490" w:rsidRDefault="00127CFB" w:rsidP="00BF1490">
            <w:pPr>
              <w:jc w:val="both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2016</w:t>
            </w:r>
            <w:r w:rsidR="0072565F" w:rsidRPr="00BF1490">
              <w:rPr>
                <w:sz w:val="24"/>
                <w:szCs w:val="24"/>
              </w:rPr>
              <w:t>-12-31</w:t>
            </w:r>
          </w:p>
        </w:tc>
        <w:tc>
          <w:tcPr>
            <w:tcW w:w="2268" w:type="dxa"/>
            <w:shd w:val="clear" w:color="auto" w:fill="auto"/>
          </w:tcPr>
          <w:p w:rsidR="0072565F" w:rsidRPr="00BF1490" w:rsidRDefault="00916556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-0,319</w:t>
            </w:r>
          </w:p>
        </w:tc>
        <w:tc>
          <w:tcPr>
            <w:tcW w:w="2268" w:type="dxa"/>
            <w:shd w:val="clear" w:color="auto" w:fill="auto"/>
          </w:tcPr>
          <w:p w:rsidR="0072565F" w:rsidRPr="00BF1490" w:rsidRDefault="00916556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-0,221</w:t>
            </w:r>
          </w:p>
        </w:tc>
      </w:tr>
      <w:tr w:rsidR="00C44A5C" w:rsidRPr="00BF1490" w:rsidTr="00BF1490">
        <w:tc>
          <w:tcPr>
            <w:tcW w:w="2518" w:type="dxa"/>
            <w:shd w:val="clear" w:color="auto" w:fill="auto"/>
          </w:tcPr>
          <w:p w:rsidR="00C44A5C" w:rsidRPr="00BF1490" w:rsidRDefault="00C44A5C" w:rsidP="00BF1490">
            <w:pPr>
              <w:jc w:val="both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2017-03-03</w:t>
            </w:r>
          </w:p>
        </w:tc>
        <w:tc>
          <w:tcPr>
            <w:tcW w:w="2268" w:type="dxa"/>
            <w:shd w:val="clear" w:color="auto" w:fill="auto"/>
          </w:tcPr>
          <w:p w:rsidR="00C44A5C" w:rsidRPr="00BF1490" w:rsidRDefault="00C44A5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-0,329</w:t>
            </w:r>
          </w:p>
        </w:tc>
        <w:tc>
          <w:tcPr>
            <w:tcW w:w="2268" w:type="dxa"/>
            <w:shd w:val="clear" w:color="auto" w:fill="auto"/>
          </w:tcPr>
          <w:p w:rsidR="00C44A5C" w:rsidRPr="00BF1490" w:rsidRDefault="00C44A5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-0,237</w:t>
            </w:r>
          </w:p>
        </w:tc>
      </w:tr>
      <w:tr w:rsidR="00C44A5C" w:rsidRPr="00BF1490" w:rsidTr="00BF1490">
        <w:tc>
          <w:tcPr>
            <w:tcW w:w="2518" w:type="dxa"/>
            <w:shd w:val="clear" w:color="auto" w:fill="auto"/>
          </w:tcPr>
          <w:p w:rsidR="00C44A5C" w:rsidRPr="00BF1490" w:rsidRDefault="00C44A5C" w:rsidP="00BF1490">
            <w:pPr>
              <w:jc w:val="both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2017-12-31</w:t>
            </w:r>
          </w:p>
        </w:tc>
        <w:tc>
          <w:tcPr>
            <w:tcW w:w="2268" w:type="dxa"/>
            <w:shd w:val="clear" w:color="auto" w:fill="auto"/>
          </w:tcPr>
          <w:p w:rsidR="00C44A5C" w:rsidRPr="00BF1490" w:rsidRDefault="00C44A5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-0,329</w:t>
            </w:r>
          </w:p>
        </w:tc>
        <w:tc>
          <w:tcPr>
            <w:tcW w:w="2268" w:type="dxa"/>
            <w:shd w:val="clear" w:color="auto" w:fill="auto"/>
          </w:tcPr>
          <w:p w:rsidR="00C44A5C" w:rsidRPr="00BF1490" w:rsidRDefault="00C44A5C" w:rsidP="00BF1490">
            <w:pPr>
              <w:jc w:val="center"/>
              <w:rPr>
                <w:sz w:val="24"/>
                <w:szCs w:val="24"/>
              </w:rPr>
            </w:pPr>
            <w:r w:rsidRPr="00BF1490">
              <w:rPr>
                <w:sz w:val="24"/>
                <w:szCs w:val="24"/>
              </w:rPr>
              <w:t>-0,271</w:t>
            </w:r>
          </w:p>
        </w:tc>
      </w:tr>
    </w:tbl>
    <w:p w:rsidR="006C541A" w:rsidRPr="006C541A" w:rsidRDefault="008960BD" w:rsidP="005473E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960BD" w:rsidRDefault="008960BD" w:rsidP="006C541A">
      <w:pPr>
        <w:ind w:firstLine="720"/>
        <w:jc w:val="both"/>
        <w:rPr>
          <w:sz w:val="24"/>
          <w:szCs w:val="24"/>
        </w:rPr>
      </w:pPr>
    </w:p>
    <w:p w:rsidR="006C541A" w:rsidRPr="006C541A" w:rsidRDefault="006C541A" w:rsidP="00CC3A05">
      <w:pPr>
        <w:jc w:val="both"/>
        <w:rPr>
          <w:sz w:val="24"/>
          <w:szCs w:val="24"/>
        </w:rPr>
      </w:pPr>
      <w:r w:rsidRPr="006C541A">
        <w:rPr>
          <w:sz w:val="24"/>
          <w:szCs w:val="24"/>
        </w:rPr>
        <w:t xml:space="preserve">Finansų ir biudžeto skyriaus vedėja                                       </w:t>
      </w:r>
      <w:r w:rsidR="00CC3A05">
        <w:rPr>
          <w:sz w:val="24"/>
          <w:szCs w:val="24"/>
        </w:rPr>
        <w:t xml:space="preserve">                   </w:t>
      </w:r>
      <w:r w:rsidRPr="006C541A">
        <w:rPr>
          <w:sz w:val="24"/>
          <w:szCs w:val="24"/>
        </w:rPr>
        <w:t xml:space="preserve">    Daiva Mažeikienė</w:t>
      </w:r>
    </w:p>
    <w:p w:rsidR="009E4BF2" w:rsidRDefault="009E4BF2" w:rsidP="006C541A">
      <w:pPr>
        <w:ind w:firstLine="720"/>
        <w:jc w:val="both"/>
        <w:rPr>
          <w:sz w:val="24"/>
          <w:szCs w:val="24"/>
        </w:rPr>
      </w:pPr>
    </w:p>
    <w:p w:rsidR="00B41869" w:rsidRPr="0081123C" w:rsidRDefault="006C541A" w:rsidP="00CC3A05">
      <w:pPr>
        <w:jc w:val="both"/>
        <w:rPr>
          <w:sz w:val="24"/>
          <w:szCs w:val="24"/>
        </w:rPr>
      </w:pPr>
      <w:r w:rsidRPr="006C541A">
        <w:rPr>
          <w:sz w:val="24"/>
          <w:szCs w:val="24"/>
        </w:rPr>
        <w:t xml:space="preserve">Finansų ir biudžeto skyriaus vedėjo pavaduotoja                    </w:t>
      </w:r>
      <w:r w:rsidR="00CC3A05">
        <w:rPr>
          <w:sz w:val="24"/>
          <w:szCs w:val="24"/>
        </w:rPr>
        <w:t xml:space="preserve">                    </w:t>
      </w:r>
      <w:r w:rsidRPr="006C541A">
        <w:rPr>
          <w:sz w:val="24"/>
          <w:szCs w:val="24"/>
        </w:rPr>
        <w:t xml:space="preserve"> Margarita Tamošauskienė</w:t>
      </w:r>
    </w:p>
    <w:sectPr w:rsidR="00B41869" w:rsidRPr="0081123C" w:rsidSect="0071594B">
      <w:headerReference w:type="even" r:id="rId21"/>
      <w:headerReference w:type="default" r:id="rId22"/>
      <w:footerReference w:type="even" r:id="rId23"/>
      <w:headerReference w:type="first" r:id="rId24"/>
      <w:pgSz w:w="11907" w:h="16840" w:code="9"/>
      <w:pgMar w:top="1134" w:right="567" w:bottom="1134" w:left="1701" w:header="454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5A" w:rsidRDefault="00DA7C5A">
      <w:r>
        <w:separator/>
      </w:r>
    </w:p>
  </w:endnote>
  <w:endnote w:type="continuationSeparator" w:id="0">
    <w:p w:rsidR="00DA7C5A" w:rsidRDefault="00DA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5A" w:rsidRDefault="00DA7C5A" w:rsidP="004F4A0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:rsidR="00DA7C5A" w:rsidRDefault="00DA7C5A">
    <w:pPr>
      <w:pStyle w:val="Por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5A" w:rsidRDefault="00DA7C5A">
      <w:r>
        <w:separator/>
      </w:r>
    </w:p>
  </w:footnote>
  <w:footnote w:type="continuationSeparator" w:id="0">
    <w:p w:rsidR="00DA7C5A" w:rsidRDefault="00DA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5A" w:rsidRDefault="00DA7C5A" w:rsidP="00DC20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12</w:t>
    </w:r>
    <w:r>
      <w:rPr>
        <w:rStyle w:val="Puslapionumeris"/>
      </w:rPr>
      <w:fldChar w:fldCharType="end"/>
    </w:r>
  </w:p>
  <w:p w:rsidR="00DA7C5A" w:rsidRDefault="00DA7C5A">
    <w:pPr>
      <w:pStyle w:val="Antrats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5A" w:rsidRDefault="00DA7C5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CF6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5A" w:rsidRDefault="00DA7C5A">
    <w:pPr>
      <w:pStyle w:val="Antrat1"/>
      <w:rPr>
        <w:rFonts w:ascii="Times New Roman" w:hAnsi="Times New Roman"/>
        <w:sz w:val="22"/>
      </w:rPr>
    </w:pPr>
  </w:p>
  <w:p w:rsidR="00DA7C5A" w:rsidRDefault="00DA7C5A">
    <w:pPr>
      <w:pStyle w:val="Antrats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98D"/>
    <w:multiLevelType w:val="hybridMultilevel"/>
    <w:tmpl w:val="2C26F2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D35"/>
    <w:multiLevelType w:val="hybridMultilevel"/>
    <w:tmpl w:val="237A6AF8"/>
    <w:lvl w:ilvl="0" w:tplc="216E059A">
      <w:start w:val="2"/>
      <w:numFmt w:val="decimal"/>
      <w:lvlText w:val="%1"/>
      <w:lvlJc w:val="left"/>
      <w:pPr>
        <w:tabs>
          <w:tab w:val="num" w:pos="8136"/>
        </w:tabs>
        <w:ind w:left="81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856"/>
        </w:tabs>
        <w:ind w:left="885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576"/>
        </w:tabs>
        <w:ind w:left="957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296"/>
        </w:tabs>
        <w:ind w:left="1029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016"/>
        </w:tabs>
        <w:ind w:left="1101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736"/>
        </w:tabs>
        <w:ind w:left="1173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456"/>
        </w:tabs>
        <w:ind w:left="1245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176"/>
        </w:tabs>
        <w:ind w:left="1317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896"/>
        </w:tabs>
        <w:ind w:left="13896" w:hanging="180"/>
      </w:pPr>
    </w:lvl>
  </w:abstractNum>
  <w:abstractNum w:abstractNumId="2">
    <w:nsid w:val="0FE44FEE"/>
    <w:multiLevelType w:val="hybridMultilevel"/>
    <w:tmpl w:val="3692C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72B86"/>
    <w:multiLevelType w:val="hybridMultilevel"/>
    <w:tmpl w:val="5FAA8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70B49"/>
    <w:multiLevelType w:val="hybridMultilevel"/>
    <w:tmpl w:val="36F0F6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E129F"/>
    <w:multiLevelType w:val="hybridMultilevel"/>
    <w:tmpl w:val="3F52AC9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E6A2A"/>
    <w:multiLevelType w:val="multilevel"/>
    <w:tmpl w:val="3F6449E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41E3056"/>
    <w:multiLevelType w:val="hybridMultilevel"/>
    <w:tmpl w:val="13423C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AD1"/>
    <w:multiLevelType w:val="hybridMultilevel"/>
    <w:tmpl w:val="D6180E88"/>
    <w:lvl w:ilvl="0" w:tplc="042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410822C2"/>
    <w:multiLevelType w:val="hybridMultilevel"/>
    <w:tmpl w:val="BC5E0EC4"/>
    <w:lvl w:ilvl="0" w:tplc="07328B4E">
      <w:start w:val="1"/>
      <w:numFmt w:val="decimal"/>
      <w:lvlText w:val="%1"/>
      <w:lvlJc w:val="left"/>
      <w:pPr>
        <w:tabs>
          <w:tab w:val="num" w:pos="8441"/>
        </w:tabs>
        <w:ind w:left="844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161"/>
        </w:tabs>
        <w:ind w:left="916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881"/>
        </w:tabs>
        <w:ind w:left="988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321"/>
        </w:tabs>
        <w:ind w:left="1132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2041"/>
        </w:tabs>
        <w:ind w:left="1204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481"/>
        </w:tabs>
        <w:ind w:left="1348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201"/>
        </w:tabs>
        <w:ind w:left="14201" w:hanging="180"/>
      </w:pPr>
    </w:lvl>
  </w:abstractNum>
  <w:abstractNum w:abstractNumId="10">
    <w:nsid w:val="412E49C9"/>
    <w:multiLevelType w:val="hybridMultilevel"/>
    <w:tmpl w:val="76D8B136"/>
    <w:lvl w:ilvl="0" w:tplc="924C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37692"/>
    <w:multiLevelType w:val="hybridMultilevel"/>
    <w:tmpl w:val="2580E7F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6E0A"/>
    <w:multiLevelType w:val="hybridMultilevel"/>
    <w:tmpl w:val="4DCE58EC"/>
    <w:lvl w:ilvl="0" w:tplc="3708BC82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B4D58E3"/>
    <w:multiLevelType w:val="multilevel"/>
    <w:tmpl w:val="777442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277CE6"/>
    <w:multiLevelType w:val="hybridMultilevel"/>
    <w:tmpl w:val="C500493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3B634F"/>
    <w:multiLevelType w:val="hybridMultilevel"/>
    <w:tmpl w:val="3DE843C4"/>
    <w:lvl w:ilvl="0" w:tplc="042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6D28705E"/>
    <w:multiLevelType w:val="multilevel"/>
    <w:tmpl w:val="AFCCC3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>
    <w:nsid w:val="770302E4"/>
    <w:multiLevelType w:val="hybridMultilevel"/>
    <w:tmpl w:val="DE40C7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6081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65"/>
    <w:rsid w:val="000000DB"/>
    <w:rsid w:val="00000E18"/>
    <w:rsid w:val="00002BB0"/>
    <w:rsid w:val="0000320E"/>
    <w:rsid w:val="000037EF"/>
    <w:rsid w:val="00004AAB"/>
    <w:rsid w:val="00014248"/>
    <w:rsid w:val="00014730"/>
    <w:rsid w:val="00014CA2"/>
    <w:rsid w:val="00015ACB"/>
    <w:rsid w:val="00015AF4"/>
    <w:rsid w:val="00020D1E"/>
    <w:rsid w:val="00022B6C"/>
    <w:rsid w:val="0002388B"/>
    <w:rsid w:val="000250B3"/>
    <w:rsid w:val="00025EF9"/>
    <w:rsid w:val="00026688"/>
    <w:rsid w:val="000278BA"/>
    <w:rsid w:val="00030E6C"/>
    <w:rsid w:val="00032960"/>
    <w:rsid w:val="00033B7B"/>
    <w:rsid w:val="0003459B"/>
    <w:rsid w:val="000369E4"/>
    <w:rsid w:val="00036B0A"/>
    <w:rsid w:val="0004001C"/>
    <w:rsid w:val="00046147"/>
    <w:rsid w:val="00046C0C"/>
    <w:rsid w:val="00046D33"/>
    <w:rsid w:val="00050970"/>
    <w:rsid w:val="000531C3"/>
    <w:rsid w:val="000550F1"/>
    <w:rsid w:val="00057D97"/>
    <w:rsid w:val="00060E30"/>
    <w:rsid w:val="00061B6B"/>
    <w:rsid w:val="00064605"/>
    <w:rsid w:val="00071CE1"/>
    <w:rsid w:val="00072633"/>
    <w:rsid w:val="00073EA3"/>
    <w:rsid w:val="00083CFB"/>
    <w:rsid w:val="00086AAC"/>
    <w:rsid w:val="00086DBB"/>
    <w:rsid w:val="000904D7"/>
    <w:rsid w:val="0009160C"/>
    <w:rsid w:val="0009562A"/>
    <w:rsid w:val="00097891"/>
    <w:rsid w:val="000A12EB"/>
    <w:rsid w:val="000A672C"/>
    <w:rsid w:val="000B3E17"/>
    <w:rsid w:val="000B7004"/>
    <w:rsid w:val="000C22F4"/>
    <w:rsid w:val="000C435F"/>
    <w:rsid w:val="000C4E97"/>
    <w:rsid w:val="000C4F7E"/>
    <w:rsid w:val="000D4180"/>
    <w:rsid w:val="000D67B4"/>
    <w:rsid w:val="000E0E30"/>
    <w:rsid w:val="000E3AAC"/>
    <w:rsid w:val="000E5462"/>
    <w:rsid w:val="000E6CDD"/>
    <w:rsid w:val="000E7D89"/>
    <w:rsid w:val="000F0CEA"/>
    <w:rsid w:val="000F3740"/>
    <w:rsid w:val="000F44D8"/>
    <w:rsid w:val="000F65CA"/>
    <w:rsid w:val="000F7E95"/>
    <w:rsid w:val="001001C8"/>
    <w:rsid w:val="00102F71"/>
    <w:rsid w:val="00105756"/>
    <w:rsid w:val="001066DC"/>
    <w:rsid w:val="001072A2"/>
    <w:rsid w:val="0012215C"/>
    <w:rsid w:val="00124B01"/>
    <w:rsid w:val="0012602E"/>
    <w:rsid w:val="00127CFB"/>
    <w:rsid w:val="00130FAA"/>
    <w:rsid w:val="001325B5"/>
    <w:rsid w:val="00133E6B"/>
    <w:rsid w:val="001476D2"/>
    <w:rsid w:val="00150BC1"/>
    <w:rsid w:val="00151A9D"/>
    <w:rsid w:val="00155098"/>
    <w:rsid w:val="0015559E"/>
    <w:rsid w:val="00157E3A"/>
    <w:rsid w:val="0016394A"/>
    <w:rsid w:val="00164FEA"/>
    <w:rsid w:val="00165FC8"/>
    <w:rsid w:val="0016618E"/>
    <w:rsid w:val="00166476"/>
    <w:rsid w:val="00171A48"/>
    <w:rsid w:val="00174A65"/>
    <w:rsid w:val="00174B71"/>
    <w:rsid w:val="001761E6"/>
    <w:rsid w:val="00176817"/>
    <w:rsid w:val="00177B87"/>
    <w:rsid w:val="00180ED5"/>
    <w:rsid w:val="001811F8"/>
    <w:rsid w:val="00181448"/>
    <w:rsid w:val="0018288C"/>
    <w:rsid w:val="00182E61"/>
    <w:rsid w:val="001862D7"/>
    <w:rsid w:val="0019055A"/>
    <w:rsid w:val="0019137D"/>
    <w:rsid w:val="0019437F"/>
    <w:rsid w:val="0019484A"/>
    <w:rsid w:val="00195DA6"/>
    <w:rsid w:val="001967DC"/>
    <w:rsid w:val="001A0294"/>
    <w:rsid w:val="001A0AC5"/>
    <w:rsid w:val="001A3A54"/>
    <w:rsid w:val="001A4852"/>
    <w:rsid w:val="001A5892"/>
    <w:rsid w:val="001A7E0D"/>
    <w:rsid w:val="001B3F58"/>
    <w:rsid w:val="001B4B5F"/>
    <w:rsid w:val="001B5C24"/>
    <w:rsid w:val="001C080D"/>
    <w:rsid w:val="001C0BA3"/>
    <w:rsid w:val="001C2489"/>
    <w:rsid w:val="001C399E"/>
    <w:rsid w:val="001C7E09"/>
    <w:rsid w:val="001D2452"/>
    <w:rsid w:val="001D2F28"/>
    <w:rsid w:val="001D3363"/>
    <w:rsid w:val="001D49A9"/>
    <w:rsid w:val="001D5537"/>
    <w:rsid w:val="001D5A36"/>
    <w:rsid w:val="001D6B32"/>
    <w:rsid w:val="001E1AE7"/>
    <w:rsid w:val="001E2064"/>
    <w:rsid w:val="001E2C89"/>
    <w:rsid w:val="001E5F52"/>
    <w:rsid w:val="001E6013"/>
    <w:rsid w:val="001F0E04"/>
    <w:rsid w:val="001F348A"/>
    <w:rsid w:val="001F4FFE"/>
    <w:rsid w:val="001F56E6"/>
    <w:rsid w:val="001F5BA6"/>
    <w:rsid w:val="001F7B87"/>
    <w:rsid w:val="002025D1"/>
    <w:rsid w:val="00202D82"/>
    <w:rsid w:val="0020449A"/>
    <w:rsid w:val="00205BF1"/>
    <w:rsid w:val="00207CF3"/>
    <w:rsid w:val="00215BD2"/>
    <w:rsid w:val="00217879"/>
    <w:rsid w:val="002241DC"/>
    <w:rsid w:val="00226D3A"/>
    <w:rsid w:val="002307DB"/>
    <w:rsid w:val="00230829"/>
    <w:rsid w:val="002346D5"/>
    <w:rsid w:val="0023520C"/>
    <w:rsid w:val="00235BCD"/>
    <w:rsid w:val="00240D17"/>
    <w:rsid w:val="00242069"/>
    <w:rsid w:val="00242A10"/>
    <w:rsid w:val="0024696C"/>
    <w:rsid w:val="002504DD"/>
    <w:rsid w:val="0025136C"/>
    <w:rsid w:val="00253800"/>
    <w:rsid w:val="00255B5D"/>
    <w:rsid w:val="00255D16"/>
    <w:rsid w:val="002601B0"/>
    <w:rsid w:val="00261EAB"/>
    <w:rsid w:val="00271602"/>
    <w:rsid w:val="00272609"/>
    <w:rsid w:val="00275FB5"/>
    <w:rsid w:val="0028005E"/>
    <w:rsid w:val="002839B6"/>
    <w:rsid w:val="00283AF5"/>
    <w:rsid w:val="00283FE1"/>
    <w:rsid w:val="00284DAD"/>
    <w:rsid w:val="0028665F"/>
    <w:rsid w:val="00287E96"/>
    <w:rsid w:val="00290CE9"/>
    <w:rsid w:val="00293C67"/>
    <w:rsid w:val="00293FB6"/>
    <w:rsid w:val="002948C2"/>
    <w:rsid w:val="00295D5F"/>
    <w:rsid w:val="002A1BA9"/>
    <w:rsid w:val="002A30B1"/>
    <w:rsid w:val="002B0EBC"/>
    <w:rsid w:val="002B21F1"/>
    <w:rsid w:val="002B445E"/>
    <w:rsid w:val="002B5AA6"/>
    <w:rsid w:val="002B5BEA"/>
    <w:rsid w:val="002C0C6F"/>
    <w:rsid w:val="002C26B8"/>
    <w:rsid w:val="002C403C"/>
    <w:rsid w:val="002C4183"/>
    <w:rsid w:val="002C5F61"/>
    <w:rsid w:val="002D0D07"/>
    <w:rsid w:val="002D1E2C"/>
    <w:rsid w:val="002D24D4"/>
    <w:rsid w:val="002D3524"/>
    <w:rsid w:val="002D40E9"/>
    <w:rsid w:val="002D4186"/>
    <w:rsid w:val="002D44CC"/>
    <w:rsid w:val="002D6C97"/>
    <w:rsid w:val="002E14B5"/>
    <w:rsid w:val="002E17CE"/>
    <w:rsid w:val="002E62E6"/>
    <w:rsid w:val="002E785E"/>
    <w:rsid w:val="002E7A1F"/>
    <w:rsid w:val="002F0548"/>
    <w:rsid w:val="002F3B71"/>
    <w:rsid w:val="002F5158"/>
    <w:rsid w:val="00304CB3"/>
    <w:rsid w:val="00305FDA"/>
    <w:rsid w:val="00307087"/>
    <w:rsid w:val="0031286F"/>
    <w:rsid w:val="00312938"/>
    <w:rsid w:val="00312F9A"/>
    <w:rsid w:val="00313340"/>
    <w:rsid w:val="00314B50"/>
    <w:rsid w:val="00314D51"/>
    <w:rsid w:val="00322582"/>
    <w:rsid w:val="00323527"/>
    <w:rsid w:val="00323629"/>
    <w:rsid w:val="00324E43"/>
    <w:rsid w:val="00331F9F"/>
    <w:rsid w:val="00332228"/>
    <w:rsid w:val="00334839"/>
    <w:rsid w:val="00335558"/>
    <w:rsid w:val="00337551"/>
    <w:rsid w:val="00337C5E"/>
    <w:rsid w:val="00337D6C"/>
    <w:rsid w:val="00340BD7"/>
    <w:rsid w:val="00341CBE"/>
    <w:rsid w:val="003425D7"/>
    <w:rsid w:val="003435BD"/>
    <w:rsid w:val="00343961"/>
    <w:rsid w:val="003530F7"/>
    <w:rsid w:val="00355AE3"/>
    <w:rsid w:val="00355E06"/>
    <w:rsid w:val="00356465"/>
    <w:rsid w:val="003602A8"/>
    <w:rsid w:val="003621AF"/>
    <w:rsid w:val="00362692"/>
    <w:rsid w:val="00362E31"/>
    <w:rsid w:val="00363357"/>
    <w:rsid w:val="00366D3E"/>
    <w:rsid w:val="00375611"/>
    <w:rsid w:val="00377B83"/>
    <w:rsid w:val="00381745"/>
    <w:rsid w:val="00383E91"/>
    <w:rsid w:val="003852E1"/>
    <w:rsid w:val="0038755D"/>
    <w:rsid w:val="00392056"/>
    <w:rsid w:val="00392B40"/>
    <w:rsid w:val="003935B4"/>
    <w:rsid w:val="00393FAD"/>
    <w:rsid w:val="003941A2"/>
    <w:rsid w:val="00396B48"/>
    <w:rsid w:val="00397BBF"/>
    <w:rsid w:val="003A01C9"/>
    <w:rsid w:val="003A3BC5"/>
    <w:rsid w:val="003A3F19"/>
    <w:rsid w:val="003A46AC"/>
    <w:rsid w:val="003A4843"/>
    <w:rsid w:val="003B0E7A"/>
    <w:rsid w:val="003B3A1A"/>
    <w:rsid w:val="003B4374"/>
    <w:rsid w:val="003B448A"/>
    <w:rsid w:val="003B4D83"/>
    <w:rsid w:val="003B6133"/>
    <w:rsid w:val="003B61CB"/>
    <w:rsid w:val="003C1117"/>
    <w:rsid w:val="003C1633"/>
    <w:rsid w:val="003C1796"/>
    <w:rsid w:val="003C376A"/>
    <w:rsid w:val="003C546E"/>
    <w:rsid w:val="003D157A"/>
    <w:rsid w:val="003D2808"/>
    <w:rsid w:val="003D3804"/>
    <w:rsid w:val="003E1DC9"/>
    <w:rsid w:val="003E5CB5"/>
    <w:rsid w:val="003F1108"/>
    <w:rsid w:val="003F2A6E"/>
    <w:rsid w:val="003F53D5"/>
    <w:rsid w:val="0040129E"/>
    <w:rsid w:val="00402CB6"/>
    <w:rsid w:val="00406638"/>
    <w:rsid w:val="004070F0"/>
    <w:rsid w:val="00411775"/>
    <w:rsid w:val="004145C3"/>
    <w:rsid w:val="00414A1A"/>
    <w:rsid w:val="0042239E"/>
    <w:rsid w:val="00423B74"/>
    <w:rsid w:val="004267D8"/>
    <w:rsid w:val="00426843"/>
    <w:rsid w:val="00427295"/>
    <w:rsid w:val="00430298"/>
    <w:rsid w:val="00431296"/>
    <w:rsid w:val="004345C5"/>
    <w:rsid w:val="004364D6"/>
    <w:rsid w:val="00436F0E"/>
    <w:rsid w:val="00443147"/>
    <w:rsid w:val="004441E7"/>
    <w:rsid w:val="00444670"/>
    <w:rsid w:val="0045047F"/>
    <w:rsid w:val="004505AF"/>
    <w:rsid w:val="00452881"/>
    <w:rsid w:val="00454A62"/>
    <w:rsid w:val="00457701"/>
    <w:rsid w:val="00460762"/>
    <w:rsid w:val="004609C0"/>
    <w:rsid w:val="00462408"/>
    <w:rsid w:val="0046247A"/>
    <w:rsid w:val="00462A46"/>
    <w:rsid w:val="00464030"/>
    <w:rsid w:val="004669FA"/>
    <w:rsid w:val="0047173A"/>
    <w:rsid w:val="00473D2E"/>
    <w:rsid w:val="00474636"/>
    <w:rsid w:val="004748F2"/>
    <w:rsid w:val="004816CE"/>
    <w:rsid w:val="00486143"/>
    <w:rsid w:val="004874A1"/>
    <w:rsid w:val="00487797"/>
    <w:rsid w:val="00487D47"/>
    <w:rsid w:val="00490A89"/>
    <w:rsid w:val="00493409"/>
    <w:rsid w:val="004A03F2"/>
    <w:rsid w:val="004A1297"/>
    <w:rsid w:val="004A20EB"/>
    <w:rsid w:val="004A22BE"/>
    <w:rsid w:val="004A45BF"/>
    <w:rsid w:val="004A6F10"/>
    <w:rsid w:val="004B0463"/>
    <w:rsid w:val="004B4053"/>
    <w:rsid w:val="004B5F28"/>
    <w:rsid w:val="004B751D"/>
    <w:rsid w:val="004B79D5"/>
    <w:rsid w:val="004C0428"/>
    <w:rsid w:val="004C089B"/>
    <w:rsid w:val="004C14A1"/>
    <w:rsid w:val="004C19EC"/>
    <w:rsid w:val="004C2F97"/>
    <w:rsid w:val="004C43B3"/>
    <w:rsid w:val="004C4FB1"/>
    <w:rsid w:val="004C50E3"/>
    <w:rsid w:val="004C5A62"/>
    <w:rsid w:val="004C7101"/>
    <w:rsid w:val="004D13ED"/>
    <w:rsid w:val="004D3AF6"/>
    <w:rsid w:val="004D46AF"/>
    <w:rsid w:val="004D5516"/>
    <w:rsid w:val="004D5568"/>
    <w:rsid w:val="004D64BD"/>
    <w:rsid w:val="004D7147"/>
    <w:rsid w:val="004D7B5E"/>
    <w:rsid w:val="004E0CA2"/>
    <w:rsid w:val="004E5973"/>
    <w:rsid w:val="004E5D1A"/>
    <w:rsid w:val="004E73E8"/>
    <w:rsid w:val="004F16E2"/>
    <w:rsid w:val="004F2C7C"/>
    <w:rsid w:val="004F4A00"/>
    <w:rsid w:val="004F63C4"/>
    <w:rsid w:val="0050783D"/>
    <w:rsid w:val="0051090F"/>
    <w:rsid w:val="00512D56"/>
    <w:rsid w:val="00514C1F"/>
    <w:rsid w:val="0051563C"/>
    <w:rsid w:val="00516246"/>
    <w:rsid w:val="00521F9F"/>
    <w:rsid w:val="00522FC8"/>
    <w:rsid w:val="00523602"/>
    <w:rsid w:val="00524A9A"/>
    <w:rsid w:val="00524D4E"/>
    <w:rsid w:val="0053046D"/>
    <w:rsid w:val="005347C3"/>
    <w:rsid w:val="0054066A"/>
    <w:rsid w:val="005430CC"/>
    <w:rsid w:val="005448C2"/>
    <w:rsid w:val="00545110"/>
    <w:rsid w:val="005459F7"/>
    <w:rsid w:val="00545E73"/>
    <w:rsid w:val="00546748"/>
    <w:rsid w:val="005473E4"/>
    <w:rsid w:val="00547D20"/>
    <w:rsid w:val="00551F27"/>
    <w:rsid w:val="00553A0C"/>
    <w:rsid w:val="0055471D"/>
    <w:rsid w:val="005547B1"/>
    <w:rsid w:val="00554E35"/>
    <w:rsid w:val="00555B76"/>
    <w:rsid w:val="00556C70"/>
    <w:rsid w:val="00561697"/>
    <w:rsid w:val="0056654F"/>
    <w:rsid w:val="00566DD6"/>
    <w:rsid w:val="00567AFA"/>
    <w:rsid w:val="005723C5"/>
    <w:rsid w:val="005738FA"/>
    <w:rsid w:val="0057400C"/>
    <w:rsid w:val="0057419E"/>
    <w:rsid w:val="005805E7"/>
    <w:rsid w:val="00583130"/>
    <w:rsid w:val="0059222E"/>
    <w:rsid w:val="00593444"/>
    <w:rsid w:val="0059372E"/>
    <w:rsid w:val="0059411B"/>
    <w:rsid w:val="00594B5F"/>
    <w:rsid w:val="00595C51"/>
    <w:rsid w:val="0059695B"/>
    <w:rsid w:val="005A1BA4"/>
    <w:rsid w:val="005A2736"/>
    <w:rsid w:val="005A47F7"/>
    <w:rsid w:val="005A50EC"/>
    <w:rsid w:val="005B11B1"/>
    <w:rsid w:val="005B1325"/>
    <w:rsid w:val="005C0087"/>
    <w:rsid w:val="005C105F"/>
    <w:rsid w:val="005C7EC8"/>
    <w:rsid w:val="005D3612"/>
    <w:rsid w:val="005D4806"/>
    <w:rsid w:val="005D50D1"/>
    <w:rsid w:val="005E15C9"/>
    <w:rsid w:val="005E1695"/>
    <w:rsid w:val="005E1F9C"/>
    <w:rsid w:val="005E2CCE"/>
    <w:rsid w:val="005E3221"/>
    <w:rsid w:val="005E578F"/>
    <w:rsid w:val="005E6513"/>
    <w:rsid w:val="005E7099"/>
    <w:rsid w:val="005F0AF4"/>
    <w:rsid w:val="005F236F"/>
    <w:rsid w:val="00601B6B"/>
    <w:rsid w:val="0060299F"/>
    <w:rsid w:val="00603646"/>
    <w:rsid w:val="00610165"/>
    <w:rsid w:val="00612C18"/>
    <w:rsid w:val="006144E3"/>
    <w:rsid w:val="00621FF7"/>
    <w:rsid w:val="0062254A"/>
    <w:rsid w:val="00626725"/>
    <w:rsid w:val="00627EB7"/>
    <w:rsid w:val="006310D4"/>
    <w:rsid w:val="006345E9"/>
    <w:rsid w:val="006358CB"/>
    <w:rsid w:val="00636FE0"/>
    <w:rsid w:val="006374B0"/>
    <w:rsid w:val="00637525"/>
    <w:rsid w:val="0064162F"/>
    <w:rsid w:val="00644A44"/>
    <w:rsid w:val="00645A0C"/>
    <w:rsid w:val="00645F5B"/>
    <w:rsid w:val="0064602E"/>
    <w:rsid w:val="00650895"/>
    <w:rsid w:val="006508A1"/>
    <w:rsid w:val="00652309"/>
    <w:rsid w:val="006560AA"/>
    <w:rsid w:val="0066014B"/>
    <w:rsid w:val="00660972"/>
    <w:rsid w:val="00662072"/>
    <w:rsid w:val="00664183"/>
    <w:rsid w:val="0066440E"/>
    <w:rsid w:val="00664689"/>
    <w:rsid w:val="006675F0"/>
    <w:rsid w:val="00667E80"/>
    <w:rsid w:val="00671042"/>
    <w:rsid w:val="00682396"/>
    <w:rsid w:val="006838D5"/>
    <w:rsid w:val="00687089"/>
    <w:rsid w:val="006873D2"/>
    <w:rsid w:val="00690627"/>
    <w:rsid w:val="006913D1"/>
    <w:rsid w:val="0069603F"/>
    <w:rsid w:val="006964BD"/>
    <w:rsid w:val="00696563"/>
    <w:rsid w:val="006A08CD"/>
    <w:rsid w:val="006A4F7D"/>
    <w:rsid w:val="006A6B06"/>
    <w:rsid w:val="006A706C"/>
    <w:rsid w:val="006A7736"/>
    <w:rsid w:val="006B744A"/>
    <w:rsid w:val="006C541A"/>
    <w:rsid w:val="006D0877"/>
    <w:rsid w:val="006D261B"/>
    <w:rsid w:val="006D4067"/>
    <w:rsid w:val="006D6E29"/>
    <w:rsid w:val="006D6E37"/>
    <w:rsid w:val="006D71B6"/>
    <w:rsid w:val="006E1930"/>
    <w:rsid w:val="006E45A4"/>
    <w:rsid w:val="006E578F"/>
    <w:rsid w:val="006E6045"/>
    <w:rsid w:val="006E6242"/>
    <w:rsid w:val="006E6EC2"/>
    <w:rsid w:val="006E76E0"/>
    <w:rsid w:val="006F2F0A"/>
    <w:rsid w:val="006F41BD"/>
    <w:rsid w:val="006F6DA4"/>
    <w:rsid w:val="006F7016"/>
    <w:rsid w:val="00701B0D"/>
    <w:rsid w:val="00703E6F"/>
    <w:rsid w:val="00710F13"/>
    <w:rsid w:val="00712300"/>
    <w:rsid w:val="007130BD"/>
    <w:rsid w:val="0071594B"/>
    <w:rsid w:val="007239E8"/>
    <w:rsid w:val="00724656"/>
    <w:rsid w:val="0072565F"/>
    <w:rsid w:val="00733143"/>
    <w:rsid w:val="00737791"/>
    <w:rsid w:val="00737C1C"/>
    <w:rsid w:val="0074425E"/>
    <w:rsid w:val="00750362"/>
    <w:rsid w:val="007513AE"/>
    <w:rsid w:val="007538C2"/>
    <w:rsid w:val="0075471F"/>
    <w:rsid w:val="007562DD"/>
    <w:rsid w:val="0075731F"/>
    <w:rsid w:val="0075733E"/>
    <w:rsid w:val="00762D76"/>
    <w:rsid w:val="00763F79"/>
    <w:rsid w:val="007650D8"/>
    <w:rsid w:val="00777BD7"/>
    <w:rsid w:val="0078058D"/>
    <w:rsid w:val="00783EB0"/>
    <w:rsid w:val="00784E00"/>
    <w:rsid w:val="007857BB"/>
    <w:rsid w:val="00786671"/>
    <w:rsid w:val="00787A1C"/>
    <w:rsid w:val="007902AB"/>
    <w:rsid w:val="00792374"/>
    <w:rsid w:val="007937C2"/>
    <w:rsid w:val="00793E57"/>
    <w:rsid w:val="00793EEC"/>
    <w:rsid w:val="00795037"/>
    <w:rsid w:val="007A025B"/>
    <w:rsid w:val="007A097E"/>
    <w:rsid w:val="007A14BE"/>
    <w:rsid w:val="007A1A5D"/>
    <w:rsid w:val="007A5AAD"/>
    <w:rsid w:val="007A7E71"/>
    <w:rsid w:val="007B0A61"/>
    <w:rsid w:val="007B40F6"/>
    <w:rsid w:val="007B4A4E"/>
    <w:rsid w:val="007B51A8"/>
    <w:rsid w:val="007C098B"/>
    <w:rsid w:val="007C43D4"/>
    <w:rsid w:val="007C46DC"/>
    <w:rsid w:val="007C5510"/>
    <w:rsid w:val="007D27E5"/>
    <w:rsid w:val="007D2A43"/>
    <w:rsid w:val="007D2D3A"/>
    <w:rsid w:val="007D45FF"/>
    <w:rsid w:val="007D4873"/>
    <w:rsid w:val="007D504E"/>
    <w:rsid w:val="007D6108"/>
    <w:rsid w:val="007D731A"/>
    <w:rsid w:val="007D7C98"/>
    <w:rsid w:val="007D7E47"/>
    <w:rsid w:val="007E0DA1"/>
    <w:rsid w:val="007E69A5"/>
    <w:rsid w:val="007E7AE5"/>
    <w:rsid w:val="007F131D"/>
    <w:rsid w:val="007F4424"/>
    <w:rsid w:val="007F6F56"/>
    <w:rsid w:val="007F7F4D"/>
    <w:rsid w:val="008002FF"/>
    <w:rsid w:val="008019F7"/>
    <w:rsid w:val="0080723E"/>
    <w:rsid w:val="00807321"/>
    <w:rsid w:val="0081123C"/>
    <w:rsid w:val="00815AFB"/>
    <w:rsid w:val="00815B90"/>
    <w:rsid w:val="00816348"/>
    <w:rsid w:val="00816E3B"/>
    <w:rsid w:val="008238A4"/>
    <w:rsid w:val="00825083"/>
    <w:rsid w:val="008269E4"/>
    <w:rsid w:val="00826FA1"/>
    <w:rsid w:val="00830C05"/>
    <w:rsid w:val="0083143F"/>
    <w:rsid w:val="00834101"/>
    <w:rsid w:val="008350A7"/>
    <w:rsid w:val="00846BC3"/>
    <w:rsid w:val="0085138D"/>
    <w:rsid w:val="00855782"/>
    <w:rsid w:val="00856E82"/>
    <w:rsid w:val="0085783D"/>
    <w:rsid w:val="00860520"/>
    <w:rsid w:val="008624F0"/>
    <w:rsid w:val="00863BBB"/>
    <w:rsid w:val="00870216"/>
    <w:rsid w:val="00873043"/>
    <w:rsid w:val="00874BC2"/>
    <w:rsid w:val="00881776"/>
    <w:rsid w:val="008817F1"/>
    <w:rsid w:val="0088721C"/>
    <w:rsid w:val="00887230"/>
    <w:rsid w:val="00891F7B"/>
    <w:rsid w:val="0089456B"/>
    <w:rsid w:val="008960BD"/>
    <w:rsid w:val="0089621F"/>
    <w:rsid w:val="00896E32"/>
    <w:rsid w:val="008A06C1"/>
    <w:rsid w:val="008A237A"/>
    <w:rsid w:val="008B08E0"/>
    <w:rsid w:val="008B0BE7"/>
    <w:rsid w:val="008B4602"/>
    <w:rsid w:val="008C5C6F"/>
    <w:rsid w:val="008D15D1"/>
    <w:rsid w:val="008D349D"/>
    <w:rsid w:val="008D34F6"/>
    <w:rsid w:val="008D44CA"/>
    <w:rsid w:val="008D51AA"/>
    <w:rsid w:val="008D5674"/>
    <w:rsid w:val="008D58CD"/>
    <w:rsid w:val="008D59CB"/>
    <w:rsid w:val="008E1B67"/>
    <w:rsid w:val="008E2AE7"/>
    <w:rsid w:val="008E6AD1"/>
    <w:rsid w:val="008E6D1D"/>
    <w:rsid w:val="008F2DD7"/>
    <w:rsid w:val="008F45FB"/>
    <w:rsid w:val="00900483"/>
    <w:rsid w:val="009005B1"/>
    <w:rsid w:val="00900A61"/>
    <w:rsid w:val="00901340"/>
    <w:rsid w:val="0090363C"/>
    <w:rsid w:val="00910249"/>
    <w:rsid w:val="00911438"/>
    <w:rsid w:val="00913B9C"/>
    <w:rsid w:val="00916556"/>
    <w:rsid w:val="00921773"/>
    <w:rsid w:val="00922817"/>
    <w:rsid w:val="009237F5"/>
    <w:rsid w:val="00923CC9"/>
    <w:rsid w:val="00924C10"/>
    <w:rsid w:val="00925540"/>
    <w:rsid w:val="00925A73"/>
    <w:rsid w:val="00927409"/>
    <w:rsid w:val="0093372E"/>
    <w:rsid w:val="00934AAF"/>
    <w:rsid w:val="00935104"/>
    <w:rsid w:val="009366B3"/>
    <w:rsid w:val="009411AA"/>
    <w:rsid w:val="009414B6"/>
    <w:rsid w:val="0094184A"/>
    <w:rsid w:val="00942DB6"/>
    <w:rsid w:val="00946BA2"/>
    <w:rsid w:val="0094778C"/>
    <w:rsid w:val="00950D29"/>
    <w:rsid w:val="00951198"/>
    <w:rsid w:val="0095292F"/>
    <w:rsid w:val="00956987"/>
    <w:rsid w:val="0095716E"/>
    <w:rsid w:val="009645AC"/>
    <w:rsid w:val="00965B18"/>
    <w:rsid w:val="00966E5D"/>
    <w:rsid w:val="0097196D"/>
    <w:rsid w:val="0097210A"/>
    <w:rsid w:val="0097382C"/>
    <w:rsid w:val="00975345"/>
    <w:rsid w:val="0097670F"/>
    <w:rsid w:val="009805E1"/>
    <w:rsid w:val="00984AFD"/>
    <w:rsid w:val="00985571"/>
    <w:rsid w:val="00986E54"/>
    <w:rsid w:val="0098776D"/>
    <w:rsid w:val="009877CF"/>
    <w:rsid w:val="00990536"/>
    <w:rsid w:val="0099118D"/>
    <w:rsid w:val="00995DB3"/>
    <w:rsid w:val="009A0656"/>
    <w:rsid w:val="009A1CD2"/>
    <w:rsid w:val="009A31B6"/>
    <w:rsid w:val="009A55B3"/>
    <w:rsid w:val="009A76D5"/>
    <w:rsid w:val="009A7BFE"/>
    <w:rsid w:val="009B072C"/>
    <w:rsid w:val="009B21AD"/>
    <w:rsid w:val="009B2651"/>
    <w:rsid w:val="009B2946"/>
    <w:rsid w:val="009B2A53"/>
    <w:rsid w:val="009B2D6C"/>
    <w:rsid w:val="009B3C28"/>
    <w:rsid w:val="009B3DAE"/>
    <w:rsid w:val="009B4870"/>
    <w:rsid w:val="009B62B5"/>
    <w:rsid w:val="009C3355"/>
    <w:rsid w:val="009C5455"/>
    <w:rsid w:val="009D065B"/>
    <w:rsid w:val="009D18F4"/>
    <w:rsid w:val="009D3FEF"/>
    <w:rsid w:val="009D69F1"/>
    <w:rsid w:val="009E0749"/>
    <w:rsid w:val="009E172B"/>
    <w:rsid w:val="009E3888"/>
    <w:rsid w:val="009E3993"/>
    <w:rsid w:val="009E3A90"/>
    <w:rsid w:val="009E426D"/>
    <w:rsid w:val="009E4BF2"/>
    <w:rsid w:val="009F0FA8"/>
    <w:rsid w:val="009F146D"/>
    <w:rsid w:val="009F533B"/>
    <w:rsid w:val="00A0243E"/>
    <w:rsid w:val="00A02F8C"/>
    <w:rsid w:val="00A043F7"/>
    <w:rsid w:val="00A07BD7"/>
    <w:rsid w:val="00A100E6"/>
    <w:rsid w:val="00A10714"/>
    <w:rsid w:val="00A108D6"/>
    <w:rsid w:val="00A10C3A"/>
    <w:rsid w:val="00A11406"/>
    <w:rsid w:val="00A1373B"/>
    <w:rsid w:val="00A23737"/>
    <w:rsid w:val="00A23C38"/>
    <w:rsid w:val="00A2415D"/>
    <w:rsid w:val="00A2563B"/>
    <w:rsid w:val="00A27083"/>
    <w:rsid w:val="00A307C7"/>
    <w:rsid w:val="00A30F97"/>
    <w:rsid w:val="00A34504"/>
    <w:rsid w:val="00A36034"/>
    <w:rsid w:val="00A363D0"/>
    <w:rsid w:val="00A46DFA"/>
    <w:rsid w:val="00A479AB"/>
    <w:rsid w:val="00A5055B"/>
    <w:rsid w:val="00A51765"/>
    <w:rsid w:val="00A52C01"/>
    <w:rsid w:val="00A542FC"/>
    <w:rsid w:val="00A54E0A"/>
    <w:rsid w:val="00A55599"/>
    <w:rsid w:val="00A56303"/>
    <w:rsid w:val="00A56418"/>
    <w:rsid w:val="00A56CC3"/>
    <w:rsid w:val="00A6149B"/>
    <w:rsid w:val="00A616F0"/>
    <w:rsid w:val="00A6302C"/>
    <w:rsid w:val="00A6385D"/>
    <w:rsid w:val="00A729D5"/>
    <w:rsid w:val="00A73E49"/>
    <w:rsid w:val="00A74438"/>
    <w:rsid w:val="00A759D6"/>
    <w:rsid w:val="00A75A25"/>
    <w:rsid w:val="00A82BC2"/>
    <w:rsid w:val="00A836F2"/>
    <w:rsid w:val="00A85D28"/>
    <w:rsid w:val="00A86784"/>
    <w:rsid w:val="00A87AC7"/>
    <w:rsid w:val="00A91F7A"/>
    <w:rsid w:val="00A923CC"/>
    <w:rsid w:val="00A9296D"/>
    <w:rsid w:val="00A92BB3"/>
    <w:rsid w:val="00A944CD"/>
    <w:rsid w:val="00A95290"/>
    <w:rsid w:val="00A97A29"/>
    <w:rsid w:val="00AA15AA"/>
    <w:rsid w:val="00AA32CF"/>
    <w:rsid w:val="00AB4883"/>
    <w:rsid w:val="00AB58CC"/>
    <w:rsid w:val="00AC1DD7"/>
    <w:rsid w:val="00AC1F4F"/>
    <w:rsid w:val="00AC4120"/>
    <w:rsid w:val="00AC67D5"/>
    <w:rsid w:val="00AC7275"/>
    <w:rsid w:val="00AD1146"/>
    <w:rsid w:val="00AD2A30"/>
    <w:rsid w:val="00AD4455"/>
    <w:rsid w:val="00AD4BF2"/>
    <w:rsid w:val="00AE0171"/>
    <w:rsid w:val="00AE0319"/>
    <w:rsid w:val="00AE28C3"/>
    <w:rsid w:val="00AE471B"/>
    <w:rsid w:val="00AE4D8C"/>
    <w:rsid w:val="00AE50E8"/>
    <w:rsid w:val="00AE588E"/>
    <w:rsid w:val="00AE5F3E"/>
    <w:rsid w:val="00AE7ABD"/>
    <w:rsid w:val="00AF1744"/>
    <w:rsid w:val="00B00B57"/>
    <w:rsid w:val="00B02244"/>
    <w:rsid w:val="00B0538A"/>
    <w:rsid w:val="00B059E9"/>
    <w:rsid w:val="00B0603F"/>
    <w:rsid w:val="00B077FE"/>
    <w:rsid w:val="00B118E9"/>
    <w:rsid w:val="00B118EB"/>
    <w:rsid w:val="00B12328"/>
    <w:rsid w:val="00B12A69"/>
    <w:rsid w:val="00B12D57"/>
    <w:rsid w:val="00B134F1"/>
    <w:rsid w:val="00B13FB9"/>
    <w:rsid w:val="00B1497C"/>
    <w:rsid w:val="00B20259"/>
    <w:rsid w:val="00B2608F"/>
    <w:rsid w:val="00B267B8"/>
    <w:rsid w:val="00B3166D"/>
    <w:rsid w:val="00B32349"/>
    <w:rsid w:val="00B32509"/>
    <w:rsid w:val="00B330C4"/>
    <w:rsid w:val="00B330C5"/>
    <w:rsid w:val="00B3331F"/>
    <w:rsid w:val="00B3340E"/>
    <w:rsid w:val="00B36072"/>
    <w:rsid w:val="00B36838"/>
    <w:rsid w:val="00B36DAD"/>
    <w:rsid w:val="00B41869"/>
    <w:rsid w:val="00B438A0"/>
    <w:rsid w:val="00B47798"/>
    <w:rsid w:val="00B47DAA"/>
    <w:rsid w:val="00B5268F"/>
    <w:rsid w:val="00B53786"/>
    <w:rsid w:val="00B53C18"/>
    <w:rsid w:val="00B66010"/>
    <w:rsid w:val="00B6737F"/>
    <w:rsid w:val="00B67796"/>
    <w:rsid w:val="00B744FD"/>
    <w:rsid w:val="00B745F9"/>
    <w:rsid w:val="00B75994"/>
    <w:rsid w:val="00B7682C"/>
    <w:rsid w:val="00B76F72"/>
    <w:rsid w:val="00B77251"/>
    <w:rsid w:val="00B816FE"/>
    <w:rsid w:val="00B82B34"/>
    <w:rsid w:val="00B855C3"/>
    <w:rsid w:val="00B857BC"/>
    <w:rsid w:val="00B90A00"/>
    <w:rsid w:val="00B92A96"/>
    <w:rsid w:val="00B92CCC"/>
    <w:rsid w:val="00B958A9"/>
    <w:rsid w:val="00B97067"/>
    <w:rsid w:val="00B975DE"/>
    <w:rsid w:val="00BA2C7E"/>
    <w:rsid w:val="00BA397B"/>
    <w:rsid w:val="00BB1055"/>
    <w:rsid w:val="00BB134F"/>
    <w:rsid w:val="00BB2426"/>
    <w:rsid w:val="00BB39CB"/>
    <w:rsid w:val="00BB3E6A"/>
    <w:rsid w:val="00BB4248"/>
    <w:rsid w:val="00BB4BFB"/>
    <w:rsid w:val="00BB4E3B"/>
    <w:rsid w:val="00BB61E9"/>
    <w:rsid w:val="00BC07B2"/>
    <w:rsid w:val="00BC0F82"/>
    <w:rsid w:val="00BC3B8D"/>
    <w:rsid w:val="00BC46D7"/>
    <w:rsid w:val="00BC7499"/>
    <w:rsid w:val="00BD30FC"/>
    <w:rsid w:val="00BD377E"/>
    <w:rsid w:val="00BD420E"/>
    <w:rsid w:val="00BD488F"/>
    <w:rsid w:val="00BD4AD2"/>
    <w:rsid w:val="00BD79CF"/>
    <w:rsid w:val="00BD7FBE"/>
    <w:rsid w:val="00BE0EC7"/>
    <w:rsid w:val="00BE13BC"/>
    <w:rsid w:val="00BE2B72"/>
    <w:rsid w:val="00BE540F"/>
    <w:rsid w:val="00BE57C8"/>
    <w:rsid w:val="00BE6987"/>
    <w:rsid w:val="00BE6DD4"/>
    <w:rsid w:val="00BF04E4"/>
    <w:rsid w:val="00BF1490"/>
    <w:rsid w:val="00BF3998"/>
    <w:rsid w:val="00BF6C91"/>
    <w:rsid w:val="00BF7EBF"/>
    <w:rsid w:val="00C0001A"/>
    <w:rsid w:val="00C030DD"/>
    <w:rsid w:val="00C0398C"/>
    <w:rsid w:val="00C03E10"/>
    <w:rsid w:val="00C04992"/>
    <w:rsid w:val="00C05B05"/>
    <w:rsid w:val="00C05D60"/>
    <w:rsid w:val="00C06CE7"/>
    <w:rsid w:val="00C121D2"/>
    <w:rsid w:val="00C176D1"/>
    <w:rsid w:val="00C202D2"/>
    <w:rsid w:val="00C20DF5"/>
    <w:rsid w:val="00C231ED"/>
    <w:rsid w:val="00C23B17"/>
    <w:rsid w:val="00C24ED9"/>
    <w:rsid w:val="00C31463"/>
    <w:rsid w:val="00C32AC9"/>
    <w:rsid w:val="00C3330E"/>
    <w:rsid w:val="00C366D5"/>
    <w:rsid w:val="00C36DCF"/>
    <w:rsid w:val="00C40B3C"/>
    <w:rsid w:val="00C41EFF"/>
    <w:rsid w:val="00C43157"/>
    <w:rsid w:val="00C43F00"/>
    <w:rsid w:val="00C44A5C"/>
    <w:rsid w:val="00C469B4"/>
    <w:rsid w:val="00C46B58"/>
    <w:rsid w:val="00C51081"/>
    <w:rsid w:val="00C51128"/>
    <w:rsid w:val="00C51574"/>
    <w:rsid w:val="00C52544"/>
    <w:rsid w:val="00C52728"/>
    <w:rsid w:val="00C53451"/>
    <w:rsid w:val="00C562FE"/>
    <w:rsid w:val="00C60E04"/>
    <w:rsid w:val="00C63008"/>
    <w:rsid w:val="00C63B26"/>
    <w:rsid w:val="00C708F7"/>
    <w:rsid w:val="00C738B7"/>
    <w:rsid w:val="00C740A4"/>
    <w:rsid w:val="00C80B31"/>
    <w:rsid w:val="00C82508"/>
    <w:rsid w:val="00C85EAC"/>
    <w:rsid w:val="00C9180C"/>
    <w:rsid w:val="00C93BD4"/>
    <w:rsid w:val="00C9426B"/>
    <w:rsid w:val="00C942B3"/>
    <w:rsid w:val="00C94494"/>
    <w:rsid w:val="00C9497A"/>
    <w:rsid w:val="00C9717F"/>
    <w:rsid w:val="00CA2B16"/>
    <w:rsid w:val="00CA334E"/>
    <w:rsid w:val="00CA45CC"/>
    <w:rsid w:val="00CA746B"/>
    <w:rsid w:val="00CB11F4"/>
    <w:rsid w:val="00CB4E91"/>
    <w:rsid w:val="00CB65E6"/>
    <w:rsid w:val="00CB7A5C"/>
    <w:rsid w:val="00CC15F0"/>
    <w:rsid w:val="00CC3A05"/>
    <w:rsid w:val="00CC3F7A"/>
    <w:rsid w:val="00CC4E1D"/>
    <w:rsid w:val="00CD018F"/>
    <w:rsid w:val="00CD1372"/>
    <w:rsid w:val="00CD18D0"/>
    <w:rsid w:val="00CD5FAF"/>
    <w:rsid w:val="00CE0944"/>
    <w:rsid w:val="00CE38FB"/>
    <w:rsid w:val="00CF17D3"/>
    <w:rsid w:val="00CF1C85"/>
    <w:rsid w:val="00CF3051"/>
    <w:rsid w:val="00CF41F8"/>
    <w:rsid w:val="00D00EE4"/>
    <w:rsid w:val="00D041F9"/>
    <w:rsid w:val="00D045CC"/>
    <w:rsid w:val="00D0508D"/>
    <w:rsid w:val="00D0614C"/>
    <w:rsid w:val="00D07593"/>
    <w:rsid w:val="00D1086F"/>
    <w:rsid w:val="00D11243"/>
    <w:rsid w:val="00D120D3"/>
    <w:rsid w:val="00D1293A"/>
    <w:rsid w:val="00D12BC5"/>
    <w:rsid w:val="00D152EA"/>
    <w:rsid w:val="00D153C4"/>
    <w:rsid w:val="00D173FB"/>
    <w:rsid w:val="00D1753F"/>
    <w:rsid w:val="00D20667"/>
    <w:rsid w:val="00D24952"/>
    <w:rsid w:val="00D25177"/>
    <w:rsid w:val="00D2537D"/>
    <w:rsid w:val="00D262A0"/>
    <w:rsid w:val="00D27317"/>
    <w:rsid w:val="00D3064F"/>
    <w:rsid w:val="00D33854"/>
    <w:rsid w:val="00D34924"/>
    <w:rsid w:val="00D34DED"/>
    <w:rsid w:val="00D374C2"/>
    <w:rsid w:val="00D40257"/>
    <w:rsid w:val="00D421DE"/>
    <w:rsid w:val="00D4266E"/>
    <w:rsid w:val="00D446F7"/>
    <w:rsid w:val="00D456DB"/>
    <w:rsid w:val="00D45EAC"/>
    <w:rsid w:val="00D5110C"/>
    <w:rsid w:val="00D51580"/>
    <w:rsid w:val="00D51EEA"/>
    <w:rsid w:val="00D5562B"/>
    <w:rsid w:val="00D55DCE"/>
    <w:rsid w:val="00D611AF"/>
    <w:rsid w:val="00D70390"/>
    <w:rsid w:val="00D7059B"/>
    <w:rsid w:val="00D74E03"/>
    <w:rsid w:val="00D76E0F"/>
    <w:rsid w:val="00D82AC6"/>
    <w:rsid w:val="00D85DEF"/>
    <w:rsid w:val="00D86FF1"/>
    <w:rsid w:val="00D8718F"/>
    <w:rsid w:val="00D87447"/>
    <w:rsid w:val="00D91308"/>
    <w:rsid w:val="00D92E73"/>
    <w:rsid w:val="00D94326"/>
    <w:rsid w:val="00D95DD6"/>
    <w:rsid w:val="00D9608E"/>
    <w:rsid w:val="00D969B2"/>
    <w:rsid w:val="00D96D1C"/>
    <w:rsid w:val="00DA0002"/>
    <w:rsid w:val="00DA1C8E"/>
    <w:rsid w:val="00DA54B5"/>
    <w:rsid w:val="00DA7213"/>
    <w:rsid w:val="00DA7C5A"/>
    <w:rsid w:val="00DB4201"/>
    <w:rsid w:val="00DB4461"/>
    <w:rsid w:val="00DB4A1A"/>
    <w:rsid w:val="00DB5FFF"/>
    <w:rsid w:val="00DB668B"/>
    <w:rsid w:val="00DC2069"/>
    <w:rsid w:val="00DC2912"/>
    <w:rsid w:val="00DC3A7A"/>
    <w:rsid w:val="00DC3DAA"/>
    <w:rsid w:val="00DC680D"/>
    <w:rsid w:val="00DC69B0"/>
    <w:rsid w:val="00DC70C3"/>
    <w:rsid w:val="00DC7BD2"/>
    <w:rsid w:val="00DD102D"/>
    <w:rsid w:val="00DE1A3F"/>
    <w:rsid w:val="00DE2AE9"/>
    <w:rsid w:val="00DE420B"/>
    <w:rsid w:val="00DE6D21"/>
    <w:rsid w:val="00DE7AC2"/>
    <w:rsid w:val="00DF1F8C"/>
    <w:rsid w:val="00DF7259"/>
    <w:rsid w:val="00DF74F0"/>
    <w:rsid w:val="00E01F1C"/>
    <w:rsid w:val="00E021A6"/>
    <w:rsid w:val="00E03231"/>
    <w:rsid w:val="00E07645"/>
    <w:rsid w:val="00E15C99"/>
    <w:rsid w:val="00E15D9E"/>
    <w:rsid w:val="00E17F61"/>
    <w:rsid w:val="00E20CE0"/>
    <w:rsid w:val="00E22C43"/>
    <w:rsid w:val="00E23995"/>
    <w:rsid w:val="00E23FDB"/>
    <w:rsid w:val="00E27F02"/>
    <w:rsid w:val="00E32171"/>
    <w:rsid w:val="00E33360"/>
    <w:rsid w:val="00E40E34"/>
    <w:rsid w:val="00E418CC"/>
    <w:rsid w:val="00E41B71"/>
    <w:rsid w:val="00E41CC3"/>
    <w:rsid w:val="00E426CD"/>
    <w:rsid w:val="00E50078"/>
    <w:rsid w:val="00E63309"/>
    <w:rsid w:val="00E6709F"/>
    <w:rsid w:val="00E7002A"/>
    <w:rsid w:val="00E70B0A"/>
    <w:rsid w:val="00E70E7F"/>
    <w:rsid w:val="00E720C7"/>
    <w:rsid w:val="00E73FD5"/>
    <w:rsid w:val="00E7603D"/>
    <w:rsid w:val="00E81440"/>
    <w:rsid w:val="00E81F3F"/>
    <w:rsid w:val="00E83368"/>
    <w:rsid w:val="00E84714"/>
    <w:rsid w:val="00E878DB"/>
    <w:rsid w:val="00E91C0C"/>
    <w:rsid w:val="00E91D7E"/>
    <w:rsid w:val="00E94BF9"/>
    <w:rsid w:val="00E95333"/>
    <w:rsid w:val="00E97E4E"/>
    <w:rsid w:val="00EA0165"/>
    <w:rsid w:val="00EA172A"/>
    <w:rsid w:val="00EA3554"/>
    <w:rsid w:val="00EA3A8E"/>
    <w:rsid w:val="00EA5EC9"/>
    <w:rsid w:val="00EB0527"/>
    <w:rsid w:val="00EB0F00"/>
    <w:rsid w:val="00EB1006"/>
    <w:rsid w:val="00EB1FC3"/>
    <w:rsid w:val="00EB3670"/>
    <w:rsid w:val="00EB5534"/>
    <w:rsid w:val="00EB6A53"/>
    <w:rsid w:val="00EB6D7A"/>
    <w:rsid w:val="00EC23A6"/>
    <w:rsid w:val="00EC54FA"/>
    <w:rsid w:val="00EC5A65"/>
    <w:rsid w:val="00EC5D1F"/>
    <w:rsid w:val="00EC64FC"/>
    <w:rsid w:val="00EC660C"/>
    <w:rsid w:val="00EC78B6"/>
    <w:rsid w:val="00EC7D34"/>
    <w:rsid w:val="00ED0B57"/>
    <w:rsid w:val="00ED117F"/>
    <w:rsid w:val="00ED15AC"/>
    <w:rsid w:val="00ED1FE3"/>
    <w:rsid w:val="00ED2DBC"/>
    <w:rsid w:val="00ED2E8F"/>
    <w:rsid w:val="00ED3BCA"/>
    <w:rsid w:val="00ED59C8"/>
    <w:rsid w:val="00ED6074"/>
    <w:rsid w:val="00ED6388"/>
    <w:rsid w:val="00ED713B"/>
    <w:rsid w:val="00EE04B6"/>
    <w:rsid w:val="00EE1B6B"/>
    <w:rsid w:val="00EE2CD3"/>
    <w:rsid w:val="00EE4C16"/>
    <w:rsid w:val="00EE52AB"/>
    <w:rsid w:val="00EE5373"/>
    <w:rsid w:val="00EE56F8"/>
    <w:rsid w:val="00EE6798"/>
    <w:rsid w:val="00EE7BAB"/>
    <w:rsid w:val="00EF5723"/>
    <w:rsid w:val="00F002C7"/>
    <w:rsid w:val="00F0202A"/>
    <w:rsid w:val="00F029B8"/>
    <w:rsid w:val="00F04A7F"/>
    <w:rsid w:val="00F058DF"/>
    <w:rsid w:val="00F05988"/>
    <w:rsid w:val="00F11FA2"/>
    <w:rsid w:val="00F13445"/>
    <w:rsid w:val="00F17302"/>
    <w:rsid w:val="00F17AF7"/>
    <w:rsid w:val="00F21CF6"/>
    <w:rsid w:val="00F253CC"/>
    <w:rsid w:val="00F26B52"/>
    <w:rsid w:val="00F272BD"/>
    <w:rsid w:val="00F27E58"/>
    <w:rsid w:val="00F31E63"/>
    <w:rsid w:val="00F34E6B"/>
    <w:rsid w:val="00F35020"/>
    <w:rsid w:val="00F37098"/>
    <w:rsid w:val="00F376A6"/>
    <w:rsid w:val="00F419A1"/>
    <w:rsid w:val="00F45833"/>
    <w:rsid w:val="00F53F68"/>
    <w:rsid w:val="00F5727B"/>
    <w:rsid w:val="00F612E2"/>
    <w:rsid w:val="00F65487"/>
    <w:rsid w:val="00F70302"/>
    <w:rsid w:val="00F71F05"/>
    <w:rsid w:val="00F75227"/>
    <w:rsid w:val="00F764E7"/>
    <w:rsid w:val="00F803E3"/>
    <w:rsid w:val="00F8128D"/>
    <w:rsid w:val="00F81451"/>
    <w:rsid w:val="00F85A70"/>
    <w:rsid w:val="00F8687B"/>
    <w:rsid w:val="00F90BA3"/>
    <w:rsid w:val="00F91A76"/>
    <w:rsid w:val="00F91D74"/>
    <w:rsid w:val="00F91E8A"/>
    <w:rsid w:val="00F936EB"/>
    <w:rsid w:val="00F97BEB"/>
    <w:rsid w:val="00FA3EF8"/>
    <w:rsid w:val="00FA4C4F"/>
    <w:rsid w:val="00FA4EB5"/>
    <w:rsid w:val="00FB00E4"/>
    <w:rsid w:val="00FB1E99"/>
    <w:rsid w:val="00FB1F54"/>
    <w:rsid w:val="00FC237F"/>
    <w:rsid w:val="00FC5568"/>
    <w:rsid w:val="00FC5D05"/>
    <w:rsid w:val="00FC64F8"/>
    <w:rsid w:val="00FC6E32"/>
    <w:rsid w:val="00FC7A1A"/>
    <w:rsid w:val="00FD4157"/>
    <w:rsid w:val="00FD4CAE"/>
    <w:rsid w:val="00FD6397"/>
    <w:rsid w:val="00FD6DC5"/>
    <w:rsid w:val="00FE66A2"/>
    <w:rsid w:val="00FF2FCE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5A65"/>
    <w:rPr>
      <w:lang w:eastAsia="en-US"/>
    </w:rPr>
  </w:style>
  <w:style w:type="paragraph" w:styleId="Antrat1">
    <w:name w:val="heading 1"/>
    <w:basedOn w:val="prastasis"/>
    <w:next w:val="prastasis"/>
    <w:qFormat/>
    <w:rsid w:val="00EC5A65"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Antrat2">
    <w:name w:val="heading 2"/>
    <w:basedOn w:val="prastasis"/>
    <w:next w:val="prastasis"/>
    <w:qFormat/>
    <w:rsid w:val="00EC5A65"/>
    <w:pPr>
      <w:keepNext/>
      <w:jc w:val="center"/>
      <w:outlineLvl w:val="1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C5A65"/>
    <w:pPr>
      <w:keepNext/>
      <w:spacing w:line="360" w:lineRule="auto"/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C5A65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EC5A65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C5A65"/>
  </w:style>
  <w:style w:type="paragraph" w:styleId="Pagrindinistekstas">
    <w:name w:val="Body Text"/>
    <w:basedOn w:val="prastasis"/>
    <w:link w:val="PagrindinistekstasDiagrama"/>
    <w:rsid w:val="00EC5A65"/>
    <w:rPr>
      <w:rFonts w:ascii="TimesLT" w:hAnsi="TimesLT"/>
      <w:sz w:val="22"/>
    </w:rPr>
  </w:style>
  <w:style w:type="paragraph" w:styleId="Pavadinimas">
    <w:name w:val="Title"/>
    <w:basedOn w:val="prastasis"/>
    <w:qFormat/>
    <w:rsid w:val="00EC5A65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EC5A65"/>
    <w:pPr>
      <w:jc w:val="center"/>
    </w:pPr>
    <w:rPr>
      <w:b/>
      <w:sz w:val="28"/>
    </w:rPr>
  </w:style>
  <w:style w:type="paragraph" w:styleId="Pagrindiniotekstotrauka">
    <w:name w:val="Body Text Indent"/>
    <w:basedOn w:val="prastasis"/>
    <w:rsid w:val="00EC5A65"/>
    <w:pPr>
      <w:spacing w:before="120"/>
      <w:ind w:left="4536"/>
      <w:jc w:val="center"/>
    </w:pPr>
    <w:rPr>
      <w:sz w:val="24"/>
    </w:rPr>
  </w:style>
  <w:style w:type="paragraph" w:styleId="Pagrindinistekstas2">
    <w:name w:val="Body Text 2"/>
    <w:basedOn w:val="prastasis"/>
    <w:rsid w:val="00EC5A65"/>
    <w:pPr>
      <w:spacing w:line="360" w:lineRule="auto"/>
      <w:jc w:val="both"/>
    </w:pPr>
    <w:rPr>
      <w:sz w:val="24"/>
    </w:rPr>
  </w:style>
  <w:style w:type="paragraph" w:styleId="Pagrindinistekstas3">
    <w:name w:val="Body Text 3"/>
    <w:basedOn w:val="prastasis"/>
    <w:rsid w:val="00EC5A65"/>
    <w:pPr>
      <w:jc w:val="both"/>
    </w:pPr>
    <w:rPr>
      <w:b/>
      <w:sz w:val="24"/>
    </w:rPr>
  </w:style>
  <w:style w:type="paragraph" w:styleId="Debesliotekstas">
    <w:name w:val="Balloon Text"/>
    <w:basedOn w:val="prastasis"/>
    <w:semiHidden/>
    <w:rsid w:val="00EB0F00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6E6EC2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qFormat/>
    <w:rsid w:val="004070F0"/>
    <w:rPr>
      <w:b/>
      <w:bCs/>
    </w:rPr>
  </w:style>
  <w:style w:type="table" w:styleId="Lentelstinklelis">
    <w:name w:val="Table Grid"/>
    <w:basedOn w:val="prastojilentel"/>
    <w:rsid w:val="0055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blokas">
    <w:name w:val="Block Text"/>
    <w:basedOn w:val="prastasis"/>
    <w:rsid w:val="00763F79"/>
    <w:pPr>
      <w:ind w:left="-540" w:right="-1234" w:firstLine="1080"/>
      <w:jc w:val="both"/>
    </w:pPr>
    <w:rPr>
      <w:sz w:val="24"/>
      <w:szCs w:val="24"/>
    </w:rPr>
  </w:style>
  <w:style w:type="character" w:styleId="Komentaronuoroda">
    <w:name w:val="annotation reference"/>
    <w:semiHidden/>
    <w:rsid w:val="00763F79"/>
    <w:rPr>
      <w:sz w:val="16"/>
    </w:rPr>
  </w:style>
  <w:style w:type="paragraph" w:customStyle="1" w:styleId="DiagramaDiagrama2">
    <w:name w:val="Diagrama Diagrama2"/>
    <w:basedOn w:val="prastasis"/>
    <w:rsid w:val="00763F79"/>
    <w:pPr>
      <w:spacing w:after="160" w:line="240" w:lineRule="exact"/>
    </w:pPr>
    <w:rPr>
      <w:rFonts w:ascii="Tahoma" w:hAnsi="Tahoma"/>
      <w:lang w:val="en-US"/>
    </w:rPr>
  </w:style>
  <w:style w:type="character" w:customStyle="1" w:styleId="PagrindinistekstasDiagrama">
    <w:name w:val="Pagrindinis tekstas Diagrama"/>
    <w:link w:val="Pagrindinistekstas"/>
    <w:rsid w:val="00561697"/>
    <w:rPr>
      <w:rFonts w:ascii="TimesLT" w:hAnsi="TimesLT"/>
      <w:sz w:val="22"/>
      <w:lang w:val="lt-LT" w:eastAsia="en-US" w:bidi="ar-SA"/>
    </w:rPr>
  </w:style>
  <w:style w:type="character" w:customStyle="1" w:styleId="AntratsDiagrama">
    <w:name w:val="Antraštės Diagrama"/>
    <w:link w:val="Antrats"/>
    <w:uiPriority w:val="99"/>
    <w:rsid w:val="00CA45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5A65"/>
    <w:rPr>
      <w:lang w:eastAsia="en-US"/>
    </w:rPr>
  </w:style>
  <w:style w:type="paragraph" w:styleId="Antrat1">
    <w:name w:val="heading 1"/>
    <w:basedOn w:val="prastasis"/>
    <w:next w:val="prastasis"/>
    <w:qFormat/>
    <w:rsid w:val="00EC5A65"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Antrat2">
    <w:name w:val="heading 2"/>
    <w:basedOn w:val="prastasis"/>
    <w:next w:val="prastasis"/>
    <w:qFormat/>
    <w:rsid w:val="00EC5A65"/>
    <w:pPr>
      <w:keepNext/>
      <w:jc w:val="center"/>
      <w:outlineLvl w:val="1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C5A65"/>
    <w:pPr>
      <w:keepNext/>
      <w:spacing w:line="360" w:lineRule="auto"/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C5A65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EC5A65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C5A65"/>
  </w:style>
  <w:style w:type="paragraph" w:styleId="Pagrindinistekstas">
    <w:name w:val="Body Text"/>
    <w:basedOn w:val="prastasis"/>
    <w:link w:val="PagrindinistekstasDiagrama"/>
    <w:rsid w:val="00EC5A65"/>
    <w:rPr>
      <w:rFonts w:ascii="TimesLT" w:hAnsi="TimesLT"/>
      <w:sz w:val="22"/>
    </w:rPr>
  </w:style>
  <w:style w:type="paragraph" w:styleId="Pavadinimas">
    <w:name w:val="Title"/>
    <w:basedOn w:val="prastasis"/>
    <w:qFormat/>
    <w:rsid w:val="00EC5A65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EC5A65"/>
    <w:pPr>
      <w:jc w:val="center"/>
    </w:pPr>
    <w:rPr>
      <w:b/>
      <w:sz w:val="28"/>
    </w:rPr>
  </w:style>
  <w:style w:type="paragraph" w:styleId="Pagrindiniotekstotrauka">
    <w:name w:val="Body Text Indent"/>
    <w:basedOn w:val="prastasis"/>
    <w:rsid w:val="00EC5A65"/>
    <w:pPr>
      <w:spacing w:before="120"/>
      <w:ind w:left="4536"/>
      <w:jc w:val="center"/>
    </w:pPr>
    <w:rPr>
      <w:sz w:val="24"/>
    </w:rPr>
  </w:style>
  <w:style w:type="paragraph" w:styleId="Pagrindinistekstas2">
    <w:name w:val="Body Text 2"/>
    <w:basedOn w:val="prastasis"/>
    <w:rsid w:val="00EC5A65"/>
    <w:pPr>
      <w:spacing w:line="360" w:lineRule="auto"/>
      <w:jc w:val="both"/>
    </w:pPr>
    <w:rPr>
      <w:sz w:val="24"/>
    </w:rPr>
  </w:style>
  <w:style w:type="paragraph" w:styleId="Pagrindinistekstas3">
    <w:name w:val="Body Text 3"/>
    <w:basedOn w:val="prastasis"/>
    <w:rsid w:val="00EC5A65"/>
    <w:pPr>
      <w:jc w:val="both"/>
    </w:pPr>
    <w:rPr>
      <w:b/>
      <w:sz w:val="24"/>
    </w:rPr>
  </w:style>
  <w:style w:type="paragraph" w:styleId="Debesliotekstas">
    <w:name w:val="Balloon Text"/>
    <w:basedOn w:val="prastasis"/>
    <w:semiHidden/>
    <w:rsid w:val="00EB0F00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6E6EC2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qFormat/>
    <w:rsid w:val="004070F0"/>
    <w:rPr>
      <w:b/>
      <w:bCs/>
    </w:rPr>
  </w:style>
  <w:style w:type="table" w:styleId="Lentelstinklelis">
    <w:name w:val="Table Grid"/>
    <w:basedOn w:val="prastojilentel"/>
    <w:rsid w:val="0055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blokas">
    <w:name w:val="Block Text"/>
    <w:basedOn w:val="prastasis"/>
    <w:rsid w:val="00763F79"/>
    <w:pPr>
      <w:ind w:left="-540" w:right="-1234" w:firstLine="1080"/>
      <w:jc w:val="both"/>
    </w:pPr>
    <w:rPr>
      <w:sz w:val="24"/>
      <w:szCs w:val="24"/>
    </w:rPr>
  </w:style>
  <w:style w:type="character" w:styleId="Komentaronuoroda">
    <w:name w:val="annotation reference"/>
    <w:semiHidden/>
    <w:rsid w:val="00763F79"/>
    <w:rPr>
      <w:sz w:val="16"/>
    </w:rPr>
  </w:style>
  <w:style w:type="paragraph" w:customStyle="1" w:styleId="DiagramaDiagrama2">
    <w:name w:val="Diagrama Diagrama2"/>
    <w:basedOn w:val="prastasis"/>
    <w:rsid w:val="00763F79"/>
    <w:pPr>
      <w:spacing w:after="160" w:line="240" w:lineRule="exact"/>
    </w:pPr>
    <w:rPr>
      <w:rFonts w:ascii="Tahoma" w:hAnsi="Tahoma"/>
      <w:lang w:val="en-US"/>
    </w:rPr>
  </w:style>
  <w:style w:type="character" w:customStyle="1" w:styleId="PagrindinistekstasDiagrama">
    <w:name w:val="Pagrindinis tekstas Diagrama"/>
    <w:link w:val="Pagrindinistekstas"/>
    <w:rsid w:val="00561697"/>
    <w:rPr>
      <w:rFonts w:ascii="TimesLT" w:hAnsi="TimesLT"/>
      <w:sz w:val="22"/>
      <w:lang w:val="lt-LT" w:eastAsia="en-US" w:bidi="ar-SA"/>
    </w:rPr>
  </w:style>
  <w:style w:type="character" w:customStyle="1" w:styleId="AntratsDiagrama">
    <w:name w:val="Antraštės Diagrama"/>
    <w:link w:val="Antrats"/>
    <w:uiPriority w:val="99"/>
    <w:rsid w:val="00CA45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02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rgarita\AppData\Roaming\Microsoft\Excel\grafikai%202017%20analizei%20(version%202)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BSERVERIS\tamosauskiene_m\Ritos-fin\biudzeto%20vykdymo%20sprendimai%20ir%20medziaga\2017%20m.%20biudzeto%20vykdymas\grafikai%202017%20analizei%20.xls" TargetMode="External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BSERVERIS\tamosauskiene_m\Ritos-fin\biudzeto%20vykdymo%20sprendimai%20ir%20medziaga\2017%20m.%20biudzeto%20vykdymas\grafikai%202017%20analizei%20.xls" TargetMode="External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45845272206305"/>
          <c:y val="0.10028667326103775"/>
          <c:w val="0.40114613180515757"/>
          <c:h val="0.80229338608830203"/>
        </c:manualLayout>
      </c:layout>
      <c:doughnutChart>
        <c:varyColors val="1"/>
        <c:ser>
          <c:idx val="0"/>
          <c:order val="0"/>
          <c:explosion val="21"/>
          <c:dLbls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'Sheet1 (2)'!$A$7:$A$10</c:f>
              <c:strCache>
                <c:ptCount val="4"/>
                <c:pt idx="0">
                  <c:v>Gyventojų pajamų mokestis</c:v>
                </c:pt>
                <c:pt idx="1">
                  <c:v>Kiti mokesčiai</c:v>
                </c:pt>
                <c:pt idx="2">
                  <c:v>Dotacijos</c:v>
                </c:pt>
                <c:pt idx="3">
                  <c:v>Kitos pajamos</c:v>
                </c:pt>
              </c:strCache>
            </c:strRef>
          </c:cat>
          <c:val>
            <c:numRef>
              <c:f>'Sheet1 (2)'!$B$7:$B$10</c:f>
              <c:numCache>
                <c:formatCode>0.0</c:formatCode>
                <c:ptCount val="4"/>
                <c:pt idx="0">
                  <c:v>14.6</c:v>
                </c:pt>
                <c:pt idx="1">
                  <c:v>1.9</c:v>
                </c:pt>
                <c:pt idx="2">
                  <c:v>14.9</c:v>
                </c:pt>
                <c:pt idx="3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633245844269466"/>
          <c:y val="0.25501467183858656"/>
          <c:w val="0.24602819996337666"/>
          <c:h val="0.48601800881084556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738794435857804"/>
          <c:y val="1.5923583386809343E-2"/>
          <c:w val="0.70170015455950541"/>
          <c:h val="0.91082896972549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CC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grafikas_ploto!$A$4:$A$30</c:f>
              <c:strCache>
                <c:ptCount val="27"/>
                <c:pt idx="0">
                  <c:v>Specialiojo ugdymo centras</c:v>
                </c:pt>
                <c:pt idx="1">
                  <c:v>Platelių univ. daugiafunkcis c.</c:v>
                </c:pt>
                <c:pt idx="2">
                  <c:v>Didvyčių daugiafunkcis c.</c:v>
                </c:pt>
                <c:pt idx="3">
                  <c:v>Suaugusiųjų šviet. c.</c:v>
                </c:pt>
                <c:pt idx="4">
                  <c:v>Akademiko A.Jucio pagr. m.</c:v>
                </c:pt>
                <c:pt idx="5">
                  <c:v>Platelių gimnazija</c:v>
                </c:pt>
                <c:pt idx="6">
                  <c:v>Šateikių pagr.mokykla</c:v>
                </c:pt>
                <c:pt idx="7">
                  <c:v>Žem. Kalvarijos lopšel.darž.</c:v>
                </c:pt>
                <c:pt idx="8">
                  <c:v>Kulių gimnazija</c:v>
                </c:pt>
                <c:pt idx="9">
                  <c:v>Alsėdžių S.Narutavičiaus gimnazija</c:v>
                </c:pt>
                <c:pt idx="10">
                  <c:v>Lopšel.darž. "Vyturėlis"</c:v>
                </c:pt>
                <c:pt idx="11">
                  <c:v>Alsėdžių lopšel.darž.</c:v>
                </c:pt>
                <c:pt idx="12">
                  <c:v>Lopšel.darž."Rūtelė"</c:v>
                </c:pt>
                <c:pt idx="13">
                  <c:v>"Babrungo" pagr. mokykla</c:v>
                </c:pt>
                <c:pt idx="14">
                  <c:v>Prūsalių mokykla-darželis</c:v>
                </c:pt>
                <c:pt idx="15">
                  <c:v>Ž.Kalvarijos M.Valančiaus gimnazija</c:v>
                </c:pt>
                <c:pt idx="16">
                  <c:v>Lopšel.darž. "Saulutė"</c:v>
                </c:pt>
                <c:pt idx="17">
                  <c:v>"Saulės" gimnazija</c:v>
                </c:pt>
                <c:pt idx="18">
                  <c:v>Lopšel.darž. "Nykštukas"</c:v>
                </c:pt>
                <c:pt idx="19">
                  <c:v>Lopšel.darž. "Pasaka"</c:v>
                </c:pt>
                <c:pt idx="20">
                  <c:v>Lopš.d. "Raudonkepuraitė"</c:v>
                </c:pt>
                <c:pt idx="21">
                  <c:v>"Ryto"pagr. mokykla</c:v>
                </c:pt>
                <c:pt idx="22">
                  <c:v>Senamiesčio mokykla</c:v>
                </c:pt>
                <c:pt idx="23">
                  <c:v>Vysk. M.Valančiaus pradinė m.</c:v>
                </c:pt>
                <c:pt idx="24">
                  <c:v>M.Oginskio meno mok.</c:v>
                </c:pt>
                <c:pt idx="25">
                  <c:v>Platelių meno mok.</c:v>
                </c:pt>
                <c:pt idx="26">
                  <c:v>Sporto ir rekreac. centras</c:v>
                </c:pt>
              </c:strCache>
            </c:strRef>
          </c:cat>
          <c:val>
            <c:numRef>
              <c:f>grafikas_ploto!$B$4:$B$30</c:f>
              <c:numCache>
                <c:formatCode>0.0</c:formatCode>
                <c:ptCount val="27"/>
                <c:pt idx="0">
                  <c:v>97.4</c:v>
                </c:pt>
                <c:pt idx="1">
                  <c:v>37.799999999999997</c:v>
                </c:pt>
                <c:pt idx="2">
                  <c:v>36.9</c:v>
                </c:pt>
                <c:pt idx="3">
                  <c:v>30.5</c:v>
                </c:pt>
                <c:pt idx="4">
                  <c:v>28.7</c:v>
                </c:pt>
                <c:pt idx="5">
                  <c:v>28.4</c:v>
                </c:pt>
                <c:pt idx="6">
                  <c:v>27.8</c:v>
                </c:pt>
                <c:pt idx="7">
                  <c:v>19.5</c:v>
                </c:pt>
                <c:pt idx="8">
                  <c:v>17.5</c:v>
                </c:pt>
                <c:pt idx="9">
                  <c:v>17</c:v>
                </c:pt>
                <c:pt idx="10">
                  <c:v>16.399999999999999</c:v>
                </c:pt>
                <c:pt idx="11">
                  <c:v>16.3</c:v>
                </c:pt>
                <c:pt idx="12">
                  <c:v>14.7</c:v>
                </c:pt>
                <c:pt idx="13">
                  <c:v>14.4</c:v>
                </c:pt>
                <c:pt idx="14">
                  <c:v>14.3</c:v>
                </c:pt>
                <c:pt idx="15">
                  <c:v>14</c:v>
                </c:pt>
                <c:pt idx="16">
                  <c:v>12.2</c:v>
                </c:pt>
                <c:pt idx="17">
                  <c:v>11.8</c:v>
                </c:pt>
                <c:pt idx="18">
                  <c:v>10.9</c:v>
                </c:pt>
                <c:pt idx="19">
                  <c:v>10.3</c:v>
                </c:pt>
                <c:pt idx="20">
                  <c:v>9.5</c:v>
                </c:pt>
                <c:pt idx="21">
                  <c:v>8.5</c:v>
                </c:pt>
                <c:pt idx="22">
                  <c:v>7.6</c:v>
                </c:pt>
                <c:pt idx="23">
                  <c:v>5.8</c:v>
                </c:pt>
                <c:pt idx="24">
                  <c:v>5.4</c:v>
                </c:pt>
                <c:pt idx="25">
                  <c:v>3.2</c:v>
                </c:pt>
                <c:pt idx="26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00416"/>
        <c:axId val="71672960"/>
      </c:barChart>
      <c:catAx>
        <c:axId val="107900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71672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6729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07900416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Sheet4!$B$9</c:f>
              <c:strCache>
                <c:ptCount val="1"/>
                <c:pt idx="0">
                  <c:v>Paskolų likutis metų pabaigoje, tūkst. eurų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Sheet4!$C$8:$H$8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Sheet4!$C$9:$H$9</c:f>
              <c:numCache>
                <c:formatCode>General</c:formatCode>
                <c:ptCount val="6"/>
                <c:pt idx="0">
                  <c:v>5025.6000000000004</c:v>
                </c:pt>
                <c:pt idx="1">
                  <c:v>5116.8999999999996</c:v>
                </c:pt>
                <c:pt idx="2">
                  <c:v>5598.3</c:v>
                </c:pt>
                <c:pt idx="3">
                  <c:v>5740.1</c:v>
                </c:pt>
                <c:pt idx="4">
                  <c:v>5721</c:v>
                </c:pt>
                <c:pt idx="5">
                  <c:v>5680.7</c:v>
                </c:pt>
              </c:numCache>
            </c:numRef>
          </c:val>
        </c:ser>
        <c:ser>
          <c:idx val="1"/>
          <c:order val="1"/>
          <c:tx>
            <c:strRef>
              <c:f>Sheet4!$B$10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Sheet4!$C$8:$H$8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Sheet4!$C$10:$H$10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Sheet4!$B$11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Sheet4!$C$8:$H$8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Sheet4!$C$11:$H$11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Sheet4!$B$12</c:f>
              <c:strCache>
                <c:ptCount val="1"/>
                <c:pt idx="0">
                  <c:v>Palūkanų mokėjimas per metus, tūkst. eurų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Sheet4!$C$8:$H$8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Sheet4!$C$12:$H$12</c:f>
              <c:numCache>
                <c:formatCode>General</c:formatCode>
                <c:ptCount val="6"/>
                <c:pt idx="0">
                  <c:v>154.30000000000001</c:v>
                </c:pt>
                <c:pt idx="1">
                  <c:v>125.3</c:v>
                </c:pt>
                <c:pt idx="2">
                  <c:v>130.6</c:v>
                </c:pt>
                <c:pt idx="3">
                  <c:v>125.4</c:v>
                </c:pt>
                <c:pt idx="4">
                  <c:v>109.3</c:v>
                </c:pt>
                <c:pt idx="5">
                  <c:v>54.1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5334528"/>
        <c:axId val="71674688"/>
        <c:axId val="0"/>
      </c:bar3DChart>
      <c:catAx>
        <c:axId val="1253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674688"/>
        <c:crosses val="autoZero"/>
        <c:auto val="1"/>
        <c:lblAlgn val="ctr"/>
        <c:lblOffset val="100"/>
        <c:noMultiLvlLbl val="0"/>
      </c:catAx>
      <c:valAx>
        <c:axId val="7167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5334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695501730103809E-2"/>
          <c:y val="3.0470914127423823E-2"/>
          <c:w val="0.87716262975778547"/>
          <c:h val="0.753462603878116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Gyventojų pajamų mokestis </c:v>
                </c:pt>
              </c:strCache>
            </c:strRef>
          </c:tx>
          <c:spPr>
            <a:solidFill>
              <a:srgbClr val="99CC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10.5</c:v>
                </c:pt>
                <c:pt idx="1">
                  <c:v>12.3</c:v>
                </c:pt>
                <c:pt idx="2">
                  <c:v>13.5</c:v>
                </c:pt>
                <c:pt idx="3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Kiti mokesčiai</c:v>
                </c:pt>
              </c:strCache>
            </c:strRef>
          </c:tx>
          <c:spPr>
            <a:solidFill>
              <a:srgbClr val="3366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1.6</c:v>
                </c:pt>
                <c:pt idx="1">
                  <c:v>1.9</c:v>
                </c:pt>
                <c:pt idx="2">
                  <c:v>1.8</c:v>
                </c:pt>
                <c:pt idx="3">
                  <c:v>1.9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Dotacijos</c:v>
                </c:pt>
              </c:strCache>
            </c:strRef>
          </c:tx>
          <c:spPr>
            <a:solidFill>
              <a:srgbClr val="CC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12.8</c:v>
                </c:pt>
                <c:pt idx="1">
                  <c:v>13.3</c:v>
                </c:pt>
                <c:pt idx="2">
                  <c:v>13.8</c:v>
                </c:pt>
                <c:pt idx="3">
                  <c:v>14.9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Kitos pajamos</c:v>
                </c:pt>
              </c:strCache>
            </c:strRef>
          </c:tx>
          <c:spPr>
            <a:solidFill>
              <a:srgbClr val="3399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0.9</c:v>
                </c:pt>
                <c:pt idx="1">
                  <c:v>1</c:v>
                </c:pt>
                <c:pt idx="2">
                  <c:v>1.2</c:v>
                </c:pt>
                <c:pt idx="3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98368"/>
        <c:axId val="107766336"/>
      </c:barChart>
      <c:catAx>
        <c:axId val="10789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07766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766336"/>
        <c:scaling>
          <c:orientation val="minMax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07898368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27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path path="rect">
            <a:fillToRect l="50000" t="50000" r="50000" b="50000"/>
          </a:path>
        </a:gradFill>
        <a:ln w="3168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207612456747404"/>
          <c:y val="0.91689750692520777"/>
          <c:w val="0.85121107266435991"/>
          <c:h val="7.4792243767313013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382495948136148E-2"/>
          <c:y val="3.9568345323741004E-2"/>
          <c:w val="0.55105348460291737"/>
          <c:h val="0.7985611510791367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Savivaldybės biudžeto pajamų planas, tvirtinant biudžetą</c:v>
                </c:pt>
              </c:strCache>
            </c:strRef>
          </c:tx>
          <c:spPr>
            <a:solidFill>
              <a:srgbClr val="CCFF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24.92</c:v>
                </c:pt>
                <c:pt idx="1">
                  <c:v>24.95</c:v>
                </c:pt>
                <c:pt idx="2">
                  <c:v>27.8</c:v>
                </c:pt>
                <c:pt idx="3">
                  <c:v>28.5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Savivaldybės biudžeto pajamų patikslintas planas</c:v>
                </c:pt>
              </c:strCache>
            </c:strRef>
          </c:tx>
          <c:spPr>
            <a:solidFill>
              <a:srgbClr val="FFFF99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25.48</c:v>
                </c:pt>
                <c:pt idx="1">
                  <c:v>28.24</c:v>
                </c:pt>
                <c:pt idx="2">
                  <c:v>30.03</c:v>
                </c:pt>
                <c:pt idx="3">
                  <c:v>32.799999999999997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Savivaldybės biudžeto pajamų  plano įvykdymas</c:v>
                </c:pt>
              </c:strCache>
            </c:strRef>
          </c:tx>
          <c:spPr>
            <a:solidFill>
              <a:srgbClr val="0066CC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25.75</c:v>
                </c:pt>
                <c:pt idx="1">
                  <c:v>28.48</c:v>
                </c:pt>
                <c:pt idx="2">
                  <c:v>30.27</c:v>
                </c:pt>
                <c:pt idx="3">
                  <c:v>32.700000000000003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86208"/>
        <c:axId val="107769792"/>
      </c:barChart>
      <c:catAx>
        <c:axId val="125086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0776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769792"/>
        <c:scaling>
          <c:orientation val="minMax"/>
        </c:scaling>
        <c:delete val="0"/>
        <c:axPos val="b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508620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rect">
            <a:fillToRect l="50000" t="50000" r="50000" b="50000"/>
          </a:path>
        </a:gradFill>
        <a:ln w="316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826580226904379"/>
          <c:y val="9.7122302158273388E-2"/>
          <c:w val="0.28687196110210694"/>
          <c:h val="0.73381294964028776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51827242524917"/>
          <c:y val="3.6184210526315791E-2"/>
          <c:w val="0.82392026578073085"/>
          <c:h val="0.707236842105263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409390766769345E-2"/>
                  <c:y val="-2.37679821244995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809461930321899E-2"/>
                  <c:y val="-2.13008691572953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010659195165986E-2"/>
                  <c:y val="-1.5544282505880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240450083137901E-2"/>
                  <c:y val="-1.96561169070974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8239202657807305"/>
                  <c:y val="1.97368421052631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384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27.1</c:v>
                </c:pt>
                <c:pt idx="1">
                  <c:v>29.3</c:v>
                </c:pt>
                <c:pt idx="2">
                  <c:v>32.700000000000003</c:v>
                </c:pt>
                <c:pt idx="3">
                  <c:v>33.200000000000003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36064"/>
        <c:axId val="107771520"/>
      </c:barChart>
      <c:catAx>
        <c:axId val="1253360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lt-LT"/>
                  <a:t>metai</a:t>
                </a:r>
              </a:p>
            </c:rich>
          </c:tx>
          <c:layout>
            <c:manualLayout>
              <c:xMode val="edge"/>
              <c:yMode val="edge"/>
              <c:x val="1.8272425249169437E-2"/>
              <c:y val="0.32565789473684209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0777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771520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lt-LT"/>
                  <a:t>mln. eurų</a:t>
                </a:r>
              </a:p>
            </c:rich>
          </c:tx>
          <c:layout>
            <c:manualLayout>
              <c:xMode val="edge"/>
              <c:yMode val="edge"/>
              <c:x val="0.50664451827242529"/>
              <c:y val="0.86842105263157898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25336064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43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FFFF99" mc:Ignorable="a14" a14:legacySpreadsheetColorIndex="43"/>
            </a:gs>
          </a:gsLst>
          <a:lin ang="5400000" scaled="1"/>
        </a:gradFill>
        <a:ln w="3173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43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8433342383926"/>
          <c:y val="7.3021355285134815E-2"/>
          <c:w val="0.82527620599149243"/>
          <c:h val="0.6597014925373134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Darbo užmokestis(be soc. draudimo įmokų)</c:v>
                </c:pt>
              </c:strCache>
            </c:strRef>
          </c:tx>
          <c:invertIfNegative val="0"/>
          <c:dLbls>
            <c:spPr>
              <a:solidFill>
                <a:srgbClr val="FFFFCC"/>
              </a:solidFill>
              <a:ln w="253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Sheet3!$B$2:$E$2</c:f>
              <c:numCache>
                <c:formatCode>General</c:formatCode>
                <c:ptCount val="4"/>
                <c:pt idx="0">
                  <c:v>12.2</c:v>
                </c:pt>
                <c:pt idx="1">
                  <c:v>12.4</c:v>
                </c:pt>
                <c:pt idx="2">
                  <c:v>13.1</c:v>
                </c:pt>
                <c:pt idx="3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Turto įsigijimas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6408787010506206E-3"/>
                  <c:y val="2.3880597014925373E-2"/>
                </c:manualLayout>
              </c:layout>
              <c:spPr>
                <a:solidFill>
                  <a:srgbClr val="FFFF99"/>
                </a:solidFill>
                <a:ln w="3167">
                  <a:solidFill>
                    <a:srgbClr val="FFFF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534808865224226E-3"/>
                  <c:y val="2.1725388804011439E-2"/>
                </c:manualLayout>
              </c:layout>
              <c:spPr>
                <a:solidFill>
                  <a:srgbClr val="FFFF99"/>
                </a:solidFill>
                <a:ln w="3167">
                  <a:solidFill>
                    <a:srgbClr val="FFFF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793282644826989E-3"/>
                  <c:y val="2.9395385278332745E-2"/>
                </c:manualLayout>
              </c:layout>
              <c:spPr>
                <a:solidFill>
                  <a:srgbClr val="FFFF99"/>
                </a:solidFill>
                <a:ln w="3167">
                  <a:solidFill>
                    <a:srgbClr val="FFFF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3167">
                <a:solidFill>
                  <a:srgbClr val="FFFF00"/>
                </a:solidFill>
                <a:prstDash val="solid"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Sheet3!$B$3:$E$3</c:f>
              <c:numCache>
                <c:formatCode>General</c:formatCode>
                <c:ptCount val="4"/>
                <c:pt idx="0">
                  <c:v>3</c:v>
                </c:pt>
                <c:pt idx="1">
                  <c:v>3.8</c:v>
                </c:pt>
                <c:pt idx="2">
                  <c:v>6.6</c:v>
                </c:pt>
                <c:pt idx="3" formatCode="0.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Kitos išlaidos</c:v>
                </c:pt>
              </c:strCache>
            </c:strRef>
          </c:tx>
          <c:spPr>
            <a:solidFill>
              <a:srgbClr val="FFFFCC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0069264264603E-3"/>
                  <c:y val="-3.9804128961491757E-3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7.9601990049751239E-3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1940298507462687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306590257879654E-3"/>
                  <c:y val="-7.9601990049751239E-3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1940298507462687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Sheet3!$B$4:$E$4</c:f>
              <c:numCache>
                <c:formatCode>General</c:formatCode>
                <c:ptCount val="4"/>
                <c:pt idx="0">
                  <c:v>11.9</c:v>
                </c:pt>
                <c:pt idx="1">
                  <c:v>13.1</c:v>
                </c:pt>
                <c:pt idx="2" formatCode="0.0">
                  <c:v>13</c:v>
                </c:pt>
                <c:pt idx="3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085184"/>
        <c:axId val="125764160"/>
        <c:axId val="0"/>
      </c:bar3DChart>
      <c:catAx>
        <c:axId val="1250851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lt-LT"/>
                  <a:t>metai</a:t>
                </a:r>
              </a:p>
            </c:rich>
          </c:tx>
          <c:layout>
            <c:manualLayout>
              <c:xMode val="edge"/>
              <c:yMode val="edge"/>
              <c:x val="5.109831500070125E-2"/>
              <c:y val="0.37014908305628352"/>
            </c:manualLayout>
          </c:layout>
          <c:overlay val="0"/>
          <c:spPr>
            <a:noFill/>
            <a:ln w="2533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25764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764160"/>
        <c:scaling>
          <c:orientation val="minMax"/>
        </c:scaling>
        <c:delete val="0"/>
        <c:axPos val="b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lt-LT"/>
                  <a:t>mln. eurų</a:t>
                </a:r>
              </a:p>
            </c:rich>
          </c:tx>
          <c:layout>
            <c:manualLayout>
              <c:xMode val="edge"/>
              <c:yMode val="edge"/>
              <c:x val="0.44393869086974813"/>
              <c:y val="0.77852326290788898"/>
            </c:manualLayout>
          </c:layout>
          <c:overlay val="0"/>
          <c:spPr>
            <a:noFill/>
            <a:ln w="2533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125085184"/>
        <c:crosses val="autoZero"/>
        <c:crossBetween val="between"/>
      </c:valAx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14469916451283285"/>
          <c:y val="0.84634255276220649"/>
          <c:w val="0.65197747991424726"/>
          <c:h val="0.15365744723779351"/>
        </c:manualLayout>
      </c:layout>
      <c:overlay val="0"/>
      <c:spPr>
        <a:solidFill>
          <a:srgbClr val="FFFFFF"/>
        </a:solidFill>
        <a:ln w="3167">
          <a:noFill/>
          <a:prstDash val="solid"/>
        </a:ln>
      </c:spPr>
    </c:legend>
    <c:plotVisOnly val="1"/>
    <c:dispBlanksAs val="gap"/>
    <c:showDLblsOverMax val="0"/>
  </c:chart>
  <c:spPr>
    <a:gradFill rotWithShape="0"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/>
    </a:gradFill>
    <a:ln w="9502"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lt-L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972850678733032E-2"/>
          <c:y val="1.9662921348314606E-2"/>
          <c:w val="0.73303167420814475"/>
          <c:h val="0.75561797752808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Išlaidos, skirtos švietimui </c:v>
                </c:pt>
              </c:strCache>
            </c:strRef>
          </c:tx>
          <c:spPr>
            <a:solidFill>
              <a:srgbClr val="99CCFF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14.5</c:v>
                </c:pt>
                <c:pt idx="1">
                  <c:v>15.4</c:v>
                </c:pt>
                <c:pt idx="2">
                  <c:v>16.600000000000001</c:v>
                </c:pt>
                <c:pt idx="3">
                  <c:v>16.899999999999999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Išlaidos, skirtos soc. apsaugai</c:v>
                </c:pt>
              </c:strCache>
            </c:strRef>
          </c:tx>
          <c:spPr>
            <a:solidFill>
              <a:srgbClr val="FFCC00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2.8</c:v>
                </c:pt>
                <c:pt idx="1">
                  <c:v>3.3</c:v>
                </c:pt>
                <c:pt idx="2">
                  <c:v>3.1</c:v>
                </c:pt>
                <c:pt idx="3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76032"/>
        <c:axId val="125764736"/>
      </c:barChart>
      <c:catAx>
        <c:axId val="1256760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lt-LT"/>
                  <a:t>metai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342696629213483"/>
            </c:manualLayout>
          </c:layout>
          <c:overlay val="0"/>
          <c:spPr>
            <a:noFill/>
            <a:ln w="252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25764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764736"/>
        <c:scaling>
          <c:orientation val="minMax"/>
        </c:scaling>
        <c:delete val="0"/>
        <c:axPos val="b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ctr" rtl="1">
                  <a:defRPr sz="11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lt-LT"/>
                  <a:t>mln.eurų</a:t>
                </a:r>
              </a:p>
            </c:rich>
          </c:tx>
          <c:layout>
            <c:manualLayout>
              <c:xMode val="edge"/>
              <c:yMode val="edge"/>
              <c:x val="0.33182503770739064"/>
              <c:y val="0.8314606741573034"/>
            </c:manualLayout>
          </c:layout>
          <c:overlay val="0"/>
          <c:spPr>
            <a:noFill/>
            <a:ln w="252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25676032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FFFF99" mc:Ignorable="a14" a14:legacySpreadsheetColorIndex="43"/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path path="rect">
            <a:fillToRect l="50000" t="50000" r="50000" b="50000"/>
          </a:path>
        </a:gradFill>
        <a:ln w="12642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1266968325791855"/>
          <c:y val="0.9157303370786517"/>
          <c:w val="0.57164404223227749"/>
          <c:h val="7.5842696629213488E-2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045513382015026"/>
          <c:w val="0.64348484094418756"/>
          <c:h val="0.8247404648358517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dLbl>
              <c:idx val="0"/>
              <c:layout>
                <c:manualLayout>
                  <c:x val="-4.9760377931813642E-2"/>
                  <c:y val="7.12254995051681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7661292270760077E-2"/>
                  <c:y val="-5.0711067621570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45083839975472E-2"/>
                  <c:y val="-2.51855108474650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0010836890242111"/>
                  <c:y val="5.48822976550210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406705134863068"/>
                  <c:y val="9.098551255698555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4657093187984855E-2"/>
                  <c:y val="6.88303126229879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6780660114041326E-2"/>
                  <c:y val="0.130900400733904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7.5375344357563323E-2"/>
                  <c:y val="7.28185124718812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9.9888079303211072E-2"/>
                  <c:y val="-0.1410116570716731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411732490861638"/>
                  <c:y val="-0.121252758924533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7.3371985218265321E-3"/>
                  <c:y val="2.63877546280166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'Sheet2 (2)'!$A$1:$A$11</c:f>
              <c:strCache>
                <c:ptCount val="11"/>
                <c:pt idx="0">
                  <c:v>Bendros valstybės paslaugos -8,0</c:v>
                </c:pt>
                <c:pt idx="1">
                  <c:v>Gynyba - 0,1</c:v>
                </c:pt>
                <c:pt idx="2">
                  <c:v>Viešoji tvarka ir visuom. apsauga - 1,4</c:v>
                </c:pt>
                <c:pt idx="3">
                  <c:v>Ekonomika -9,1</c:v>
                </c:pt>
                <c:pt idx="4">
                  <c:v>Socialinė apsauga -9,7</c:v>
                </c:pt>
                <c:pt idx="5">
                  <c:v>Aplinkos apsauga -3,6</c:v>
                </c:pt>
                <c:pt idx="6">
                  <c:v>Būstas ir komunalinis ūkis - 2,9</c:v>
                </c:pt>
                <c:pt idx="7">
                  <c:v>Sveikatos apsauga - 1,8</c:v>
                </c:pt>
                <c:pt idx="8">
                  <c:v>Poilsis, kultūra ir religija - 10,2</c:v>
                </c:pt>
                <c:pt idx="9">
                  <c:v>Švietimas - 50,9</c:v>
                </c:pt>
                <c:pt idx="10">
                  <c:v>Finansiniai įsipareigojimai (paskolų grąžinimas) - 2,5</c:v>
                </c:pt>
              </c:strCache>
            </c:strRef>
          </c:cat>
          <c:val>
            <c:numRef>
              <c:f>'Sheet2 (2)'!$B$1:$B$11</c:f>
              <c:numCache>
                <c:formatCode>General</c:formatCode>
                <c:ptCount val="11"/>
                <c:pt idx="0">
                  <c:v>2652.8</c:v>
                </c:pt>
                <c:pt idx="1">
                  <c:v>21.6</c:v>
                </c:pt>
                <c:pt idx="2">
                  <c:v>465.2</c:v>
                </c:pt>
                <c:pt idx="3">
                  <c:v>3027.4</c:v>
                </c:pt>
                <c:pt idx="4">
                  <c:v>3214</c:v>
                </c:pt>
                <c:pt idx="5">
                  <c:v>1186.2</c:v>
                </c:pt>
                <c:pt idx="6">
                  <c:v>949.8</c:v>
                </c:pt>
                <c:pt idx="7">
                  <c:v>592.29999999999995</c:v>
                </c:pt>
                <c:pt idx="8">
                  <c:v>3392.9</c:v>
                </c:pt>
                <c:pt idx="9">
                  <c:v>16921.8</c:v>
                </c:pt>
                <c:pt idx="10">
                  <c:v>817.8</c:v>
                </c:pt>
              </c:numCache>
            </c:numRef>
          </c:val>
        </c:ser>
        <c:ser>
          <c:idx val="1"/>
          <c:order val="1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'Sheet2 (2)'!$A$1:$A$11</c:f>
              <c:strCache>
                <c:ptCount val="11"/>
                <c:pt idx="0">
                  <c:v>Bendros valstybės paslaugos -8,0</c:v>
                </c:pt>
                <c:pt idx="1">
                  <c:v>Gynyba - 0,1</c:v>
                </c:pt>
                <c:pt idx="2">
                  <c:v>Viešoji tvarka ir visuom. apsauga - 1,4</c:v>
                </c:pt>
                <c:pt idx="3">
                  <c:v>Ekonomika -9,1</c:v>
                </c:pt>
                <c:pt idx="4">
                  <c:v>Socialinė apsauga -9,7</c:v>
                </c:pt>
                <c:pt idx="5">
                  <c:v>Aplinkos apsauga -3,6</c:v>
                </c:pt>
                <c:pt idx="6">
                  <c:v>Būstas ir komunalinis ūkis - 2,9</c:v>
                </c:pt>
                <c:pt idx="7">
                  <c:v>Sveikatos apsauga - 1,8</c:v>
                </c:pt>
                <c:pt idx="8">
                  <c:v>Poilsis, kultūra ir religija - 10,2</c:v>
                </c:pt>
                <c:pt idx="9">
                  <c:v>Švietimas - 50,9</c:v>
                </c:pt>
                <c:pt idx="10">
                  <c:v>Finansiniai įsipareigojimai (paskolų grąžinimas) - 2,5</c:v>
                </c:pt>
              </c:strCache>
            </c:strRef>
          </c:cat>
          <c:val>
            <c:numRef>
              <c:f>'Sheet2 (2)'!$C$1:$C$11</c:f>
              <c:numCache>
                <c:formatCode>0.0</c:formatCode>
                <c:ptCount val="11"/>
                <c:pt idx="0">
                  <c:v>7.9803139420849645</c:v>
                </c:pt>
                <c:pt idx="1">
                  <c:v>6.4978430770896878E-2</c:v>
                </c:pt>
                <c:pt idx="2">
                  <c:v>1.399442870121353</c:v>
                </c:pt>
                <c:pt idx="3">
                  <c:v>9.1072083942506108</c:v>
                </c:pt>
                <c:pt idx="4">
                  <c:v>9.6685498378547479</c:v>
                </c:pt>
                <c:pt idx="5">
                  <c:v>3.5683988231684203</c:v>
                </c:pt>
                <c:pt idx="6">
                  <c:v>2.85724599750916</c:v>
                </c:pt>
                <c:pt idx="7">
                  <c:v>1.7817928030371397</c:v>
                </c:pt>
                <c:pt idx="8">
                  <c:v>10.206727674193335</c:v>
                </c:pt>
                <c:pt idx="9">
                  <c:v>50.905185639766792</c:v>
                </c:pt>
                <c:pt idx="10">
                  <c:v>2.4601555872425678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46319583186431"/>
          <c:y val="8.0582909437205308E-2"/>
          <c:w val="0.33153680416813569"/>
          <c:h val="0.8388338094906280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738794435857804"/>
          <c:y val="1.6094420600858368E-2"/>
          <c:w val="0.70170015455950541"/>
          <c:h val="0.9109442060085837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CC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grafikas_visu!$A$1:$A$27</c:f>
              <c:strCache>
                <c:ptCount val="27"/>
                <c:pt idx="0">
                  <c:v>Sporto ir rekreac. centras</c:v>
                </c:pt>
                <c:pt idx="1">
                  <c:v>Platelių meno mok.</c:v>
                </c:pt>
                <c:pt idx="2">
                  <c:v>"Ryto"pagr. mokykla</c:v>
                </c:pt>
                <c:pt idx="3">
                  <c:v>Senamiesčio mok.</c:v>
                </c:pt>
                <c:pt idx="4">
                  <c:v>M.Valančiaus pradinė m.</c:v>
                </c:pt>
                <c:pt idx="5">
                  <c:v>M.Oginskio meno mok.</c:v>
                </c:pt>
                <c:pt idx="6">
                  <c:v>"Saulės" gimnazija</c:v>
                </c:pt>
                <c:pt idx="7">
                  <c:v>Babrungo pagr. mokykla</c:v>
                </c:pt>
                <c:pt idx="8">
                  <c:v>Lopšel.darž. "Vyturėlis"</c:v>
                </c:pt>
                <c:pt idx="9">
                  <c:v>Lopšel.darž."Rūtelė"</c:v>
                </c:pt>
                <c:pt idx="10">
                  <c:v>Lopšel.darž. "Saulutė"</c:v>
                </c:pt>
                <c:pt idx="11">
                  <c:v>Ž.Kalvarijos M.Valančiaus gimnazija</c:v>
                </c:pt>
                <c:pt idx="12">
                  <c:v>Suaugusiųjų šviet. c.</c:v>
                </c:pt>
                <c:pt idx="13">
                  <c:v>Alsėdžių S.Narutavičiaus gimnazija</c:v>
                </c:pt>
                <c:pt idx="14">
                  <c:v>Lopš.d. "Raudonkepuraitė"</c:v>
                </c:pt>
                <c:pt idx="15">
                  <c:v>Lopšel.darž. "Nykštukas"</c:v>
                </c:pt>
                <c:pt idx="16">
                  <c:v>Kulių gimnazija</c:v>
                </c:pt>
                <c:pt idx="17">
                  <c:v>Platelių gimnazija</c:v>
                </c:pt>
                <c:pt idx="18">
                  <c:v>Akademiko A.Jucio pagr. mokykla</c:v>
                </c:pt>
                <c:pt idx="19">
                  <c:v>Lopšel.darž. "Pasaka"</c:v>
                </c:pt>
                <c:pt idx="20">
                  <c:v>Šateikių pagr.mokykla</c:v>
                </c:pt>
                <c:pt idx="21">
                  <c:v>Alsėdžių lopšel.darž.</c:v>
                </c:pt>
                <c:pt idx="22">
                  <c:v>Prūsalių mokykla-darželis</c:v>
                </c:pt>
                <c:pt idx="23">
                  <c:v>Žem.Kalvarijos lopšel.darž.</c:v>
                </c:pt>
                <c:pt idx="24">
                  <c:v>Platelių univ. daugiafunkcis c.</c:v>
                </c:pt>
                <c:pt idx="25">
                  <c:v>Didvyčių daugiafunkcis c.</c:v>
                </c:pt>
                <c:pt idx="26">
                  <c:v>Specialiojo ugdymo centras</c:v>
                </c:pt>
              </c:strCache>
            </c:strRef>
          </c:cat>
          <c:val>
            <c:numRef>
              <c:f>grafikas_visu!$B$1:$B$27</c:f>
              <c:numCache>
                <c:formatCode>0.0</c:formatCode>
                <c:ptCount val="27"/>
                <c:pt idx="0">
                  <c:v>0.9</c:v>
                </c:pt>
                <c:pt idx="1">
                  <c:v>1.1000000000000001</c:v>
                </c:pt>
                <c:pt idx="2">
                  <c:v>1.5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2.1</c:v>
                </c:pt>
                <c:pt idx="7">
                  <c:v>2.2000000000000002</c:v>
                </c:pt>
                <c:pt idx="8">
                  <c:v>2.2999999999999998</c:v>
                </c:pt>
                <c:pt idx="9">
                  <c:v>2.4</c:v>
                </c:pt>
                <c:pt idx="10">
                  <c:v>2.4</c:v>
                </c:pt>
                <c:pt idx="11">
                  <c:v>2.4</c:v>
                </c:pt>
                <c:pt idx="12">
                  <c:v>2.4</c:v>
                </c:pt>
                <c:pt idx="13">
                  <c:v>2.4</c:v>
                </c:pt>
                <c:pt idx="14">
                  <c:v>2.5</c:v>
                </c:pt>
                <c:pt idx="15">
                  <c:v>2.6</c:v>
                </c:pt>
                <c:pt idx="16">
                  <c:v>2.6</c:v>
                </c:pt>
                <c:pt idx="17">
                  <c:v>2.8</c:v>
                </c:pt>
                <c:pt idx="18">
                  <c:v>2.8</c:v>
                </c:pt>
                <c:pt idx="19">
                  <c:v>2.8</c:v>
                </c:pt>
                <c:pt idx="20">
                  <c:v>2.9</c:v>
                </c:pt>
                <c:pt idx="21">
                  <c:v>3</c:v>
                </c:pt>
                <c:pt idx="22">
                  <c:v>3.4</c:v>
                </c:pt>
                <c:pt idx="23">
                  <c:v>4</c:v>
                </c:pt>
                <c:pt idx="24">
                  <c:v>4.2</c:v>
                </c:pt>
                <c:pt idx="25">
                  <c:v>6.5</c:v>
                </c:pt>
                <c:pt idx="26">
                  <c:v>9.6999999999999993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84160"/>
        <c:axId val="125768768"/>
      </c:barChart>
      <c:catAx>
        <c:axId val="125084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2576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7687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5084160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738794435857804"/>
          <c:y val="1.5923583386809343E-2"/>
          <c:w val="0.70170015455950541"/>
          <c:h val="0.91082896972549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CC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grafikas_biudzeto!$A$2:$A$28</c:f>
              <c:strCache>
                <c:ptCount val="27"/>
                <c:pt idx="0">
                  <c:v>"Ryto"pagr. mokykla</c:v>
                </c:pt>
                <c:pt idx="1">
                  <c:v>Senamiesčio mok.</c:v>
                </c:pt>
                <c:pt idx="2">
                  <c:v>M.Valančiaus pradinė m.</c:v>
                </c:pt>
                <c:pt idx="3">
                  <c:v>"Saulės" gimnazija</c:v>
                </c:pt>
                <c:pt idx="4">
                  <c:v>Babrungo pagr. mokykla</c:v>
                </c:pt>
                <c:pt idx="5">
                  <c:v>Ž.Kalvarijos M.Valančiaus gimnazija</c:v>
                </c:pt>
                <c:pt idx="6">
                  <c:v>Alsėdžių S.Narutavičiaus gimn.</c:v>
                </c:pt>
                <c:pt idx="7">
                  <c:v>Sporto ir rekreac. centras</c:v>
                </c:pt>
                <c:pt idx="8">
                  <c:v>Akladem. A.Jucio pagr. mokykla</c:v>
                </c:pt>
                <c:pt idx="9">
                  <c:v>Kulių gimnazija</c:v>
                </c:pt>
                <c:pt idx="10">
                  <c:v>Platelių gimnazija</c:v>
                </c:pt>
                <c:pt idx="11">
                  <c:v>Šateikių pagr.mokykla</c:v>
                </c:pt>
                <c:pt idx="12">
                  <c:v>Platelių meno mok.</c:v>
                </c:pt>
                <c:pt idx="13">
                  <c:v>Suaugusiųjų šviet. c.</c:v>
                </c:pt>
                <c:pt idx="14">
                  <c:v>Lopšel.darž."Rūtelė"</c:v>
                </c:pt>
                <c:pt idx="15">
                  <c:v>Lopšel.darž. "Vyturėlis"</c:v>
                </c:pt>
                <c:pt idx="16">
                  <c:v>Lopšel.darž. "Saulutė"</c:v>
                </c:pt>
                <c:pt idx="17">
                  <c:v>M.Oginskio meno mok.</c:v>
                </c:pt>
                <c:pt idx="18">
                  <c:v>Lopš.d. "Raudonkepuraitė"</c:v>
                </c:pt>
                <c:pt idx="19">
                  <c:v>Lopšel.darž. "Nykštukas"</c:v>
                </c:pt>
                <c:pt idx="20">
                  <c:v>Lopšel.darž. "Pasaka"</c:v>
                </c:pt>
                <c:pt idx="21">
                  <c:v>Prūsalių mokykla-darželis</c:v>
                </c:pt>
                <c:pt idx="22">
                  <c:v>Alsėdžių lopšel.darž.</c:v>
                </c:pt>
                <c:pt idx="23">
                  <c:v>Žem.Kalvarijos lopšel.darž.</c:v>
                </c:pt>
                <c:pt idx="24">
                  <c:v>Platelių daugiafunkcis c.</c:v>
                </c:pt>
                <c:pt idx="25">
                  <c:v>Didvyčių daugiafunkcis c.</c:v>
                </c:pt>
                <c:pt idx="26">
                  <c:v>Specialiojo ugdymo centras</c:v>
                </c:pt>
              </c:strCache>
            </c:strRef>
          </c:cat>
          <c:val>
            <c:numRef>
              <c:f>grafikas_biudzeto!$B$2:$B$28</c:f>
              <c:numCache>
                <c:formatCode>0.00</c:formatCode>
                <c:ptCount val="27"/>
                <c:pt idx="0">
                  <c:v>0.28999999999999998</c:v>
                </c:pt>
                <c:pt idx="1">
                  <c:v>0.33</c:v>
                </c:pt>
                <c:pt idx="2">
                  <c:v>0.34</c:v>
                </c:pt>
                <c:pt idx="3">
                  <c:v>0.47</c:v>
                </c:pt>
                <c:pt idx="4">
                  <c:v>0.64</c:v>
                </c:pt>
                <c:pt idx="5">
                  <c:v>0.68</c:v>
                </c:pt>
                <c:pt idx="6">
                  <c:v>0.81</c:v>
                </c:pt>
                <c:pt idx="7">
                  <c:v>0.84</c:v>
                </c:pt>
                <c:pt idx="8">
                  <c:v>0.9</c:v>
                </c:pt>
                <c:pt idx="9">
                  <c:v>0.9</c:v>
                </c:pt>
                <c:pt idx="10">
                  <c:v>0.93</c:v>
                </c:pt>
                <c:pt idx="11">
                  <c:v>0.98</c:v>
                </c:pt>
                <c:pt idx="12">
                  <c:v>1.07</c:v>
                </c:pt>
                <c:pt idx="13">
                  <c:v>1.4</c:v>
                </c:pt>
                <c:pt idx="14">
                  <c:v>1.47</c:v>
                </c:pt>
                <c:pt idx="15">
                  <c:v>1.48</c:v>
                </c:pt>
                <c:pt idx="16">
                  <c:v>1.52</c:v>
                </c:pt>
                <c:pt idx="17">
                  <c:v>1.6</c:v>
                </c:pt>
                <c:pt idx="18">
                  <c:v>1.61</c:v>
                </c:pt>
                <c:pt idx="19">
                  <c:v>1.66</c:v>
                </c:pt>
                <c:pt idx="20">
                  <c:v>1.77</c:v>
                </c:pt>
                <c:pt idx="21">
                  <c:v>1.85</c:v>
                </c:pt>
                <c:pt idx="22">
                  <c:v>2.04</c:v>
                </c:pt>
                <c:pt idx="23">
                  <c:v>2.91</c:v>
                </c:pt>
                <c:pt idx="24">
                  <c:v>3.08</c:v>
                </c:pt>
                <c:pt idx="25">
                  <c:v>3.88</c:v>
                </c:pt>
                <c:pt idx="26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33504"/>
        <c:axId val="125770496"/>
      </c:barChart>
      <c:catAx>
        <c:axId val="125333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12577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77049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5333504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6D24-DB24-40FA-A7D9-B9E3A936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F5F41B59</Template>
  <TotalTime>22</TotalTime>
  <Pages>18</Pages>
  <Words>4316</Words>
  <Characters>26538</Characters>
  <Application>Microsoft Office Word</Application>
  <DocSecurity>0</DocSecurity>
  <Lines>221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</vt:lpstr>
      <vt:lpstr>                                                                       Forma patvirtinta</vt:lpstr>
    </vt:vector>
  </TitlesOfParts>
  <Company>Privati</Company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Gasiunas</dc:creator>
  <cp:lastModifiedBy>Jovita Šumskienė</cp:lastModifiedBy>
  <cp:revision>12</cp:revision>
  <cp:lastPrinted>2018-04-05T08:49:00Z</cp:lastPrinted>
  <dcterms:created xsi:type="dcterms:W3CDTF">2018-07-10T08:48:00Z</dcterms:created>
  <dcterms:modified xsi:type="dcterms:W3CDTF">2018-07-17T13:05:00Z</dcterms:modified>
</cp:coreProperties>
</file>