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Borders>
          <w:bottom w:val="single" w:sz="4" w:space="0" w:color="auto"/>
        </w:tblBorders>
        <w:tblLayout w:type="fixed"/>
        <w:tblLook w:val="01E0" w:firstRow="1" w:lastRow="1" w:firstColumn="1" w:lastColumn="1" w:noHBand="0" w:noVBand="0"/>
      </w:tblPr>
      <w:tblGrid>
        <w:gridCol w:w="10260"/>
      </w:tblGrid>
      <w:tr w:rsidR="00F07221" w:rsidRPr="00CB2BD9" w:rsidTr="00464A38">
        <w:tc>
          <w:tcPr>
            <w:tcW w:w="10260" w:type="dxa"/>
          </w:tcPr>
          <w:p w:rsidR="00251E17" w:rsidRDefault="00251E17" w:rsidP="00F07221">
            <w:pPr>
              <w:tabs>
                <w:tab w:val="left" w:pos="3420"/>
              </w:tabs>
              <w:spacing w:after="0" w:line="240" w:lineRule="auto"/>
              <w:jc w:val="center"/>
              <w:rPr>
                <w:rFonts w:ascii="Times New Roman" w:eastAsia="Times New Roman" w:hAnsi="Times New Roman"/>
                <w:b/>
                <w:bCs/>
                <w:color w:val="000000"/>
                <w:sz w:val="28"/>
                <w:szCs w:val="28"/>
                <w:lang w:eastAsia="lt-LT"/>
              </w:rPr>
            </w:pPr>
            <w:r>
              <w:rPr>
                <w:rFonts w:ascii="Times New Roman" w:eastAsia="Times New Roman" w:hAnsi="Times New Roman"/>
                <w:b/>
                <w:bCs/>
                <w:color w:val="000000"/>
                <w:sz w:val="28"/>
                <w:szCs w:val="28"/>
                <w:lang w:eastAsia="lt-LT"/>
              </w:rPr>
              <w:t xml:space="preserve">PLUNGĖS RAJONO SAVIVALDYBĖS </w:t>
            </w:r>
          </w:p>
          <w:p w:rsidR="00F07221" w:rsidRPr="00F07221" w:rsidRDefault="00251E17" w:rsidP="00F07221">
            <w:pPr>
              <w:tabs>
                <w:tab w:val="left" w:pos="3420"/>
              </w:tabs>
              <w:spacing w:after="0" w:line="240" w:lineRule="auto"/>
              <w:jc w:val="center"/>
              <w:rPr>
                <w:rFonts w:ascii="Times New Roman" w:eastAsia="Times New Roman" w:hAnsi="Times New Roman"/>
                <w:b/>
                <w:bCs/>
                <w:color w:val="000000"/>
                <w:sz w:val="28"/>
                <w:szCs w:val="28"/>
                <w:lang w:eastAsia="lt-LT"/>
              </w:rPr>
            </w:pPr>
            <w:r>
              <w:rPr>
                <w:rFonts w:ascii="Times New Roman" w:eastAsia="Times New Roman" w:hAnsi="Times New Roman"/>
                <w:b/>
                <w:bCs/>
                <w:color w:val="000000"/>
                <w:sz w:val="28"/>
                <w:szCs w:val="28"/>
                <w:lang w:eastAsia="lt-LT"/>
              </w:rPr>
              <w:t>VISUOMENĖS SVEIKATOS BIURAS</w:t>
            </w:r>
          </w:p>
          <w:p w:rsidR="00F07221" w:rsidRDefault="00F07221" w:rsidP="00464A38">
            <w:pPr>
              <w:tabs>
                <w:tab w:val="left" w:pos="3420"/>
              </w:tabs>
              <w:spacing w:after="0" w:line="240" w:lineRule="auto"/>
              <w:jc w:val="center"/>
              <w:rPr>
                <w:rFonts w:ascii="Times New Roman" w:eastAsia="Times New Roman" w:hAnsi="Times New Roman"/>
                <w:sz w:val="18"/>
                <w:szCs w:val="18"/>
                <w:lang w:val="de-DE"/>
              </w:rPr>
            </w:pPr>
          </w:p>
          <w:p w:rsidR="00F07221" w:rsidRPr="00231C3A" w:rsidRDefault="00F07221" w:rsidP="00464A38">
            <w:pPr>
              <w:tabs>
                <w:tab w:val="left" w:pos="3420"/>
              </w:tabs>
              <w:spacing w:after="0" w:line="240" w:lineRule="auto"/>
              <w:jc w:val="center"/>
              <w:rPr>
                <w:rFonts w:ascii="Times New Roman" w:eastAsia="Times New Roman" w:hAnsi="Times New Roman"/>
                <w:sz w:val="18"/>
                <w:szCs w:val="18"/>
                <w:lang w:val="de-DE"/>
              </w:rPr>
            </w:pPr>
            <w:proofErr w:type="spellStart"/>
            <w:r>
              <w:rPr>
                <w:rFonts w:ascii="Times New Roman" w:eastAsia="Times New Roman" w:hAnsi="Times New Roman"/>
                <w:sz w:val="18"/>
                <w:szCs w:val="18"/>
                <w:lang w:val="de-DE"/>
              </w:rPr>
              <w:t>B</w:t>
            </w:r>
            <w:r w:rsidRPr="00231C3A">
              <w:rPr>
                <w:rFonts w:ascii="Times New Roman" w:eastAsia="Times New Roman" w:hAnsi="Times New Roman"/>
                <w:sz w:val="18"/>
                <w:szCs w:val="18"/>
                <w:lang w:val="de-DE"/>
              </w:rPr>
              <w:t>iudžetinė</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įstaiga</w:t>
            </w:r>
            <w:proofErr w:type="spellEnd"/>
            <w:r w:rsidRPr="00231C3A">
              <w:rPr>
                <w:rFonts w:ascii="Times New Roman" w:eastAsia="Times New Roman" w:hAnsi="Times New Roman"/>
                <w:sz w:val="18"/>
                <w:szCs w:val="18"/>
                <w:lang w:val="de-DE"/>
              </w:rPr>
              <w:t>, J</w:t>
            </w:r>
            <w:r>
              <w:rPr>
                <w:rFonts w:ascii="Times New Roman" w:eastAsia="Times New Roman" w:hAnsi="Times New Roman"/>
                <w:sz w:val="18"/>
                <w:szCs w:val="18"/>
                <w:lang w:val="de-DE"/>
              </w:rPr>
              <w:t xml:space="preserve">. </w:t>
            </w:r>
            <w:proofErr w:type="spellStart"/>
            <w:r>
              <w:rPr>
                <w:rFonts w:ascii="Times New Roman" w:eastAsia="Times New Roman" w:hAnsi="Times New Roman"/>
                <w:sz w:val="18"/>
                <w:szCs w:val="18"/>
                <w:lang w:val="de-DE"/>
              </w:rPr>
              <w:t>Tumo-Vaižganto</w:t>
            </w:r>
            <w:proofErr w:type="spellEnd"/>
            <w:r>
              <w:rPr>
                <w:rFonts w:ascii="Times New Roman" w:eastAsia="Times New Roman" w:hAnsi="Times New Roman"/>
                <w:sz w:val="18"/>
                <w:szCs w:val="18"/>
                <w:lang w:val="de-DE"/>
              </w:rPr>
              <w:t xml:space="preserve"> 93-2, LT-90160 </w:t>
            </w:r>
            <w:proofErr w:type="spellStart"/>
            <w:r>
              <w:rPr>
                <w:rFonts w:ascii="Times New Roman" w:eastAsia="Times New Roman" w:hAnsi="Times New Roman"/>
                <w:sz w:val="18"/>
                <w:szCs w:val="18"/>
                <w:lang w:val="de-DE"/>
              </w:rPr>
              <w:t>Plungė</w:t>
            </w:r>
            <w:proofErr w:type="spellEnd"/>
            <w:r>
              <w:rPr>
                <w:rFonts w:ascii="Times New Roman" w:eastAsia="Times New Roman" w:hAnsi="Times New Roman"/>
                <w:sz w:val="18"/>
                <w:szCs w:val="18"/>
                <w:lang w:val="de-DE"/>
              </w:rPr>
              <w:t xml:space="preserve">, </w:t>
            </w:r>
            <w:r w:rsidRPr="00231C3A">
              <w:rPr>
                <w:rFonts w:ascii="Times New Roman" w:eastAsia="Times New Roman" w:hAnsi="Times New Roman"/>
                <w:sz w:val="18"/>
                <w:szCs w:val="18"/>
                <w:lang w:val="de-DE"/>
              </w:rPr>
              <w:t xml:space="preserve">tel. (8 448) 52034, </w:t>
            </w:r>
            <w:proofErr w:type="spellStart"/>
            <w:r w:rsidRPr="00231C3A">
              <w:rPr>
                <w:rFonts w:ascii="Times New Roman" w:eastAsia="Times New Roman" w:hAnsi="Times New Roman"/>
                <w:sz w:val="18"/>
                <w:szCs w:val="18"/>
                <w:lang w:val="de-DE"/>
              </w:rPr>
              <w:t>el</w:t>
            </w:r>
            <w:proofErr w:type="spellEnd"/>
            <w:r w:rsidRPr="00231C3A">
              <w:rPr>
                <w:rFonts w:ascii="Times New Roman" w:eastAsia="Times New Roman" w:hAnsi="Times New Roman"/>
                <w:sz w:val="18"/>
                <w:szCs w:val="18"/>
                <w:lang w:val="de-DE"/>
              </w:rPr>
              <w:t xml:space="preserve">. p. </w:t>
            </w:r>
            <w:hyperlink r:id="rId9" w:history="1">
              <w:r w:rsidRPr="00231C3A">
                <w:rPr>
                  <w:rFonts w:ascii="Times New Roman" w:eastAsia="Times New Roman" w:hAnsi="Times New Roman"/>
                  <w:color w:val="0000FF"/>
                  <w:sz w:val="18"/>
                  <w:szCs w:val="18"/>
                  <w:u w:val="single"/>
                </w:rPr>
                <w:t>vsbiuras</w:t>
              </w:r>
            </w:hyperlink>
            <w:r w:rsidRPr="00231C3A">
              <w:rPr>
                <w:rFonts w:ascii="Times New Roman" w:eastAsia="Times New Roman" w:hAnsi="Times New Roman"/>
                <w:color w:val="0000FF"/>
                <w:sz w:val="18"/>
                <w:szCs w:val="18"/>
                <w:u w:val="single"/>
              </w:rPr>
              <w:t>@plunge.lt</w:t>
            </w:r>
            <w:r w:rsidRPr="00231C3A">
              <w:rPr>
                <w:rFonts w:ascii="Times New Roman" w:eastAsia="Times New Roman" w:hAnsi="Times New Roman"/>
                <w:sz w:val="18"/>
                <w:szCs w:val="18"/>
                <w:lang w:val="de-DE"/>
              </w:rPr>
              <w:t>.</w:t>
            </w:r>
          </w:p>
        </w:tc>
      </w:tr>
      <w:tr w:rsidR="00F07221" w:rsidRPr="00CB2BD9" w:rsidTr="00464A38">
        <w:tc>
          <w:tcPr>
            <w:tcW w:w="10260" w:type="dxa"/>
          </w:tcPr>
          <w:p w:rsidR="00F07221" w:rsidRPr="00231C3A" w:rsidRDefault="00F07221" w:rsidP="00464A38">
            <w:pPr>
              <w:tabs>
                <w:tab w:val="left" w:pos="3420"/>
              </w:tabs>
              <w:spacing w:after="0" w:line="240" w:lineRule="auto"/>
              <w:jc w:val="center"/>
              <w:rPr>
                <w:rFonts w:ascii="Times New Roman" w:eastAsia="Times New Roman" w:hAnsi="Times New Roman"/>
                <w:sz w:val="18"/>
                <w:szCs w:val="18"/>
                <w:lang w:val="de-DE"/>
              </w:rPr>
            </w:pPr>
            <w:proofErr w:type="spellStart"/>
            <w:r w:rsidRPr="00231C3A">
              <w:rPr>
                <w:rFonts w:ascii="Times New Roman" w:eastAsia="Times New Roman" w:hAnsi="Times New Roman"/>
                <w:sz w:val="18"/>
                <w:szCs w:val="18"/>
                <w:lang w:val="de-DE"/>
              </w:rPr>
              <w:t>Duomenys</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kaupiami</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ir</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saugomi</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Juridinių</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asmenų</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registre</w:t>
            </w:r>
            <w:proofErr w:type="spellEnd"/>
            <w:r w:rsidRPr="00231C3A">
              <w:rPr>
                <w:rFonts w:ascii="Times New Roman" w:eastAsia="Times New Roman" w:hAnsi="Times New Roman"/>
                <w:sz w:val="18"/>
                <w:szCs w:val="18"/>
                <w:lang w:val="de-DE"/>
              </w:rPr>
              <w:t xml:space="preserve">, </w:t>
            </w:r>
            <w:proofErr w:type="spellStart"/>
            <w:r w:rsidRPr="00231C3A">
              <w:rPr>
                <w:rFonts w:ascii="Times New Roman" w:eastAsia="Times New Roman" w:hAnsi="Times New Roman"/>
                <w:sz w:val="18"/>
                <w:szCs w:val="18"/>
                <w:lang w:val="de-DE"/>
              </w:rPr>
              <w:t>kodas</w:t>
            </w:r>
            <w:proofErr w:type="spellEnd"/>
            <w:r w:rsidRPr="00231C3A">
              <w:rPr>
                <w:rFonts w:ascii="Times New Roman" w:eastAsia="Times New Roman" w:hAnsi="Times New Roman"/>
                <w:sz w:val="18"/>
                <w:szCs w:val="18"/>
                <w:lang w:val="de-DE"/>
              </w:rPr>
              <w:t xml:space="preserve"> 302415311</w:t>
            </w:r>
          </w:p>
          <w:p w:rsidR="00F07221" w:rsidRPr="00231C3A" w:rsidRDefault="00F07221" w:rsidP="00464A38">
            <w:pPr>
              <w:tabs>
                <w:tab w:val="left" w:pos="3420"/>
              </w:tabs>
              <w:spacing w:after="0" w:line="240" w:lineRule="auto"/>
              <w:jc w:val="center"/>
              <w:rPr>
                <w:rFonts w:ascii="Times New Roman" w:eastAsia="Times New Roman" w:hAnsi="Times New Roman"/>
                <w:sz w:val="18"/>
                <w:szCs w:val="18"/>
                <w:lang w:val="de-DE"/>
              </w:rPr>
            </w:pPr>
          </w:p>
        </w:tc>
      </w:tr>
    </w:tbl>
    <w:p w:rsidR="00F07221" w:rsidRDefault="00F07221" w:rsidP="00F07221"/>
    <w:p w:rsidR="00F07221" w:rsidRDefault="00F07221" w:rsidP="00F07221"/>
    <w:p w:rsidR="00F07221" w:rsidRDefault="00F07221" w:rsidP="00F07221"/>
    <w:p w:rsidR="00F07221" w:rsidRDefault="00F07221" w:rsidP="00F07221"/>
    <w:p w:rsidR="00F07221" w:rsidRDefault="00F07221" w:rsidP="00F07221"/>
    <w:p w:rsidR="00F07221" w:rsidRDefault="00F07221" w:rsidP="00F07221"/>
    <w:p w:rsidR="00F07221" w:rsidRDefault="00F07221" w:rsidP="00F07221"/>
    <w:p w:rsidR="00F07221" w:rsidRDefault="00F07221" w:rsidP="00F07221"/>
    <w:p w:rsidR="00F07221" w:rsidRDefault="00F07221" w:rsidP="00F07221"/>
    <w:p w:rsidR="00F07221" w:rsidRPr="00231C3A" w:rsidRDefault="00F07221" w:rsidP="00F07221">
      <w:pPr>
        <w:spacing w:after="0" w:line="240" w:lineRule="auto"/>
        <w:jc w:val="center"/>
        <w:rPr>
          <w:rFonts w:ascii="Times New Roman" w:eastAsia="Times New Roman" w:hAnsi="Times New Roman"/>
          <w:b/>
          <w:bCs/>
          <w:sz w:val="32"/>
          <w:szCs w:val="32"/>
          <w:lang w:eastAsia="lt-LT"/>
        </w:rPr>
      </w:pPr>
      <w:r w:rsidRPr="00231C3A">
        <w:rPr>
          <w:rFonts w:ascii="Times New Roman" w:eastAsia="Times New Roman" w:hAnsi="Times New Roman"/>
          <w:b/>
          <w:bCs/>
          <w:sz w:val="32"/>
          <w:szCs w:val="32"/>
          <w:lang w:eastAsia="lt-LT"/>
        </w:rPr>
        <w:t>Plungės rajono bendrojo lavinimo mokyklų moksleivių profilaktinių sveikatos patikrinimų duomenų analizė</w:t>
      </w:r>
    </w:p>
    <w:p w:rsidR="00F07221" w:rsidRPr="00231C3A" w:rsidRDefault="00185336" w:rsidP="00F07221">
      <w:pPr>
        <w:spacing w:after="0" w:line="240" w:lineRule="auto"/>
        <w:jc w:val="center"/>
        <w:rPr>
          <w:rFonts w:ascii="Times New Roman" w:eastAsia="Times New Roman" w:hAnsi="Times New Roman"/>
          <w:b/>
          <w:bCs/>
          <w:sz w:val="32"/>
          <w:szCs w:val="32"/>
          <w:lang w:eastAsia="lt-LT"/>
        </w:rPr>
      </w:pPr>
      <w:r>
        <w:rPr>
          <w:rFonts w:ascii="Times New Roman" w:eastAsia="Times New Roman" w:hAnsi="Times New Roman"/>
          <w:b/>
          <w:bCs/>
          <w:sz w:val="32"/>
          <w:szCs w:val="32"/>
          <w:lang w:eastAsia="lt-LT"/>
        </w:rPr>
        <w:t>2019-2020</w:t>
      </w:r>
      <w:r w:rsidR="00F07221" w:rsidRPr="00231C3A">
        <w:rPr>
          <w:rFonts w:ascii="Times New Roman" w:eastAsia="Times New Roman" w:hAnsi="Times New Roman"/>
          <w:b/>
          <w:bCs/>
          <w:sz w:val="32"/>
          <w:szCs w:val="32"/>
          <w:lang w:eastAsia="lt-LT"/>
        </w:rPr>
        <w:t xml:space="preserve"> </w:t>
      </w:r>
      <w:proofErr w:type="spellStart"/>
      <w:r w:rsidR="00F07221" w:rsidRPr="00231C3A">
        <w:rPr>
          <w:rFonts w:ascii="Times New Roman" w:eastAsia="Times New Roman" w:hAnsi="Times New Roman"/>
          <w:b/>
          <w:bCs/>
          <w:sz w:val="32"/>
          <w:szCs w:val="32"/>
          <w:lang w:eastAsia="lt-LT"/>
        </w:rPr>
        <w:t>m</w:t>
      </w:r>
      <w:proofErr w:type="spellEnd"/>
      <w:r w:rsidR="00F07221" w:rsidRPr="00231C3A">
        <w:rPr>
          <w:rFonts w:ascii="Times New Roman" w:eastAsia="Times New Roman" w:hAnsi="Times New Roman"/>
          <w:b/>
          <w:bCs/>
          <w:sz w:val="32"/>
          <w:szCs w:val="32"/>
          <w:lang w:eastAsia="lt-LT"/>
        </w:rPr>
        <w:t>.</w:t>
      </w:r>
      <w:r w:rsidR="00F07221">
        <w:rPr>
          <w:rFonts w:ascii="Times New Roman" w:eastAsia="Times New Roman" w:hAnsi="Times New Roman"/>
          <w:b/>
          <w:bCs/>
          <w:sz w:val="32"/>
          <w:szCs w:val="32"/>
          <w:lang w:eastAsia="lt-LT"/>
        </w:rPr>
        <w:t xml:space="preserve"> </w:t>
      </w:r>
      <w:r w:rsidR="00F07221" w:rsidRPr="00231C3A">
        <w:rPr>
          <w:rFonts w:ascii="Times New Roman" w:eastAsia="Times New Roman" w:hAnsi="Times New Roman"/>
          <w:b/>
          <w:bCs/>
          <w:sz w:val="32"/>
          <w:szCs w:val="32"/>
          <w:lang w:eastAsia="lt-LT"/>
        </w:rPr>
        <w:t>m.</w:t>
      </w:r>
    </w:p>
    <w:p w:rsidR="00F07221" w:rsidRDefault="00F07221" w:rsidP="00F07221">
      <w:pPr>
        <w:jc w:val="center"/>
      </w:pPr>
    </w:p>
    <w:p w:rsidR="00F07221" w:rsidRPr="00231C3A" w:rsidRDefault="00F07221" w:rsidP="00F07221">
      <w:pPr>
        <w:spacing w:after="0" w:line="240" w:lineRule="auto"/>
        <w:jc w:val="center"/>
        <w:rPr>
          <w:rFonts w:ascii="Times New Roman" w:eastAsia="Times New Roman" w:hAnsi="Times New Roman"/>
          <w:b/>
          <w:sz w:val="24"/>
          <w:szCs w:val="24"/>
          <w:lang w:eastAsia="lt-LT"/>
        </w:rPr>
      </w:pPr>
      <w:r w:rsidRPr="00231C3A">
        <w:rPr>
          <w:rFonts w:ascii="Times New Roman" w:eastAsia="Times New Roman" w:hAnsi="Times New Roman"/>
          <w:b/>
          <w:sz w:val="24"/>
          <w:szCs w:val="24"/>
          <w:lang w:eastAsia="lt-LT"/>
        </w:rPr>
        <w:t>Nr</w:t>
      </w:r>
      <w:r w:rsidRPr="00185336">
        <w:rPr>
          <w:rFonts w:ascii="Times New Roman" w:eastAsia="Times New Roman" w:hAnsi="Times New Roman"/>
          <w:b/>
          <w:color w:val="FF0000"/>
          <w:sz w:val="24"/>
          <w:szCs w:val="24"/>
          <w:lang w:eastAsia="lt-LT"/>
        </w:rPr>
        <w:t xml:space="preserve">. </w:t>
      </w:r>
      <w:r w:rsidR="006B0478">
        <w:rPr>
          <w:rFonts w:ascii="Times New Roman" w:eastAsia="Times New Roman" w:hAnsi="Times New Roman"/>
          <w:b/>
          <w:sz w:val="24"/>
          <w:szCs w:val="24"/>
          <w:lang w:eastAsia="lt-LT"/>
        </w:rPr>
        <w:t>AT101140</w:t>
      </w:r>
    </w:p>
    <w:p w:rsidR="00F07221" w:rsidRDefault="00F07221" w:rsidP="00F07221">
      <w:pPr>
        <w:jc w:val="center"/>
      </w:pPr>
    </w:p>
    <w:p w:rsidR="00F07221" w:rsidRPr="00231C3A" w:rsidRDefault="00F07221" w:rsidP="00F07221"/>
    <w:p w:rsidR="00F07221" w:rsidRPr="00231C3A" w:rsidRDefault="00F07221" w:rsidP="00F07221"/>
    <w:p w:rsidR="00F07221" w:rsidRPr="00231C3A" w:rsidRDefault="00F07221" w:rsidP="00F07221"/>
    <w:p w:rsidR="00F07221" w:rsidRPr="00231C3A" w:rsidRDefault="00F07221" w:rsidP="00F07221"/>
    <w:p w:rsidR="00F07221" w:rsidRDefault="00F07221" w:rsidP="00F07221">
      <w:pPr>
        <w:jc w:val="center"/>
      </w:pPr>
    </w:p>
    <w:p w:rsidR="00F07221" w:rsidRDefault="00F07221" w:rsidP="00F07221">
      <w:pPr>
        <w:jc w:val="center"/>
        <w:rPr>
          <w:rFonts w:ascii="Times New Roman" w:hAnsi="Times New Roman"/>
          <w:b/>
          <w:sz w:val="24"/>
          <w:szCs w:val="24"/>
        </w:rPr>
      </w:pPr>
    </w:p>
    <w:p w:rsidR="00F07221" w:rsidRDefault="00F07221" w:rsidP="00F07221">
      <w:pPr>
        <w:jc w:val="center"/>
        <w:rPr>
          <w:rFonts w:ascii="Times New Roman" w:hAnsi="Times New Roman"/>
          <w:b/>
          <w:sz w:val="24"/>
          <w:szCs w:val="24"/>
        </w:rPr>
      </w:pPr>
    </w:p>
    <w:p w:rsidR="00F07221" w:rsidRDefault="00F07221" w:rsidP="00F07221">
      <w:pPr>
        <w:jc w:val="center"/>
        <w:rPr>
          <w:rFonts w:ascii="Times New Roman" w:hAnsi="Times New Roman"/>
          <w:b/>
          <w:sz w:val="24"/>
          <w:szCs w:val="24"/>
        </w:rPr>
      </w:pPr>
    </w:p>
    <w:p w:rsidR="00F07221" w:rsidRDefault="00F07221" w:rsidP="00F07221">
      <w:pPr>
        <w:jc w:val="center"/>
        <w:rPr>
          <w:rFonts w:ascii="Times New Roman" w:hAnsi="Times New Roman"/>
          <w:b/>
          <w:sz w:val="24"/>
          <w:szCs w:val="24"/>
        </w:rPr>
      </w:pPr>
    </w:p>
    <w:p w:rsidR="00F07221" w:rsidRDefault="00F07221" w:rsidP="00F07221">
      <w:pPr>
        <w:jc w:val="center"/>
        <w:rPr>
          <w:rFonts w:ascii="Times New Roman" w:hAnsi="Times New Roman"/>
          <w:b/>
          <w:sz w:val="24"/>
          <w:szCs w:val="24"/>
        </w:rPr>
      </w:pPr>
    </w:p>
    <w:p w:rsidR="00F07221" w:rsidRDefault="00F07221" w:rsidP="00F07221">
      <w:pPr>
        <w:jc w:val="center"/>
        <w:rPr>
          <w:rFonts w:ascii="Times New Roman" w:hAnsi="Times New Roman"/>
          <w:b/>
          <w:sz w:val="24"/>
          <w:szCs w:val="24"/>
        </w:rPr>
      </w:pPr>
      <w:r>
        <w:rPr>
          <w:rFonts w:ascii="Times New Roman" w:hAnsi="Times New Roman"/>
          <w:b/>
          <w:sz w:val="24"/>
          <w:szCs w:val="24"/>
        </w:rPr>
        <w:t>Plungė,</w:t>
      </w:r>
      <w:r w:rsidR="00185336">
        <w:rPr>
          <w:rFonts w:ascii="Times New Roman" w:hAnsi="Times New Roman"/>
          <w:b/>
          <w:sz w:val="24"/>
          <w:szCs w:val="24"/>
        </w:rPr>
        <w:t xml:space="preserve"> 2020</w:t>
      </w:r>
    </w:p>
    <w:p w:rsidR="00F07221" w:rsidRPr="003C4A46" w:rsidRDefault="00F07221" w:rsidP="00F07221">
      <w:pPr>
        <w:jc w:val="center"/>
        <w:rPr>
          <w:rFonts w:ascii="Times New Roman" w:hAnsi="Times New Roman"/>
          <w:b/>
          <w:sz w:val="24"/>
          <w:szCs w:val="24"/>
        </w:rPr>
      </w:pPr>
      <w:r w:rsidRPr="00231C3A">
        <w:rPr>
          <w:rFonts w:ascii="Times New Roman" w:eastAsia="Times New Roman" w:hAnsi="Times New Roman"/>
          <w:b/>
          <w:i/>
          <w:sz w:val="24"/>
          <w:szCs w:val="24"/>
          <w:lang w:eastAsia="lt-LT"/>
        </w:rPr>
        <w:lastRenderedPageBreak/>
        <w:t>Profilaktiniai moksleivių sveikatos patikrinimai Plungės rajone</w:t>
      </w:r>
    </w:p>
    <w:p w:rsidR="00F07221" w:rsidRDefault="00F07221" w:rsidP="00F07221">
      <w:pPr>
        <w:spacing w:after="0"/>
        <w:ind w:firstLine="1134"/>
        <w:jc w:val="both"/>
        <w:rPr>
          <w:rFonts w:ascii="Times New Roman" w:eastAsia="Times New Roman" w:hAnsi="Times New Roman"/>
          <w:sz w:val="24"/>
          <w:szCs w:val="24"/>
          <w:lang w:eastAsia="lt-LT"/>
        </w:rPr>
      </w:pPr>
      <w:r w:rsidRPr="00231C3A">
        <w:rPr>
          <w:rFonts w:ascii="Times New Roman" w:eastAsia="Times New Roman" w:hAnsi="Times New Roman"/>
          <w:sz w:val="24"/>
          <w:szCs w:val="24"/>
          <w:lang w:eastAsia="lt-LT"/>
        </w:rPr>
        <w:t xml:space="preserve">Vadovaujantis Lietuvos Respublikos sveikatos apsaugos ministro </w:t>
      </w:r>
      <w:r>
        <w:rPr>
          <w:rFonts w:ascii="Times New Roman" w:eastAsia="Times New Roman" w:hAnsi="Times New Roman"/>
          <w:i/>
          <w:sz w:val="24"/>
          <w:szCs w:val="24"/>
          <w:lang w:eastAsia="lt-LT"/>
        </w:rPr>
        <w:t>2011 m. r</w:t>
      </w:r>
      <w:r w:rsidRPr="00E45A34">
        <w:rPr>
          <w:rFonts w:ascii="Times New Roman" w:eastAsia="Times New Roman" w:hAnsi="Times New Roman"/>
          <w:i/>
          <w:sz w:val="24"/>
          <w:szCs w:val="24"/>
          <w:lang w:eastAsia="lt-LT"/>
        </w:rPr>
        <w:t>ugpjūčio 10 d. įsakymu Nr. V-773 patvirtinta Lietuvos higienos norma 21:201</w:t>
      </w:r>
      <w:r>
        <w:rPr>
          <w:rFonts w:ascii="Times New Roman" w:eastAsia="Times New Roman" w:hAnsi="Times New Roman"/>
          <w:i/>
          <w:sz w:val="24"/>
          <w:szCs w:val="24"/>
          <w:lang w:eastAsia="lt-LT"/>
        </w:rPr>
        <w:t>1</w:t>
      </w:r>
      <w:r w:rsidRPr="00E45A34">
        <w:rPr>
          <w:rFonts w:ascii="Times New Roman" w:eastAsia="Times New Roman" w:hAnsi="Times New Roman"/>
          <w:i/>
          <w:sz w:val="24"/>
          <w:szCs w:val="24"/>
          <w:lang w:eastAsia="lt-LT"/>
        </w:rPr>
        <w:t xml:space="preserve"> ,,Mokykla, vykdanti bendrojo ugdymo programas. Bendrieji sveikatos saugos reikalavimai.</w:t>
      </w:r>
      <w:r>
        <w:rPr>
          <w:rFonts w:ascii="Times New Roman" w:eastAsia="Times New Roman" w:hAnsi="Times New Roman"/>
          <w:i/>
          <w:sz w:val="24"/>
          <w:szCs w:val="24"/>
          <w:lang w:eastAsia="lt-LT"/>
        </w:rPr>
        <w:t>” (</w:t>
      </w:r>
      <w:proofErr w:type="spellStart"/>
      <w:r>
        <w:rPr>
          <w:rFonts w:ascii="Times New Roman" w:eastAsia="Times New Roman" w:hAnsi="Times New Roman"/>
          <w:i/>
          <w:sz w:val="24"/>
          <w:szCs w:val="24"/>
          <w:lang w:eastAsia="lt-LT"/>
        </w:rPr>
        <w:t>Žin</w:t>
      </w:r>
      <w:proofErr w:type="spellEnd"/>
      <w:r>
        <w:rPr>
          <w:rFonts w:ascii="Times New Roman" w:eastAsia="Times New Roman" w:hAnsi="Times New Roman"/>
          <w:i/>
          <w:sz w:val="24"/>
          <w:szCs w:val="24"/>
          <w:lang w:eastAsia="lt-LT"/>
        </w:rPr>
        <w:t xml:space="preserve">.., </w:t>
      </w:r>
      <w:r w:rsidRPr="00E45A34">
        <w:rPr>
          <w:rFonts w:ascii="Times New Roman" w:eastAsia="Times New Roman" w:hAnsi="Times New Roman"/>
          <w:i/>
          <w:sz w:val="24"/>
          <w:szCs w:val="24"/>
          <w:lang w:eastAsia="lt-LT"/>
        </w:rPr>
        <w:t xml:space="preserve">2011, </w:t>
      </w:r>
      <w:r>
        <w:rPr>
          <w:rFonts w:ascii="Times New Roman" w:eastAsia="Times New Roman" w:hAnsi="Times New Roman"/>
          <w:i/>
          <w:sz w:val="24"/>
          <w:szCs w:val="24"/>
          <w:lang w:eastAsia="lt-LT"/>
        </w:rPr>
        <w:t xml:space="preserve">Nr. </w:t>
      </w:r>
      <w:r w:rsidRPr="00E45A34">
        <w:rPr>
          <w:rFonts w:ascii="Times New Roman" w:eastAsia="Times New Roman" w:hAnsi="Times New Roman"/>
          <w:i/>
          <w:sz w:val="24"/>
          <w:szCs w:val="24"/>
          <w:lang w:eastAsia="lt-LT"/>
        </w:rPr>
        <w:t>103</w:t>
      </w:r>
      <w:r>
        <w:rPr>
          <w:rFonts w:ascii="Times New Roman" w:eastAsia="Times New Roman" w:hAnsi="Times New Roman"/>
          <w:i/>
          <w:sz w:val="24"/>
          <w:szCs w:val="24"/>
          <w:lang w:eastAsia="lt-LT"/>
        </w:rPr>
        <w:t>-4858</w:t>
      </w:r>
      <w:r w:rsidRPr="00231C3A">
        <w:rPr>
          <w:rFonts w:ascii="Times New Roman" w:eastAsia="Times New Roman" w:hAnsi="Times New Roman"/>
          <w:sz w:val="24"/>
          <w:szCs w:val="24"/>
          <w:lang w:eastAsia="lt-LT"/>
        </w:rPr>
        <w:t>), kiekvienais metais iki rugsėjo 15 d. moksleiviai turi pateikti mokyklai informaciją apie profilaktinio sveikatos patikrinimo rezultatus. Duomenys apie mokinių sveikatos būklę gaunami iš statistinės apskaitos formos Nr. 0.27-1/a. „Vaiko sveikatos pažymėjimas“, patvirtintos Lietuvos Respublikos sveikatos apsaugos ministro 2004 m. gruodžio 24 d. įsakymu Nr. V-951 (</w:t>
      </w:r>
      <w:proofErr w:type="spellStart"/>
      <w:r w:rsidRPr="00231C3A">
        <w:rPr>
          <w:rFonts w:ascii="Times New Roman" w:eastAsia="Times New Roman" w:hAnsi="Times New Roman"/>
          <w:sz w:val="24"/>
          <w:szCs w:val="24"/>
          <w:lang w:eastAsia="lt-LT"/>
        </w:rPr>
        <w:t>Žin</w:t>
      </w:r>
      <w:proofErr w:type="spellEnd"/>
      <w:r w:rsidRPr="00231C3A">
        <w:rPr>
          <w:rFonts w:ascii="Times New Roman" w:eastAsia="Times New Roman" w:hAnsi="Times New Roman"/>
          <w:sz w:val="24"/>
          <w:szCs w:val="24"/>
          <w:lang w:eastAsia="lt-LT"/>
        </w:rPr>
        <w:t>., 2005, Nr. 3-38). Šioje apskaitos formoje gydytojas įrašo pagrindinius mokinio sveikatos būklės duomenis: ūgį, svorį, kraujospūdį, klausos, regos, kaulų ir raumenų, kvėpavimo, nervų sistemų sutrikimus</w:t>
      </w:r>
      <w:r>
        <w:rPr>
          <w:rFonts w:ascii="Times New Roman" w:eastAsia="Times New Roman" w:hAnsi="Times New Roman"/>
          <w:sz w:val="24"/>
          <w:szCs w:val="24"/>
          <w:lang w:eastAsia="lt-LT"/>
        </w:rPr>
        <w:t>, bei esamą dantų būklę</w:t>
      </w:r>
      <w:r w:rsidRPr="00231C3A">
        <w:rPr>
          <w:rFonts w:ascii="Times New Roman" w:eastAsia="Times New Roman" w:hAnsi="Times New Roman"/>
          <w:sz w:val="24"/>
          <w:szCs w:val="24"/>
          <w:lang w:eastAsia="lt-LT"/>
        </w:rPr>
        <w:t>. Taip pat šioje formoje pateikiama išvada apie mokinio fizinį pasirengimą, pagal kurį jis priskiriamas vienai iš trijų - pagrindinei, parengiamajai ar specialiajai - fizinio ugdymo grupei. Tačiau pastebima, kad ne visada šeimos gydytojai ir pediatrai</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odontologai</w:t>
      </w:r>
      <w:proofErr w:type="spellEnd"/>
      <w:r w:rsidRPr="00231C3A">
        <w:rPr>
          <w:rFonts w:ascii="Times New Roman" w:eastAsia="Times New Roman" w:hAnsi="Times New Roman"/>
          <w:sz w:val="24"/>
          <w:szCs w:val="24"/>
          <w:lang w:eastAsia="lt-LT"/>
        </w:rPr>
        <w:t xml:space="preserve"> dėl laiko stokos, pacientų eilių ir kitų priežasčių išsamiai ir nuosekliai užpildo šias formas, neretai pasitaiko tuščių, neužpildytų grafų, dėl šios priežasties dažnai yra gaunama nepilna mokinių sveikatos būklės informacija.</w:t>
      </w:r>
    </w:p>
    <w:p w:rsidR="00F07221" w:rsidRDefault="00F07221" w:rsidP="00F07221">
      <w:pPr>
        <w:spacing w:after="0"/>
        <w:ind w:firstLine="1134"/>
        <w:jc w:val="both"/>
        <w:rPr>
          <w:rFonts w:ascii="Times New Roman" w:eastAsia="Times New Roman" w:hAnsi="Times New Roman"/>
          <w:sz w:val="24"/>
          <w:szCs w:val="24"/>
          <w:lang w:eastAsia="lt-LT"/>
        </w:rPr>
      </w:pPr>
      <w:r w:rsidRPr="00231C3A">
        <w:rPr>
          <w:rFonts w:ascii="Times New Roman" w:eastAsia="Times New Roman" w:hAnsi="Times New Roman"/>
          <w:sz w:val="24"/>
          <w:szCs w:val="24"/>
          <w:lang w:eastAsia="lt-LT"/>
        </w:rPr>
        <w:t>Moksleivių kasmetinių profilaktinių patikrinimų duomenys</w:t>
      </w:r>
      <w:r>
        <w:rPr>
          <w:rFonts w:ascii="Times New Roman" w:eastAsia="Times New Roman" w:hAnsi="Times New Roman"/>
          <w:sz w:val="24"/>
          <w:szCs w:val="24"/>
          <w:lang w:eastAsia="lt-LT"/>
        </w:rPr>
        <w:t>,</w:t>
      </w:r>
      <w:r w:rsidRPr="00231C3A">
        <w:rPr>
          <w:rFonts w:ascii="Times New Roman" w:eastAsia="Times New Roman" w:hAnsi="Times New Roman"/>
          <w:sz w:val="24"/>
          <w:szCs w:val="24"/>
          <w:lang w:eastAsia="lt-LT"/>
        </w:rPr>
        <w:t xml:space="preserve"> kaip pagrindinis informacijos apie mokinių sveikatos būklę informacijos šaltinis</w:t>
      </w:r>
      <w:r>
        <w:rPr>
          <w:rFonts w:ascii="Times New Roman" w:eastAsia="Times New Roman" w:hAnsi="Times New Roman"/>
          <w:sz w:val="24"/>
          <w:szCs w:val="24"/>
          <w:lang w:eastAsia="lt-LT"/>
        </w:rPr>
        <w:t>,</w:t>
      </w:r>
      <w:r w:rsidRPr="00231C3A">
        <w:rPr>
          <w:rFonts w:ascii="Times New Roman" w:eastAsia="Times New Roman" w:hAnsi="Times New Roman"/>
          <w:sz w:val="24"/>
          <w:szCs w:val="24"/>
          <w:lang w:eastAsia="lt-LT"/>
        </w:rPr>
        <w:t xml:space="preserve"> reikalingas visuomenės sveikatos priežiūros specialistams, mokyklos administracijai, kūno kultūros mokytojams ir visiems kitiems mokyklų pedagogams. Mokyklų visuomenės sveikatos priežiūros specialistams mokinių profilaktinių sveikatos patikrinimų duomenų analizė padeda kryptingai planuoti ir įgyvendinti sveikatos priežiūrą mokykloje, organizuoti ir įgyvendinti priemones, susijusias su ligų ir traumų profilaktika, taip padedant mokiniams</w:t>
      </w:r>
      <w:r>
        <w:rPr>
          <w:rFonts w:ascii="Times New Roman" w:eastAsia="Times New Roman" w:hAnsi="Times New Roman"/>
          <w:sz w:val="24"/>
          <w:szCs w:val="24"/>
          <w:lang w:eastAsia="lt-LT"/>
        </w:rPr>
        <w:t xml:space="preserve"> saugoti ir stiprinti sveikatą. </w:t>
      </w:r>
      <w:r w:rsidRPr="00231C3A">
        <w:rPr>
          <w:rFonts w:ascii="Times New Roman" w:eastAsia="Times New Roman" w:hAnsi="Times New Roman"/>
          <w:sz w:val="24"/>
          <w:szCs w:val="24"/>
          <w:lang w:eastAsia="lt-LT"/>
        </w:rPr>
        <w:t>Mokyklų administracijos darbuotojams informacija apie moksleivių sveikatą parodo, kokios mokinių sveikatos problemos vyrauja jų mokykloje, o tai gali tapti svariu motyvu įsijungti ar net inicijuoti sveikatos stiprinimo priemonių jų ugdymo įstaigoje įgyvendinimą. Kūno kultūros mokytojai, tik atsižvelgę į gydytojų priskirtas mokinių fizinio ugdymo grupes, gali tikslingai planuoti fizinio lavinimo pamokas ir moksleiviams nustatyti tinkamus ir jų sveikatą stiprinančius fizinius krūvius.</w:t>
      </w:r>
    </w:p>
    <w:p w:rsidR="00F07221" w:rsidRDefault="00F07221" w:rsidP="00F07221">
      <w:pPr>
        <w:spacing w:after="0"/>
        <w:ind w:firstLine="1134"/>
        <w:jc w:val="both"/>
        <w:rPr>
          <w:rFonts w:ascii="Times New Roman" w:eastAsia="Times New Roman" w:hAnsi="Times New Roman"/>
          <w:sz w:val="24"/>
          <w:szCs w:val="24"/>
          <w:lang w:eastAsia="lt-LT"/>
        </w:rPr>
      </w:pPr>
      <w:r w:rsidRPr="00231C3A">
        <w:rPr>
          <w:rFonts w:ascii="Times New Roman" w:eastAsia="Times New Roman" w:hAnsi="Times New Roman"/>
          <w:sz w:val="24"/>
          <w:szCs w:val="24"/>
          <w:lang w:eastAsia="lt-LT"/>
        </w:rPr>
        <w:t>Mokinių profilaktinių sveikatos patikrinimų duomenys nuo 2010 m. yra saugomi Plungės rajono savivaldybės visuomenės sveikatos biure.</w:t>
      </w:r>
      <w:r>
        <w:rPr>
          <w:rFonts w:ascii="Times New Roman" w:eastAsia="Times New Roman" w:hAnsi="Times New Roman"/>
          <w:sz w:val="24"/>
          <w:szCs w:val="24"/>
          <w:lang w:eastAsia="lt-LT"/>
        </w:rPr>
        <w:t xml:space="preserve"> Šie duomenys kasmet yra</w:t>
      </w:r>
      <w:r w:rsidRPr="00231C3A">
        <w:rPr>
          <w:rFonts w:ascii="Times New Roman" w:eastAsia="Times New Roman" w:hAnsi="Times New Roman"/>
          <w:sz w:val="24"/>
          <w:szCs w:val="24"/>
          <w:lang w:eastAsia="lt-LT"/>
        </w:rPr>
        <w:t xml:space="preserve"> analiz</w:t>
      </w:r>
      <w:r>
        <w:rPr>
          <w:rFonts w:ascii="Times New Roman" w:eastAsia="Times New Roman" w:hAnsi="Times New Roman"/>
          <w:sz w:val="24"/>
          <w:szCs w:val="24"/>
          <w:lang w:eastAsia="lt-LT"/>
        </w:rPr>
        <w:t>uojami, vertinami, lyginami, yra</w:t>
      </w:r>
      <w:r w:rsidRPr="00231C3A">
        <w:rPr>
          <w:rFonts w:ascii="Times New Roman" w:eastAsia="Times New Roman" w:hAnsi="Times New Roman"/>
          <w:sz w:val="24"/>
          <w:szCs w:val="24"/>
          <w:lang w:eastAsia="lt-LT"/>
        </w:rPr>
        <w:t xml:space="preserve"> stebima jų kitimo tendencija, o gauti rezultatai pateikiami bendruomenei, Plungės rajono savivaldybės </w:t>
      </w:r>
      <w:r>
        <w:rPr>
          <w:rFonts w:ascii="Times New Roman" w:eastAsia="Times New Roman" w:hAnsi="Times New Roman"/>
          <w:sz w:val="24"/>
          <w:szCs w:val="24"/>
          <w:lang w:eastAsia="lt-LT"/>
        </w:rPr>
        <w:t>Š</w:t>
      </w:r>
      <w:r w:rsidRPr="00231C3A">
        <w:rPr>
          <w:rFonts w:ascii="Times New Roman" w:eastAsia="Times New Roman" w:hAnsi="Times New Roman"/>
          <w:sz w:val="24"/>
          <w:szCs w:val="24"/>
          <w:lang w:eastAsia="lt-LT"/>
        </w:rPr>
        <w:t xml:space="preserve">vietimo skyriui, </w:t>
      </w:r>
      <w:r>
        <w:rPr>
          <w:rFonts w:ascii="Times New Roman" w:eastAsia="Times New Roman" w:hAnsi="Times New Roman"/>
          <w:sz w:val="24"/>
          <w:szCs w:val="24"/>
          <w:lang w:eastAsia="lt-LT"/>
        </w:rPr>
        <w:t xml:space="preserve">bendrojo ugdymo įstaigoms, </w:t>
      </w:r>
      <w:r w:rsidRPr="00231C3A">
        <w:rPr>
          <w:rFonts w:ascii="Times New Roman" w:eastAsia="Times New Roman" w:hAnsi="Times New Roman"/>
          <w:sz w:val="24"/>
          <w:szCs w:val="24"/>
          <w:lang w:eastAsia="lt-LT"/>
        </w:rPr>
        <w:t>Plungės rajono savivaldybės gydytojui</w:t>
      </w:r>
      <w:r>
        <w:rPr>
          <w:rFonts w:ascii="Times New Roman" w:eastAsia="Times New Roman" w:hAnsi="Times New Roman"/>
          <w:sz w:val="24"/>
          <w:szCs w:val="24"/>
          <w:lang w:eastAsia="lt-LT"/>
        </w:rPr>
        <w:t xml:space="preserve"> </w:t>
      </w:r>
      <w:r w:rsidRPr="00231C3A">
        <w:rPr>
          <w:rFonts w:ascii="Times New Roman" w:eastAsia="Times New Roman" w:hAnsi="Times New Roman"/>
          <w:sz w:val="24"/>
          <w:szCs w:val="24"/>
          <w:lang w:eastAsia="lt-LT"/>
        </w:rPr>
        <w:t>bei kitoms</w:t>
      </w:r>
      <w:r>
        <w:rPr>
          <w:rFonts w:ascii="Times New Roman" w:eastAsia="Times New Roman" w:hAnsi="Times New Roman"/>
          <w:sz w:val="24"/>
          <w:szCs w:val="24"/>
          <w:lang w:eastAsia="lt-LT"/>
        </w:rPr>
        <w:t xml:space="preserve"> suinteresuotoms institucijoms.</w:t>
      </w:r>
    </w:p>
    <w:p w:rsidR="00F07221" w:rsidRDefault="00F07221" w:rsidP="00F07221">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Nuo 2017 m. naudojami duomenys iš Vaikų sveikatos </w:t>
      </w:r>
      <w:proofErr w:type="spellStart"/>
      <w:r>
        <w:rPr>
          <w:rFonts w:ascii="Times New Roman" w:eastAsia="Times New Roman" w:hAnsi="Times New Roman"/>
          <w:sz w:val="24"/>
          <w:szCs w:val="24"/>
          <w:lang w:eastAsia="lt-LT"/>
        </w:rPr>
        <w:t>stebėsenos</w:t>
      </w:r>
      <w:proofErr w:type="spellEnd"/>
      <w:r>
        <w:rPr>
          <w:rFonts w:ascii="Times New Roman" w:eastAsia="Times New Roman" w:hAnsi="Times New Roman"/>
          <w:sz w:val="24"/>
          <w:szCs w:val="24"/>
          <w:lang w:eastAsia="lt-LT"/>
        </w:rPr>
        <w:t xml:space="preserve"> informacinės sistemos (VSS</w:t>
      </w:r>
      <w:r w:rsidR="0018533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IS), į šią sistemą duomenys yra suvedami iš „Vaiko sveikatos pažymėjimo“. Šios sistemos dėka yra galimybė analizuoti ir palyginti mokinių sveikatos duomenis pagal savivaldybes, mokyklas. Tinkamam VSS</w:t>
      </w:r>
      <w:r w:rsidR="000662F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IS darbui yra užtikrinta sąveika su kitais registrais ir informacinėmis sistemomis. Naudojami adresų, mokinių, švietimo ir mokslo institucijų, Gyventojų, Mirties atvejų ir jų priežasčių valstybės registrų, Privalomojo sveikatos draudimo informacinės sistemos “</w:t>
      </w:r>
      <w:proofErr w:type="spellStart"/>
      <w:r>
        <w:rPr>
          <w:rFonts w:ascii="Times New Roman" w:eastAsia="Times New Roman" w:hAnsi="Times New Roman"/>
          <w:sz w:val="24"/>
          <w:szCs w:val="24"/>
          <w:lang w:eastAsia="lt-LT"/>
        </w:rPr>
        <w:t>Sveidra</w:t>
      </w:r>
      <w:proofErr w:type="spellEnd"/>
      <w:r>
        <w:rPr>
          <w:rFonts w:ascii="Times New Roman" w:eastAsia="Times New Roman" w:hAnsi="Times New Roman"/>
          <w:sz w:val="24"/>
          <w:szCs w:val="24"/>
          <w:lang w:eastAsia="lt-LT"/>
        </w:rPr>
        <w:t>“, Elektroninės sveikatos paslaugų ir bendradarbiavimo infrastruktūros informacinės sistemos ESPB IS, socialinės paramos informacinės sistemos SPIS duomenys.</w:t>
      </w:r>
    </w:p>
    <w:p w:rsidR="00326FF6" w:rsidRDefault="00326FF6" w:rsidP="00F07221">
      <w:pPr>
        <w:spacing w:after="0"/>
        <w:ind w:firstLine="1134"/>
        <w:jc w:val="both"/>
        <w:rPr>
          <w:rFonts w:ascii="Times New Roman" w:eastAsia="Times New Roman" w:hAnsi="Times New Roman"/>
          <w:sz w:val="24"/>
          <w:szCs w:val="24"/>
          <w:lang w:eastAsia="lt-LT"/>
        </w:rPr>
      </w:pPr>
    </w:p>
    <w:p w:rsidR="00326FF6" w:rsidRDefault="00326FF6" w:rsidP="00F07221">
      <w:pPr>
        <w:spacing w:after="0"/>
        <w:ind w:firstLine="1134"/>
        <w:jc w:val="both"/>
        <w:rPr>
          <w:rFonts w:ascii="Times New Roman" w:eastAsia="Times New Roman" w:hAnsi="Times New Roman"/>
          <w:sz w:val="24"/>
          <w:szCs w:val="24"/>
          <w:lang w:eastAsia="lt-LT"/>
        </w:rPr>
      </w:pPr>
    </w:p>
    <w:p w:rsidR="00185336" w:rsidRDefault="00185336" w:rsidP="00F07221">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2019 - 2020</w:t>
      </w:r>
      <w:r w:rsidR="00326FF6">
        <w:rPr>
          <w:rFonts w:ascii="Times New Roman" w:eastAsia="Times New Roman" w:hAnsi="Times New Roman"/>
          <w:sz w:val="24"/>
          <w:szCs w:val="24"/>
          <w:lang w:eastAsia="lt-LT"/>
        </w:rPr>
        <w:t xml:space="preserve"> </w:t>
      </w:r>
      <w:proofErr w:type="spellStart"/>
      <w:r w:rsidR="00326FF6">
        <w:rPr>
          <w:rFonts w:ascii="Times New Roman" w:eastAsia="Times New Roman" w:hAnsi="Times New Roman"/>
          <w:sz w:val="24"/>
          <w:szCs w:val="24"/>
          <w:lang w:eastAsia="lt-LT"/>
        </w:rPr>
        <w:t>m</w:t>
      </w:r>
      <w:proofErr w:type="spellEnd"/>
      <w:r w:rsidR="00326FF6">
        <w:rPr>
          <w:rFonts w:ascii="Times New Roman" w:eastAsia="Times New Roman" w:hAnsi="Times New Roman"/>
          <w:sz w:val="24"/>
          <w:szCs w:val="24"/>
          <w:lang w:eastAsia="lt-LT"/>
        </w:rPr>
        <w:t xml:space="preserve">. m. Plungės rajono savivaldybėje veikė 14 bendrojo lavinimo įstaigų (skyriai ir jų mokiniai priskiriami mokyklai). Vaikų sveikatos </w:t>
      </w:r>
      <w:proofErr w:type="spellStart"/>
      <w:r w:rsidR="00326FF6">
        <w:rPr>
          <w:rFonts w:ascii="Times New Roman" w:eastAsia="Times New Roman" w:hAnsi="Times New Roman"/>
          <w:sz w:val="24"/>
          <w:szCs w:val="24"/>
          <w:lang w:eastAsia="lt-LT"/>
        </w:rPr>
        <w:t>stebėsenos</w:t>
      </w:r>
      <w:proofErr w:type="spellEnd"/>
      <w:r w:rsidR="00E02A83">
        <w:rPr>
          <w:rFonts w:ascii="Times New Roman" w:eastAsia="Times New Roman" w:hAnsi="Times New Roman"/>
          <w:sz w:val="24"/>
          <w:szCs w:val="24"/>
          <w:lang w:eastAsia="lt-LT"/>
        </w:rPr>
        <w:t xml:space="preserve"> informacijos</w:t>
      </w:r>
      <w:r w:rsidR="00326FF6">
        <w:rPr>
          <w:rFonts w:ascii="Times New Roman" w:eastAsia="Times New Roman" w:hAnsi="Times New Roman"/>
          <w:sz w:val="24"/>
          <w:szCs w:val="24"/>
          <w:lang w:eastAsia="lt-LT"/>
        </w:rPr>
        <w:t xml:space="preserve"> sistemos </w:t>
      </w:r>
      <w:r w:rsidR="00E02A83">
        <w:rPr>
          <w:rFonts w:ascii="Times New Roman" w:eastAsia="Times New Roman" w:hAnsi="Times New Roman"/>
          <w:sz w:val="24"/>
          <w:szCs w:val="24"/>
          <w:lang w:eastAsia="lt-LT"/>
        </w:rPr>
        <w:t xml:space="preserve">(VSS IS) </w:t>
      </w:r>
      <w:r w:rsidR="00326FF6">
        <w:rPr>
          <w:rFonts w:ascii="Times New Roman" w:eastAsia="Times New Roman" w:hAnsi="Times New Roman"/>
          <w:sz w:val="24"/>
          <w:szCs w:val="24"/>
          <w:lang w:eastAsia="lt-LT"/>
        </w:rPr>
        <w:t xml:space="preserve">duomenimis </w:t>
      </w:r>
      <w:r w:rsidR="00E02A83">
        <w:rPr>
          <w:rFonts w:ascii="Times New Roman" w:eastAsia="Times New Roman" w:hAnsi="Times New Roman"/>
          <w:sz w:val="24"/>
          <w:szCs w:val="24"/>
          <w:lang w:eastAsia="lt-LT"/>
        </w:rPr>
        <w:t>Plungės rajono savivaldybės bendrojo lavinimo ir profesin</w:t>
      </w:r>
      <w:r w:rsidR="00383EA2">
        <w:rPr>
          <w:rFonts w:ascii="Times New Roman" w:eastAsia="Times New Roman" w:hAnsi="Times New Roman"/>
          <w:sz w:val="24"/>
          <w:szCs w:val="24"/>
          <w:lang w:eastAsia="lt-LT"/>
        </w:rPr>
        <w:t>io mokymo įstaigose mokosi</w:t>
      </w:r>
      <w:r>
        <w:rPr>
          <w:rFonts w:ascii="Times New Roman" w:eastAsia="Times New Roman" w:hAnsi="Times New Roman"/>
          <w:sz w:val="24"/>
          <w:szCs w:val="24"/>
          <w:lang w:eastAsia="lt-LT"/>
        </w:rPr>
        <w:t xml:space="preserve"> 4173 mokiniai</w:t>
      </w:r>
      <w:r w:rsidR="00383EA2">
        <w:rPr>
          <w:rFonts w:ascii="Times New Roman" w:eastAsia="Times New Roman" w:hAnsi="Times New Roman"/>
          <w:sz w:val="24"/>
          <w:szCs w:val="24"/>
          <w:lang w:eastAsia="lt-LT"/>
        </w:rPr>
        <w:t xml:space="preserve"> iš jų 3,3 </w:t>
      </w:r>
      <w:proofErr w:type="spellStart"/>
      <w:r w:rsidR="00383EA2">
        <w:rPr>
          <w:rFonts w:ascii="Times New Roman" w:eastAsia="Times New Roman" w:hAnsi="Times New Roman"/>
          <w:sz w:val="24"/>
          <w:szCs w:val="24"/>
          <w:lang w:eastAsia="lt-LT"/>
        </w:rPr>
        <w:t>proc</w:t>
      </w:r>
      <w:proofErr w:type="spellEnd"/>
      <w:r w:rsidR="00383EA2">
        <w:rPr>
          <w:rFonts w:ascii="Times New Roman" w:eastAsia="Times New Roman" w:hAnsi="Times New Roman"/>
          <w:sz w:val="24"/>
          <w:szCs w:val="24"/>
          <w:lang w:eastAsia="lt-LT"/>
        </w:rPr>
        <w:t xml:space="preserve">. </w:t>
      </w:r>
      <w:r w:rsidR="000662FA">
        <w:rPr>
          <w:rFonts w:ascii="Times New Roman" w:eastAsia="Times New Roman" w:hAnsi="Times New Roman"/>
          <w:sz w:val="24"/>
          <w:szCs w:val="24"/>
          <w:lang w:eastAsia="lt-LT"/>
        </w:rPr>
        <w:t>neturi</w:t>
      </w:r>
      <w:r w:rsidR="0086557A">
        <w:rPr>
          <w:rFonts w:ascii="Times New Roman" w:eastAsia="Times New Roman" w:hAnsi="Times New Roman"/>
          <w:sz w:val="24"/>
          <w:szCs w:val="24"/>
          <w:lang w:eastAsia="lt-LT"/>
        </w:rPr>
        <w:t xml:space="preserve"> profilaktinių</w:t>
      </w:r>
      <w:r w:rsidR="0086557A" w:rsidRPr="0086557A">
        <w:rPr>
          <w:rFonts w:ascii="Times New Roman" w:eastAsia="Times New Roman" w:hAnsi="Times New Roman"/>
          <w:sz w:val="24"/>
          <w:szCs w:val="24"/>
          <w:lang w:eastAsia="lt-LT"/>
        </w:rPr>
        <w:t xml:space="preserve"> vaikų sveikatos</w:t>
      </w:r>
      <w:r w:rsidR="0086557A">
        <w:rPr>
          <w:rFonts w:ascii="Times New Roman" w:eastAsia="Times New Roman" w:hAnsi="Times New Roman"/>
          <w:sz w:val="24"/>
          <w:szCs w:val="24"/>
          <w:lang w:eastAsia="lt-LT"/>
        </w:rPr>
        <w:t xml:space="preserve"> pažymėjimų</w:t>
      </w:r>
      <w:r w:rsidR="00383EA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(2020</w:t>
      </w:r>
      <w:r w:rsidR="00E02A83">
        <w:rPr>
          <w:rFonts w:ascii="Times New Roman" w:eastAsia="Times New Roman" w:hAnsi="Times New Roman"/>
          <w:sz w:val="24"/>
          <w:szCs w:val="24"/>
          <w:lang w:eastAsia="lt-LT"/>
        </w:rPr>
        <w:t xml:space="preserve"> </w:t>
      </w:r>
      <w:proofErr w:type="spellStart"/>
      <w:r w:rsidR="00E02A83">
        <w:rPr>
          <w:rFonts w:ascii="Times New Roman" w:eastAsia="Times New Roman" w:hAnsi="Times New Roman"/>
          <w:sz w:val="24"/>
          <w:szCs w:val="24"/>
          <w:lang w:eastAsia="lt-LT"/>
        </w:rPr>
        <w:t>m</w:t>
      </w:r>
      <w:proofErr w:type="spellEnd"/>
      <w:r w:rsidR="00E02A8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sausio 13</w:t>
      </w:r>
      <w:r w:rsidR="00E02A83">
        <w:rPr>
          <w:rFonts w:ascii="Times New Roman" w:eastAsia="Times New Roman" w:hAnsi="Times New Roman"/>
          <w:sz w:val="24"/>
          <w:szCs w:val="24"/>
          <w:lang w:eastAsia="lt-LT"/>
        </w:rPr>
        <w:t xml:space="preserve"> </w:t>
      </w:r>
      <w:proofErr w:type="spellStart"/>
      <w:r w:rsidR="00E02A83">
        <w:rPr>
          <w:rFonts w:ascii="Times New Roman" w:eastAsia="Times New Roman" w:hAnsi="Times New Roman"/>
          <w:sz w:val="24"/>
          <w:szCs w:val="24"/>
          <w:lang w:eastAsia="lt-LT"/>
        </w:rPr>
        <w:t>d</w:t>
      </w:r>
      <w:proofErr w:type="spellEnd"/>
      <w:r w:rsidR="00E02A83">
        <w:rPr>
          <w:rFonts w:ascii="Times New Roman" w:eastAsia="Times New Roman" w:hAnsi="Times New Roman"/>
          <w:sz w:val="24"/>
          <w:szCs w:val="24"/>
          <w:lang w:eastAsia="lt-LT"/>
        </w:rPr>
        <w:t xml:space="preserve">. duomenimis) (1 </w:t>
      </w:r>
      <w:proofErr w:type="spellStart"/>
      <w:r w:rsidR="00E02A83">
        <w:rPr>
          <w:rFonts w:ascii="Times New Roman" w:eastAsia="Times New Roman" w:hAnsi="Times New Roman"/>
          <w:sz w:val="24"/>
          <w:szCs w:val="24"/>
          <w:lang w:eastAsia="lt-LT"/>
        </w:rPr>
        <w:t>pav</w:t>
      </w:r>
      <w:proofErr w:type="spellEnd"/>
      <w:r w:rsidR="00E02A83">
        <w:rPr>
          <w:rFonts w:ascii="Times New Roman" w:eastAsia="Times New Roman" w:hAnsi="Times New Roman"/>
          <w:sz w:val="24"/>
          <w:szCs w:val="24"/>
          <w:lang w:eastAsia="lt-LT"/>
        </w:rPr>
        <w:t>.).</w:t>
      </w:r>
      <w:r w:rsidR="00383EA2">
        <w:rPr>
          <w:rFonts w:ascii="Times New Roman" w:eastAsia="Times New Roman" w:hAnsi="Times New Roman"/>
          <w:sz w:val="24"/>
          <w:szCs w:val="24"/>
          <w:lang w:eastAsia="lt-LT"/>
        </w:rPr>
        <w:t xml:space="preserve"> </w:t>
      </w:r>
    </w:p>
    <w:p w:rsidR="00185336" w:rsidRDefault="00185336" w:rsidP="00F07221">
      <w:pPr>
        <w:spacing w:after="0"/>
        <w:ind w:firstLine="1134"/>
        <w:jc w:val="both"/>
        <w:rPr>
          <w:rFonts w:ascii="Times New Roman" w:eastAsia="Times New Roman" w:hAnsi="Times New Roman"/>
          <w:sz w:val="24"/>
          <w:szCs w:val="24"/>
          <w:lang w:eastAsia="lt-LT"/>
        </w:rPr>
      </w:pPr>
    </w:p>
    <w:p w:rsidR="00185336" w:rsidRDefault="00185336" w:rsidP="00F07221">
      <w:pPr>
        <w:spacing w:after="0"/>
        <w:ind w:firstLine="1134"/>
        <w:jc w:val="both"/>
        <w:rPr>
          <w:rFonts w:ascii="Times New Roman" w:eastAsia="Times New Roman" w:hAnsi="Times New Roman"/>
          <w:sz w:val="24"/>
          <w:szCs w:val="24"/>
          <w:lang w:eastAsia="lt-LT"/>
        </w:rPr>
      </w:pPr>
      <w:r>
        <w:rPr>
          <w:noProof/>
          <w:lang w:eastAsia="lt-LT"/>
        </w:rPr>
        <w:drawing>
          <wp:inline distT="0" distB="0" distL="0" distR="0" wp14:anchorId="4B4BA10B" wp14:editId="1233D12D">
            <wp:extent cx="5573028" cy="2954955"/>
            <wp:effectExtent l="0" t="0" r="27940" b="1714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4285" w:rsidRDefault="003A4285" w:rsidP="00185336">
      <w:pPr>
        <w:spacing w:after="0"/>
        <w:jc w:val="both"/>
        <w:rPr>
          <w:rFonts w:ascii="Times New Roman" w:eastAsia="Times New Roman" w:hAnsi="Times New Roman"/>
          <w:sz w:val="24"/>
          <w:szCs w:val="24"/>
          <w:lang w:eastAsia="lt-LT"/>
        </w:rPr>
      </w:pPr>
    </w:p>
    <w:p w:rsidR="000670A6" w:rsidRDefault="00BE46DC" w:rsidP="00383EA2">
      <w:pPr>
        <w:ind w:firstLine="1134"/>
        <w:jc w:val="both"/>
        <w:rPr>
          <w:rFonts w:ascii="Times New Roman" w:hAnsi="Times New Roman"/>
          <w:sz w:val="24"/>
          <w:szCs w:val="24"/>
        </w:rPr>
      </w:pPr>
      <w:r>
        <w:rPr>
          <w:rFonts w:ascii="Times New Roman" w:hAnsi="Times New Roman"/>
          <w:b/>
          <w:sz w:val="24"/>
          <w:szCs w:val="24"/>
        </w:rPr>
        <w:t xml:space="preserve">1 pav. Mokinių skaičius Plungės rajono bendrojo </w:t>
      </w:r>
      <w:r w:rsidR="00185336">
        <w:rPr>
          <w:rFonts w:ascii="Times New Roman" w:hAnsi="Times New Roman"/>
          <w:b/>
          <w:sz w:val="24"/>
          <w:szCs w:val="24"/>
        </w:rPr>
        <w:t>ugdymo įstaigose 2010/2011- 2019/2020</w:t>
      </w:r>
      <w:r>
        <w:rPr>
          <w:rFonts w:ascii="Times New Roman" w:hAnsi="Times New Roman"/>
          <w:b/>
          <w:sz w:val="24"/>
          <w:szCs w:val="24"/>
        </w:rPr>
        <w:t xml:space="preserve"> </w:t>
      </w:r>
      <w:proofErr w:type="spellStart"/>
      <w:r>
        <w:rPr>
          <w:rFonts w:ascii="Times New Roman" w:hAnsi="Times New Roman"/>
          <w:b/>
          <w:sz w:val="24"/>
          <w:szCs w:val="24"/>
        </w:rPr>
        <w:t>m</w:t>
      </w:r>
      <w:proofErr w:type="spellEnd"/>
      <w:r>
        <w:rPr>
          <w:rFonts w:ascii="Times New Roman" w:hAnsi="Times New Roman"/>
          <w:b/>
          <w:sz w:val="24"/>
          <w:szCs w:val="24"/>
        </w:rPr>
        <w:t xml:space="preserve">. m.  </w:t>
      </w:r>
      <w:r w:rsidRPr="00B973CB">
        <w:rPr>
          <w:rFonts w:ascii="Times New Roman" w:hAnsi="Times New Roman"/>
          <w:sz w:val="24"/>
          <w:szCs w:val="24"/>
        </w:rPr>
        <w:t xml:space="preserve">*Duomenys gauti iš VSS IS </w:t>
      </w:r>
    </w:p>
    <w:p w:rsidR="00B973CB" w:rsidRDefault="00185336" w:rsidP="00383EA2">
      <w:pPr>
        <w:ind w:firstLine="1134"/>
        <w:jc w:val="both"/>
        <w:rPr>
          <w:rFonts w:ascii="Times New Roman" w:hAnsi="Times New Roman"/>
          <w:sz w:val="24"/>
          <w:szCs w:val="24"/>
        </w:rPr>
      </w:pPr>
      <w:r>
        <w:rPr>
          <w:rFonts w:ascii="Times New Roman" w:hAnsi="Times New Roman"/>
          <w:sz w:val="24"/>
          <w:szCs w:val="24"/>
        </w:rPr>
        <w:t>52,1</w:t>
      </w:r>
      <w:r w:rsidR="00B973CB">
        <w:rPr>
          <w:rFonts w:ascii="Times New Roman" w:hAnsi="Times New Roman"/>
          <w:sz w:val="24"/>
          <w:szCs w:val="24"/>
        </w:rPr>
        <w:t xml:space="preserve"> </w:t>
      </w:r>
      <w:proofErr w:type="spellStart"/>
      <w:r w:rsidR="00B973CB">
        <w:rPr>
          <w:rFonts w:ascii="Times New Roman" w:hAnsi="Times New Roman"/>
          <w:sz w:val="24"/>
          <w:szCs w:val="24"/>
        </w:rPr>
        <w:t>proc</w:t>
      </w:r>
      <w:proofErr w:type="spellEnd"/>
      <w:r w:rsidR="00B973CB">
        <w:rPr>
          <w:rFonts w:ascii="Times New Roman" w:hAnsi="Times New Roman"/>
          <w:sz w:val="24"/>
          <w:szCs w:val="24"/>
        </w:rPr>
        <w:t>. moksleivių y</w:t>
      </w:r>
      <w:r>
        <w:rPr>
          <w:rFonts w:ascii="Times New Roman" w:hAnsi="Times New Roman"/>
          <w:sz w:val="24"/>
          <w:szCs w:val="24"/>
        </w:rPr>
        <w:t>ra berniukai, likusi dalis- 47,9</w:t>
      </w:r>
      <w:r w:rsidR="00B973CB">
        <w:rPr>
          <w:rFonts w:ascii="Times New Roman" w:hAnsi="Times New Roman"/>
          <w:sz w:val="24"/>
          <w:szCs w:val="24"/>
        </w:rPr>
        <w:t xml:space="preserve"> </w:t>
      </w:r>
      <w:proofErr w:type="spellStart"/>
      <w:r w:rsidR="00B973CB">
        <w:rPr>
          <w:rFonts w:ascii="Times New Roman" w:hAnsi="Times New Roman"/>
          <w:sz w:val="24"/>
          <w:szCs w:val="24"/>
        </w:rPr>
        <w:t>proc</w:t>
      </w:r>
      <w:proofErr w:type="spellEnd"/>
      <w:r w:rsidR="00B973CB">
        <w:rPr>
          <w:rFonts w:ascii="Times New Roman" w:hAnsi="Times New Roman"/>
          <w:sz w:val="24"/>
          <w:szCs w:val="24"/>
        </w:rPr>
        <w:t xml:space="preserve">. mergaitės. Lyginant pagal amžiaus grupes daugiausia vaikų yra 10-14 metų amžiaus grupėje (t.y. 4-7 klasėje) </w:t>
      </w:r>
      <w:r w:rsidR="00FA396C">
        <w:rPr>
          <w:rFonts w:ascii="Times New Roman" w:hAnsi="Times New Roman"/>
          <w:sz w:val="24"/>
          <w:szCs w:val="24"/>
        </w:rPr>
        <w:t xml:space="preserve">43,6 </w:t>
      </w:r>
      <w:proofErr w:type="spellStart"/>
      <w:r w:rsidR="00FA396C">
        <w:rPr>
          <w:rFonts w:ascii="Times New Roman" w:hAnsi="Times New Roman"/>
          <w:sz w:val="24"/>
          <w:szCs w:val="24"/>
        </w:rPr>
        <w:t>proc</w:t>
      </w:r>
      <w:proofErr w:type="spellEnd"/>
      <w:r w:rsidR="00FA396C">
        <w:rPr>
          <w:rFonts w:ascii="Times New Roman" w:hAnsi="Times New Roman"/>
          <w:sz w:val="24"/>
          <w:szCs w:val="24"/>
        </w:rPr>
        <w:t xml:space="preserve">., </w:t>
      </w:r>
      <w:r w:rsidR="00B973CB">
        <w:rPr>
          <w:rFonts w:ascii="Times New Roman" w:hAnsi="Times New Roman"/>
          <w:sz w:val="24"/>
          <w:szCs w:val="24"/>
        </w:rPr>
        <w:t>26</w:t>
      </w:r>
      <w:r w:rsidR="00FA396C">
        <w:rPr>
          <w:rFonts w:ascii="Times New Roman" w:hAnsi="Times New Roman"/>
          <w:sz w:val="24"/>
          <w:szCs w:val="24"/>
        </w:rPr>
        <w:t xml:space="preserve">,6  </w:t>
      </w:r>
      <w:proofErr w:type="spellStart"/>
      <w:r w:rsidR="00FA396C">
        <w:rPr>
          <w:rFonts w:ascii="Times New Roman" w:hAnsi="Times New Roman"/>
          <w:sz w:val="24"/>
          <w:szCs w:val="24"/>
        </w:rPr>
        <w:t>proc</w:t>
      </w:r>
      <w:proofErr w:type="spellEnd"/>
      <w:r w:rsidR="00FA396C">
        <w:rPr>
          <w:rFonts w:ascii="Times New Roman" w:hAnsi="Times New Roman"/>
          <w:sz w:val="24"/>
          <w:szCs w:val="24"/>
        </w:rPr>
        <w:t>.</w:t>
      </w:r>
      <w:r w:rsidR="00B973CB">
        <w:rPr>
          <w:rFonts w:ascii="Times New Roman" w:hAnsi="Times New Roman"/>
          <w:sz w:val="24"/>
          <w:szCs w:val="24"/>
        </w:rPr>
        <w:t xml:space="preserve"> moksleivių yra</w:t>
      </w:r>
      <w:r w:rsidR="00FA396C">
        <w:rPr>
          <w:rFonts w:ascii="Times New Roman" w:hAnsi="Times New Roman"/>
          <w:sz w:val="24"/>
          <w:szCs w:val="24"/>
        </w:rPr>
        <w:t xml:space="preserve"> 15-17 metų amžiaus grupėje, o 6</w:t>
      </w:r>
      <w:r w:rsidR="00B973CB">
        <w:rPr>
          <w:rFonts w:ascii="Times New Roman" w:hAnsi="Times New Roman"/>
          <w:sz w:val="24"/>
          <w:szCs w:val="24"/>
        </w:rPr>
        <w:t>-9 metų amžiaus</w:t>
      </w:r>
      <w:r w:rsidR="00FA396C">
        <w:rPr>
          <w:rFonts w:ascii="Times New Roman" w:hAnsi="Times New Roman"/>
          <w:sz w:val="24"/>
          <w:szCs w:val="24"/>
        </w:rPr>
        <w:t xml:space="preserve"> grupėje besimokančių vaikų 2019/2020 </w:t>
      </w:r>
      <w:proofErr w:type="spellStart"/>
      <w:r w:rsidR="00FA396C">
        <w:rPr>
          <w:rFonts w:ascii="Times New Roman" w:hAnsi="Times New Roman"/>
          <w:sz w:val="24"/>
          <w:szCs w:val="24"/>
        </w:rPr>
        <w:t>m</w:t>
      </w:r>
      <w:proofErr w:type="spellEnd"/>
      <w:r w:rsidR="00FA396C">
        <w:rPr>
          <w:rFonts w:ascii="Times New Roman" w:hAnsi="Times New Roman"/>
          <w:sz w:val="24"/>
          <w:szCs w:val="24"/>
        </w:rPr>
        <w:t>. m. buvo 18,9</w:t>
      </w:r>
      <w:r w:rsidR="00B973CB">
        <w:rPr>
          <w:rFonts w:ascii="Times New Roman" w:hAnsi="Times New Roman"/>
          <w:sz w:val="24"/>
          <w:szCs w:val="24"/>
        </w:rPr>
        <w:t xml:space="preserve"> </w:t>
      </w:r>
      <w:proofErr w:type="spellStart"/>
      <w:r w:rsidR="00B973CB">
        <w:rPr>
          <w:rFonts w:ascii="Times New Roman" w:hAnsi="Times New Roman"/>
          <w:sz w:val="24"/>
          <w:szCs w:val="24"/>
        </w:rPr>
        <w:t>proc</w:t>
      </w:r>
      <w:proofErr w:type="spellEnd"/>
      <w:r w:rsidR="00B973CB">
        <w:rPr>
          <w:rFonts w:ascii="Times New Roman" w:hAnsi="Times New Roman"/>
          <w:sz w:val="24"/>
          <w:szCs w:val="24"/>
        </w:rPr>
        <w:t xml:space="preserve">. (2 </w:t>
      </w:r>
      <w:proofErr w:type="spellStart"/>
      <w:r w:rsidR="00B973CB">
        <w:rPr>
          <w:rFonts w:ascii="Times New Roman" w:hAnsi="Times New Roman"/>
          <w:sz w:val="24"/>
          <w:szCs w:val="24"/>
        </w:rPr>
        <w:t>pav</w:t>
      </w:r>
      <w:proofErr w:type="spellEnd"/>
      <w:r w:rsidR="00B973CB">
        <w:rPr>
          <w:rFonts w:ascii="Times New Roman" w:hAnsi="Times New Roman"/>
          <w:sz w:val="24"/>
          <w:szCs w:val="24"/>
        </w:rPr>
        <w:t>.).</w:t>
      </w:r>
    </w:p>
    <w:p w:rsidR="00383EA2" w:rsidRPr="00383EA2" w:rsidRDefault="00383EA2" w:rsidP="00383EA2">
      <w:pPr>
        <w:ind w:firstLine="1134"/>
        <w:jc w:val="both"/>
        <w:rPr>
          <w:rFonts w:ascii="Times New Roman" w:hAnsi="Times New Roman"/>
          <w:sz w:val="24"/>
          <w:szCs w:val="24"/>
        </w:rPr>
      </w:pPr>
      <w:r>
        <w:rPr>
          <w:noProof/>
          <w:lang w:eastAsia="lt-LT"/>
        </w:rPr>
        <w:drawing>
          <wp:inline distT="0" distB="0" distL="0" distR="0" wp14:anchorId="7282124B" wp14:editId="65A72383">
            <wp:extent cx="4215865" cy="2233062"/>
            <wp:effectExtent l="0" t="0" r="13335" b="1524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C9B" w:rsidRPr="00173276" w:rsidRDefault="00574C66" w:rsidP="00173276">
      <w:pPr>
        <w:jc w:val="center"/>
        <w:rPr>
          <w:rFonts w:ascii="Times New Roman" w:hAnsi="Times New Roman"/>
          <w:b/>
          <w:sz w:val="24"/>
          <w:szCs w:val="24"/>
        </w:rPr>
      </w:pPr>
      <w:r>
        <w:rPr>
          <w:rFonts w:ascii="Times New Roman" w:hAnsi="Times New Roman"/>
          <w:b/>
          <w:sz w:val="24"/>
          <w:szCs w:val="24"/>
        </w:rPr>
        <w:t xml:space="preserve">2  pav. Mokinių skaičius (proc.) pagal amžiaus </w:t>
      </w:r>
      <w:r w:rsidR="00383EA2">
        <w:rPr>
          <w:rFonts w:ascii="Times New Roman" w:hAnsi="Times New Roman"/>
          <w:b/>
          <w:sz w:val="24"/>
          <w:szCs w:val="24"/>
        </w:rPr>
        <w:t>grupes 2019/2020</w:t>
      </w:r>
      <w:r>
        <w:rPr>
          <w:rFonts w:ascii="Times New Roman" w:hAnsi="Times New Roman"/>
          <w:b/>
          <w:sz w:val="24"/>
          <w:szCs w:val="24"/>
        </w:rPr>
        <w:t xml:space="preserve"> </w:t>
      </w:r>
      <w:proofErr w:type="spellStart"/>
      <w:r>
        <w:rPr>
          <w:rFonts w:ascii="Times New Roman" w:hAnsi="Times New Roman"/>
          <w:b/>
          <w:sz w:val="24"/>
          <w:szCs w:val="24"/>
        </w:rPr>
        <w:t>m</w:t>
      </w:r>
      <w:proofErr w:type="spellEnd"/>
      <w:r>
        <w:rPr>
          <w:rFonts w:ascii="Times New Roman" w:hAnsi="Times New Roman"/>
          <w:b/>
          <w:sz w:val="24"/>
          <w:szCs w:val="24"/>
        </w:rPr>
        <w:t xml:space="preserve">. m. Plungės rajono bendrojo lavinimo </w:t>
      </w:r>
      <w:r w:rsidR="00EC64CC">
        <w:rPr>
          <w:rFonts w:ascii="Times New Roman" w:hAnsi="Times New Roman"/>
          <w:b/>
          <w:sz w:val="24"/>
          <w:szCs w:val="24"/>
        </w:rPr>
        <w:t xml:space="preserve">ir </w:t>
      </w:r>
      <w:r w:rsidR="00EC64CC" w:rsidRPr="00EC64CC">
        <w:rPr>
          <w:rFonts w:ascii="Times New Roman" w:hAnsi="Times New Roman"/>
          <w:b/>
          <w:sz w:val="24"/>
          <w:szCs w:val="24"/>
        </w:rPr>
        <w:t xml:space="preserve">profesinio mokymo įstaigose </w:t>
      </w:r>
    </w:p>
    <w:p w:rsidR="00CA5176" w:rsidRDefault="00CA5176" w:rsidP="00CA5176">
      <w:pPr>
        <w:ind w:firstLine="1134"/>
        <w:jc w:val="both"/>
        <w:rPr>
          <w:rFonts w:ascii="Times New Roman" w:hAnsi="Times New Roman"/>
          <w:sz w:val="24"/>
          <w:szCs w:val="24"/>
        </w:rPr>
      </w:pPr>
      <w:r>
        <w:rPr>
          <w:rFonts w:ascii="Times New Roman" w:hAnsi="Times New Roman"/>
          <w:sz w:val="24"/>
          <w:szCs w:val="24"/>
        </w:rPr>
        <w:lastRenderedPageBreak/>
        <w:t>Atliekant profilaktinius vaikų sveikatos patikrinimus</w:t>
      </w:r>
      <w:r w:rsidR="001A31A4">
        <w:rPr>
          <w:rFonts w:ascii="Times New Roman" w:hAnsi="Times New Roman"/>
          <w:sz w:val="24"/>
          <w:szCs w:val="24"/>
        </w:rPr>
        <w:t>, dažniausiai nustatyti regos (</w:t>
      </w:r>
      <w:r w:rsidR="004A6E51">
        <w:rPr>
          <w:rFonts w:ascii="Times New Roman" w:hAnsi="Times New Roman"/>
          <w:sz w:val="24"/>
          <w:szCs w:val="24"/>
        </w:rPr>
        <w:t>31,1</w:t>
      </w:r>
      <w:r w:rsidR="001A31A4">
        <w:rPr>
          <w:rFonts w:ascii="Times New Roman" w:hAnsi="Times New Roman"/>
          <w:sz w:val="24"/>
          <w:szCs w:val="24"/>
        </w:rPr>
        <w:t xml:space="preserve"> </w:t>
      </w:r>
      <w:proofErr w:type="spellStart"/>
      <w:r w:rsidR="001A31A4">
        <w:rPr>
          <w:rFonts w:ascii="Times New Roman" w:hAnsi="Times New Roman"/>
          <w:sz w:val="24"/>
          <w:szCs w:val="24"/>
        </w:rPr>
        <w:t>proc</w:t>
      </w:r>
      <w:proofErr w:type="spellEnd"/>
      <w:r w:rsidR="001A31A4">
        <w:rPr>
          <w:rFonts w:ascii="Times New Roman" w:hAnsi="Times New Roman"/>
          <w:sz w:val="24"/>
          <w:szCs w:val="24"/>
        </w:rPr>
        <w:t>.), skeleto- raumenų (</w:t>
      </w:r>
      <w:r w:rsidR="004A6E51">
        <w:rPr>
          <w:rFonts w:ascii="Times New Roman" w:hAnsi="Times New Roman"/>
          <w:sz w:val="24"/>
          <w:szCs w:val="24"/>
        </w:rPr>
        <w:t>12,2</w:t>
      </w:r>
      <w:r w:rsidR="001A31A4">
        <w:rPr>
          <w:rFonts w:ascii="Times New Roman" w:hAnsi="Times New Roman"/>
          <w:sz w:val="24"/>
          <w:szCs w:val="24"/>
        </w:rPr>
        <w:t xml:space="preserve"> </w:t>
      </w:r>
      <w:proofErr w:type="spellStart"/>
      <w:r w:rsidR="001A31A4">
        <w:rPr>
          <w:rFonts w:ascii="Times New Roman" w:hAnsi="Times New Roman"/>
          <w:sz w:val="24"/>
          <w:szCs w:val="24"/>
        </w:rPr>
        <w:t>proc</w:t>
      </w:r>
      <w:proofErr w:type="spellEnd"/>
      <w:r w:rsidR="001A31A4">
        <w:rPr>
          <w:rFonts w:ascii="Times New Roman" w:hAnsi="Times New Roman"/>
          <w:sz w:val="24"/>
          <w:szCs w:val="24"/>
        </w:rPr>
        <w:t xml:space="preserve">.), kraujotakos </w:t>
      </w:r>
      <w:r w:rsidR="0022121F">
        <w:rPr>
          <w:rFonts w:ascii="Times New Roman" w:hAnsi="Times New Roman"/>
          <w:sz w:val="24"/>
          <w:szCs w:val="24"/>
        </w:rPr>
        <w:t>(</w:t>
      </w:r>
      <w:r w:rsidR="004A6E51">
        <w:rPr>
          <w:rFonts w:ascii="Times New Roman" w:hAnsi="Times New Roman"/>
          <w:sz w:val="24"/>
          <w:szCs w:val="24"/>
        </w:rPr>
        <w:t>7,2</w:t>
      </w:r>
      <w:r w:rsidR="0022121F">
        <w:rPr>
          <w:rFonts w:ascii="Times New Roman" w:hAnsi="Times New Roman"/>
          <w:sz w:val="24"/>
          <w:szCs w:val="24"/>
        </w:rPr>
        <w:t xml:space="preserve"> </w:t>
      </w:r>
      <w:proofErr w:type="spellStart"/>
      <w:r w:rsidR="0022121F">
        <w:rPr>
          <w:rFonts w:ascii="Times New Roman" w:hAnsi="Times New Roman"/>
          <w:sz w:val="24"/>
          <w:szCs w:val="24"/>
        </w:rPr>
        <w:t>proc</w:t>
      </w:r>
      <w:proofErr w:type="spellEnd"/>
      <w:r w:rsidR="0022121F">
        <w:rPr>
          <w:rFonts w:ascii="Times New Roman" w:hAnsi="Times New Roman"/>
          <w:sz w:val="24"/>
          <w:szCs w:val="24"/>
        </w:rPr>
        <w:t>.), kvėpavimo sistemos (</w:t>
      </w:r>
      <w:r w:rsidR="004A6E51">
        <w:rPr>
          <w:rFonts w:ascii="Times New Roman" w:hAnsi="Times New Roman"/>
          <w:sz w:val="24"/>
          <w:szCs w:val="24"/>
        </w:rPr>
        <w:t>5,3</w:t>
      </w:r>
      <w:r w:rsidR="0022121F">
        <w:rPr>
          <w:rFonts w:ascii="Times New Roman" w:hAnsi="Times New Roman"/>
          <w:sz w:val="24"/>
          <w:szCs w:val="24"/>
        </w:rPr>
        <w:t xml:space="preserve"> </w:t>
      </w:r>
      <w:proofErr w:type="spellStart"/>
      <w:r w:rsidR="0022121F">
        <w:rPr>
          <w:rFonts w:ascii="Times New Roman" w:hAnsi="Times New Roman"/>
          <w:sz w:val="24"/>
          <w:szCs w:val="24"/>
        </w:rPr>
        <w:t>proc</w:t>
      </w:r>
      <w:proofErr w:type="spellEnd"/>
      <w:r w:rsidR="0022121F">
        <w:rPr>
          <w:rFonts w:ascii="Times New Roman" w:hAnsi="Times New Roman"/>
          <w:sz w:val="24"/>
          <w:szCs w:val="24"/>
        </w:rPr>
        <w:t>.) sutrikimai. Rečiau nustatomi endokrininės sistemos (</w:t>
      </w:r>
      <w:r w:rsidR="004A6E51">
        <w:rPr>
          <w:rFonts w:ascii="Times New Roman" w:hAnsi="Times New Roman"/>
          <w:sz w:val="24"/>
          <w:szCs w:val="24"/>
        </w:rPr>
        <w:t>3,6</w:t>
      </w:r>
      <w:r w:rsidR="0022121F">
        <w:rPr>
          <w:rFonts w:ascii="Times New Roman" w:hAnsi="Times New Roman"/>
          <w:sz w:val="24"/>
          <w:szCs w:val="24"/>
        </w:rPr>
        <w:t xml:space="preserve"> </w:t>
      </w:r>
      <w:proofErr w:type="spellStart"/>
      <w:r w:rsidR="0022121F">
        <w:rPr>
          <w:rFonts w:ascii="Times New Roman" w:hAnsi="Times New Roman"/>
          <w:sz w:val="24"/>
          <w:szCs w:val="24"/>
        </w:rPr>
        <w:t>proc</w:t>
      </w:r>
      <w:proofErr w:type="spellEnd"/>
      <w:r w:rsidR="0022121F">
        <w:rPr>
          <w:rFonts w:ascii="Times New Roman" w:hAnsi="Times New Roman"/>
          <w:sz w:val="24"/>
          <w:szCs w:val="24"/>
        </w:rPr>
        <w:t>.), nervų sistemos (</w:t>
      </w:r>
      <w:r w:rsidR="004A6E51">
        <w:rPr>
          <w:rFonts w:ascii="Times New Roman" w:hAnsi="Times New Roman"/>
          <w:sz w:val="24"/>
          <w:szCs w:val="24"/>
        </w:rPr>
        <w:t>4</w:t>
      </w:r>
      <w:r w:rsidR="00DB06FC">
        <w:rPr>
          <w:rFonts w:ascii="Times New Roman" w:hAnsi="Times New Roman"/>
          <w:sz w:val="24"/>
          <w:szCs w:val="24"/>
        </w:rPr>
        <w:t>,7</w:t>
      </w:r>
      <w:r w:rsidR="0022121F">
        <w:rPr>
          <w:rFonts w:ascii="Times New Roman" w:hAnsi="Times New Roman"/>
          <w:sz w:val="24"/>
          <w:szCs w:val="24"/>
        </w:rPr>
        <w:t xml:space="preserve"> </w:t>
      </w:r>
      <w:proofErr w:type="spellStart"/>
      <w:r w:rsidR="0022121F">
        <w:rPr>
          <w:rFonts w:ascii="Times New Roman" w:hAnsi="Times New Roman"/>
          <w:sz w:val="24"/>
          <w:szCs w:val="24"/>
        </w:rPr>
        <w:t>proc</w:t>
      </w:r>
      <w:proofErr w:type="spellEnd"/>
      <w:r w:rsidR="0022121F">
        <w:rPr>
          <w:rFonts w:ascii="Times New Roman" w:hAnsi="Times New Roman"/>
          <w:sz w:val="24"/>
          <w:szCs w:val="24"/>
        </w:rPr>
        <w:t>.), odos ir jos priedų (1</w:t>
      </w:r>
      <w:r w:rsidR="00DB06FC">
        <w:rPr>
          <w:rFonts w:ascii="Times New Roman" w:hAnsi="Times New Roman"/>
          <w:sz w:val="24"/>
          <w:szCs w:val="24"/>
        </w:rPr>
        <w:t>,1</w:t>
      </w:r>
      <w:r w:rsidR="0022121F">
        <w:rPr>
          <w:rFonts w:ascii="Times New Roman" w:hAnsi="Times New Roman"/>
          <w:sz w:val="24"/>
          <w:szCs w:val="24"/>
        </w:rPr>
        <w:t xml:space="preserve"> proc.), virškinimo sistemos (</w:t>
      </w:r>
      <w:r w:rsidR="004A6E51">
        <w:rPr>
          <w:rFonts w:ascii="Times New Roman" w:hAnsi="Times New Roman"/>
          <w:sz w:val="24"/>
          <w:szCs w:val="24"/>
        </w:rPr>
        <w:t>0,5</w:t>
      </w:r>
      <w:r w:rsidR="0022121F">
        <w:rPr>
          <w:rFonts w:ascii="Times New Roman" w:hAnsi="Times New Roman"/>
          <w:sz w:val="24"/>
          <w:szCs w:val="24"/>
        </w:rPr>
        <w:t xml:space="preserve"> </w:t>
      </w:r>
      <w:proofErr w:type="spellStart"/>
      <w:r w:rsidR="0022121F">
        <w:rPr>
          <w:rFonts w:ascii="Times New Roman" w:hAnsi="Times New Roman"/>
          <w:sz w:val="24"/>
          <w:szCs w:val="24"/>
        </w:rPr>
        <w:t>proc</w:t>
      </w:r>
      <w:proofErr w:type="spellEnd"/>
      <w:r w:rsidR="0022121F">
        <w:rPr>
          <w:rFonts w:ascii="Times New Roman" w:hAnsi="Times New Roman"/>
          <w:sz w:val="24"/>
          <w:szCs w:val="24"/>
        </w:rPr>
        <w:t xml:space="preserve">.), </w:t>
      </w:r>
      <w:proofErr w:type="spellStart"/>
      <w:r w:rsidR="0022121F">
        <w:rPr>
          <w:rFonts w:ascii="Times New Roman" w:hAnsi="Times New Roman"/>
          <w:sz w:val="24"/>
          <w:szCs w:val="24"/>
        </w:rPr>
        <w:t>urogenitalinės</w:t>
      </w:r>
      <w:proofErr w:type="spellEnd"/>
      <w:r w:rsidR="0022121F">
        <w:rPr>
          <w:rFonts w:ascii="Times New Roman" w:hAnsi="Times New Roman"/>
          <w:sz w:val="24"/>
          <w:szCs w:val="24"/>
        </w:rPr>
        <w:t xml:space="preserve"> sistemos (</w:t>
      </w:r>
      <w:r w:rsidR="004A6E51">
        <w:rPr>
          <w:rFonts w:ascii="Times New Roman" w:hAnsi="Times New Roman"/>
          <w:sz w:val="24"/>
          <w:szCs w:val="24"/>
        </w:rPr>
        <w:t>0,6</w:t>
      </w:r>
      <w:r w:rsidR="0022121F">
        <w:rPr>
          <w:rFonts w:ascii="Times New Roman" w:hAnsi="Times New Roman"/>
          <w:sz w:val="24"/>
          <w:szCs w:val="24"/>
        </w:rPr>
        <w:t xml:space="preserve"> </w:t>
      </w:r>
      <w:proofErr w:type="spellStart"/>
      <w:r w:rsidR="0022121F">
        <w:rPr>
          <w:rFonts w:ascii="Times New Roman" w:hAnsi="Times New Roman"/>
          <w:sz w:val="24"/>
          <w:szCs w:val="24"/>
        </w:rPr>
        <w:t>proc</w:t>
      </w:r>
      <w:proofErr w:type="spellEnd"/>
      <w:r w:rsidR="0022121F">
        <w:rPr>
          <w:rFonts w:ascii="Times New Roman" w:hAnsi="Times New Roman"/>
          <w:sz w:val="24"/>
          <w:szCs w:val="24"/>
        </w:rPr>
        <w:t>.), klausos (0,2 proc.) ir kraujo būklės (0,1 proc.) sutrikimai (3 pav.).</w:t>
      </w:r>
    </w:p>
    <w:p w:rsidR="0022121F" w:rsidRDefault="009429F9" w:rsidP="0022121F">
      <w:pPr>
        <w:jc w:val="both"/>
        <w:rPr>
          <w:rFonts w:ascii="Times New Roman" w:hAnsi="Times New Roman"/>
          <w:sz w:val="24"/>
          <w:szCs w:val="24"/>
        </w:rPr>
      </w:pPr>
      <w:r>
        <w:rPr>
          <w:noProof/>
          <w:lang w:eastAsia="lt-LT"/>
        </w:rPr>
        <w:drawing>
          <wp:inline distT="0" distB="0" distL="0" distR="0" wp14:anchorId="1D4E6EF3" wp14:editId="746F1CA9">
            <wp:extent cx="6120130" cy="7000835"/>
            <wp:effectExtent l="0" t="0" r="13970" b="1016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6E69" w:rsidRDefault="00DD6E69" w:rsidP="005F0354">
      <w:pPr>
        <w:jc w:val="center"/>
        <w:rPr>
          <w:rFonts w:ascii="Times New Roman" w:hAnsi="Times New Roman"/>
          <w:b/>
          <w:sz w:val="24"/>
          <w:szCs w:val="24"/>
        </w:rPr>
      </w:pPr>
      <w:r>
        <w:rPr>
          <w:rFonts w:ascii="Times New Roman" w:hAnsi="Times New Roman"/>
          <w:b/>
          <w:sz w:val="24"/>
          <w:szCs w:val="24"/>
        </w:rPr>
        <w:t xml:space="preserve">3 pav. </w:t>
      </w:r>
      <w:r w:rsidR="005F0354">
        <w:rPr>
          <w:rFonts w:ascii="Times New Roman" w:hAnsi="Times New Roman"/>
          <w:b/>
          <w:sz w:val="24"/>
          <w:szCs w:val="24"/>
        </w:rPr>
        <w:t>Profilaktiškai sveikatą pasitikrinusių vaikų dalis Plungės rajono bendrojo lavinimo</w:t>
      </w:r>
      <w:r w:rsidR="00EC64CC">
        <w:rPr>
          <w:rFonts w:ascii="Times New Roman" w:hAnsi="Times New Roman"/>
          <w:b/>
          <w:sz w:val="24"/>
          <w:szCs w:val="24"/>
        </w:rPr>
        <w:t xml:space="preserve"> ir </w:t>
      </w:r>
      <w:r w:rsidR="00EC64CC" w:rsidRPr="00EC64CC">
        <w:rPr>
          <w:rFonts w:ascii="Times New Roman" w:hAnsi="Times New Roman"/>
          <w:b/>
          <w:sz w:val="24"/>
          <w:szCs w:val="24"/>
        </w:rPr>
        <w:t>profesinio mokymo įstaigose</w:t>
      </w:r>
      <w:r w:rsidR="005F0354">
        <w:rPr>
          <w:rFonts w:ascii="Times New Roman" w:hAnsi="Times New Roman"/>
          <w:b/>
          <w:sz w:val="24"/>
          <w:szCs w:val="24"/>
        </w:rPr>
        <w:t xml:space="preserve"> </w:t>
      </w:r>
      <w:r w:rsidR="009429F9">
        <w:rPr>
          <w:rFonts w:ascii="Times New Roman" w:hAnsi="Times New Roman"/>
          <w:b/>
          <w:sz w:val="24"/>
          <w:szCs w:val="24"/>
        </w:rPr>
        <w:t>2016/2017 -2017/2018 – 2019/2020</w:t>
      </w:r>
      <w:r w:rsidR="005F0354">
        <w:rPr>
          <w:rFonts w:ascii="Times New Roman" w:hAnsi="Times New Roman"/>
          <w:b/>
          <w:sz w:val="24"/>
          <w:szCs w:val="24"/>
        </w:rPr>
        <w:t xml:space="preserve"> m. m. pagal </w:t>
      </w:r>
      <w:r w:rsidR="0043678E">
        <w:rPr>
          <w:rFonts w:ascii="Times New Roman" w:hAnsi="Times New Roman"/>
          <w:b/>
          <w:sz w:val="24"/>
          <w:szCs w:val="24"/>
        </w:rPr>
        <w:t>užregistruotus sutrikimus</w:t>
      </w:r>
      <w:r w:rsidR="005F0354">
        <w:rPr>
          <w:rFonts w:ascii="Times New Roman" w:hAnsi="Times New Roman"/>
          <w:b/>
          <w:sz w:val="24"/>
          <w:szCs w:val="24"/>
        </w:rPr>
        <w:t xml:space="preserve"> </w:t>
      </w:r>
      <w:r w:rsidR="0043678E">
        <w:rPr>
          <w:rFonts w:ascii="Times New Roman" w:hAnsi="Times New Roman"/>
          <w:b/>
          <w:sz w:val="24"/>
          <w:szCs w:val="24"/>
        </w:rPr>
        <w:t>(</w:t>
      </w:r>
      <w:r w:rsidR="005F0354">
        <w:rPr>
          <w:rFonts w:ascii="Times New Roman" w:hAnsi="Times New Roman"/>
          <w:b/>
          <w:sz w:val="24"/>
          <w:szCs w:val="24"/>
        </w:rPr>
        <w:t>proc.</w:t>
      </w:r>
      <w:r w:rsidR="0043678E">
        <w:rPr>
          <w:rFonts w:ascii="Times New Roman" w:hAnsi="Times New Roman"/>
          <w:b/>
          <w:sz w:val="24"/>
          <w:szCs w:val="24"/>
        </w:rPr>
        <w:t>)</w:t>
      </w:r>
    </w:p>
    <w:p w:rsidR="000670A6" w:rsidRDefault="000670A6" w:rsidP="005F0354">
      <w:pPr>
        <w:jc w:val="center"/>
        <w:rPr>
          <w:rFonts w:ascii="Times New Roman" w:hAnsi="Times New Roman"/>
          <w:b/>
          <w:sz w:val="24"/>
          <w:szCs w:val="24"/>
        </w:rPr>
      </w:pPr>
    </w:p>
    <w:p w:rsidR="005F0354" w:rsidRDefault="005F0354" w:rsidP="005F0354">
      <w:pPr>
        <w:ind w:firstLine="1134"/>
        <w:jc w:val="both"/>
        <w:rPr>
          <w:rFonts w:ascii="Times New Roman" w:hAnsi="Times New Roman"/>
          <w:sz w:val="24"/>
          <w:szCs w:val="24"/>
        </w:rPr>
      </w:pPr>
      <w:r>
        <w:rPr>
          <w:rFonts w:ascii="Times New Roman" w:hAnsi="Times New Roman"/>
          <w:sz w:val="24"/>
          <w:szCs w:val="24"/>
        </w:rPr>
        <w:t>Ypač dažna vaikų sveikatos problema</w:t>
      </w:r>
      <w:r w:rsidR="006C0F9D">
        <w:rPr>
          <w:rFonts w:ascii="Times New Roman" w:hAnsi="Times New Roman"/>
          <w:sz w:val="24"/>
          <w:szCs w:val="24"/>
        </w:rPr>
        <w:t xml:space="preserve"> </w:t>
      </w:r>
      <w:r>
        <w:rPr>
          <w:rFonts w:ascii="Times New Roman" w:hAnsi="Times New Roman"/>
          <w:sz w:val="24"/>
          <w:szCs w:val="24"/>
        </w:rPr>
        <w:t xml:space="preserve">- regos sutrikimai, kuriuos dažniausiai nulemia per didelis akims tenkantis darbo krūvis: ilgas darbas kompiuteriu, </w:t>
      </w:r>
      <w:proofErr w:type="spellStart"/>
      <w:r w:rsidR="00390A24">
        <w:rPr>
          <w:rFonts w:ascii="Times New Roman" w:hAnsi="Times New Roman"/>
          <w:sz w:val="24"/>
          <w:szCs w:val="24"/>
        </w:rPr>
        <w:t>planšetiniu</w:t>
      </w:r>
      <w:proofErr w:type="spellEnd"/>
      <w:r w:rsidR="000566AD">
        <w:rPr>
          <w:rFonts w:ascii="Times New Roman" w:hAnsi="Times New Roman"/>
          <w:sz w:val="24"/>
          <w:szCs w:val="24"/>
        </w:rPr>
        <w:t xml:space="preserve"> kompiuteriu ar mobiliuoju telefonu, ilgas televizoriaus žiūrėjimas, sėdėjimas ne pagal mokinių regėjimo aštruma pritaikytose vietose, prastas apšvietimas, skurdi mityba ir kt. </w:t>
      </w:r>
      <w:r w:rsidR="0043678E">
        <w:rPr>
          <w:rFonts w:ascii="Times New Roman" w:hAnsi="Times New Roman"/>
          <w:sz w:val="24"/>
          <w:szCs w:val="24"/>
        </w:rPr>
        <w:t xml:space="preserve">Trumparegystė vienas iš pagrindinių regos sutrikimų. </w:t>
      </w:r>
      <w:r w:rsidR="000566AD">
        <w:rPr>
          <w:rFonts w:ascii="Times New Roman" w:hAnsi="Times New Roman"/>
          <w:sz w:val="24"/>
          <w:szCs w:val="24"/>
        </w:rPr>
        <w:t xml:space="preserve">Dažniausiai regos sutrikimai nustatomi </w:t>
      </w:r>
      <w:r w:rsidR="00EC64CC">
        <w:rPr>
          <w:rFonts w:ascii="Times New Roman" w:hAnsi="Times New Roman"/>
          <w:sz w:val="24"/>
          <w:szCs w:val="24"/>
        </w:rPr>
        <w:t xml:space="preserve">vyresniems mokiniams, </w:t>
      </w:r>
      <w:proofErr w:type="spellStart"/>
      <w:r w:rsidR="00EC64CC">
        <w:rPr>
          <w:rFonts w:ascii="Times New Roman" w:hAnsi="Times New Roman"/>
          <w:sz w:val="24"/>
          <w:szCs w:val="24"/>
        </w:rPr>
        <w:t>t.y</w:t>
      </w:r>
      <w:proofErr w:type="spellEnd"/>
      <w:r w:rsidR="00EC64CC">
        <w:rPr>
          <w:rFonts w:ascii="Times New Roman" w:hAnsi="Times New Roman"/>
          <w:sz w:val="24"/>
          <w:szCs w:val="24"/>
        </w:rPr>
        <w:t>.</w:t>
      </w:r>
      <w:r w:rsidR="00E544C5">
        <w:rPr>
          <w:rFonts w:ascii="Times New Roman" w:hAnsi="Times New Roman"/>
          <w:sz w:val="24"/>
          <w:szCs w:val="24"/>
        </w:rPr>
        <w:t xml:space="preserve"> </w:t>
      </w:r>
      <w:r w:rsidR="00EC64CC">
        <w:rPr>
          <w:rFonts w:ascii="Times New Roman" w:hAnsi="Times New Roman"/>
          <w:sz w:val="24"/>
          <w:szCs w:val="24"/>
        </w:rPr>
        <w:t>5- 12</w:t>
      </w:r>
      <w:r w:rsidR="00891D5D">
        <w:rPr>
          <w:rFonts w:ascii="Times New Roman" w:hAnsi="Times New Roman"/>
          <w:sz w:val="24"/>
          <w:szCs w:val="24"/>
        </w:rPr>
        <w:t xml:space="preserve"> klasių moksleiviams</w:t>
      </w:r>
      <w:r w:rsidR="0043678E">
        <w:rPr>
          <w:rFonts w:ascii="Times New Roman" w:hAnsi="Times New Roman"/>
          <w:sz w:val="24"/>
          <w:szCs w:val="24"/>
        </w:rPr>
        <w:t>.</w:t>
      </w:r>
      <w:r w:rsidR="00E544C5">
        <w:rPr>
          <w:rFonts w:ascii="Times New Roman" w:hAnsi="Times New Roman"/>
          <w:sz w:val="24"/>
          <w:szCs w:val="24"/>
        </w:rPr>
        <w:t xml:space="preserve"> (4 pav.).</w:t>
      </w:r>
    </w:p>
    <w:p w:rsidR="00E544C5" w:rsidRDefault="00246D27" w:rsidP="00E544C5">
      <w:pPr>
        <w:jc w:val="both"/>
        <w:rPr>
          <w:rFonts w:ascii="Times New Roman" w:hAnsi="Times New Roman"/>
          <w:sz w:val="24"/>
          <w:szCs w:val="24"/>
          <w:lang w:val="en-US"/>
        </w:rPr>
      </w:pPr>
      <w:r w:rsidRPr="00246D27">
        <w:rPr>
          <w:noProof/>
          <w:color w:val="FF0000"/>
          <w:lang w:eastAsia="lt-LT"/>
        </w:rPr>
        <w:drawing>
          <wp:inline distT="0" distB="0" distL="0" distR="0" wp14:anchorId="45CE6DC3" wp14:editId="1B55ADB4">
            <wp:extent cx="5924551" cy="5686426"/>
            <wp:effectExtent l="0" t="0" r="1905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44C5" w:rsidRDefault="00E544C5" w:rsidP="0043678E">
      <w:pPr>
        <w:jc w:val="center"/>
        <w:rPr>
          <w:rFonts w:ascii="Times New Roman" w:hAnsi="Times New Roman"/>
          <w:b/>
          <w:sz w:val="24"/>
          <w:szCs w:val="24"/>
        </w:rPr>
      </w:pPr>
      <w:r w:rsidRPr="0043678E">
        <w:rPr>
          <w:rFonts w:ascii="Times New Roman" w:hAnsi="Times New Roman"/>
          <w:b/>
          <w:sz w:val="24"/>
          <w:szCs w:val="24"/>
        </w:rPr>
        <w:t>4 pav. Užregistruoti regos sutrikimai pagal k</w:t>
      </w:r>
      <w:r w:rsidR="00246D27">
        <w:rPr>
          <w:rFonts w:ascii="Times New Roman" w:hAnsi="Times New Roman"/>
          <w:b/>
          <w:sz w:val="24"/>
          <w:szCs w:val="24"/>
        </w:rPr>
        <w:t>lases 2016/2017-2017/2018 - 2019/2020</w:t>
      </w:r>
      <w:r w:rsidRPr="0043678E">
        <w:rPr>
          <w:rFonts w:ascii="Times New Roman" w:hAnsi="Times New Roman"/>
          <w:b/>
          <w:sz w:val="24"/>
          <w:szCs w:val="24"/>
        </w:rPr>
        <w:t xml:space="preserve"> </w:t>
      </w:r>
      <w:proofErr w:type="spellStart"/>
      <w:r w:rsidRPr="0043678E">
        <w:rPr>
          <w:rFonts w:ascii="Times New Roman" w:hAnsi="Times New Roman"/>
          <w:b/>
          <w:sz w:val="24"/>
          <w:szCs w:val="24"/>
        </w:rPr>
        <w:t>m</w:t>
      </w:r>
      <w:proofErr w:type="spellEnd"/>
      <w:r w:rsidRPr="0043678E">
        <w:rPr>
          <w:rFonts w:ascii="Times New Roman" w:hAnsi="Times New Roman"/>
          <w:b/>
          <w:sz w:val="24"/>
          <w:szCs w:val="24"/>
        </w:rPr>
        <w:t>. m. (proc.)</w:t>
      </w:r>
    </w:p>
    <w:p w:rsidR="000670A6" w:rsidRDefault="000670A6" w:rsidP="0043678E">
      <w:pPr>
        <w:jc w:val="center"/>
        <w:rPr>
          <w:rFonts w:ascii="Times New Roman" w:hAnsi="Times New Roman"/>
          <w:b/>
          <w:sz w:val="24"/>
          <w:szCs w:val="24"/>
        </w:rPr>
      </w:pPr>
    </w:p>
    <w:p w:rsidR="0043678E" w:rsidRDefault="0043678E" w:rsidP="009A1B1F">
      <w:pPr>
        <w:spacing w:after="0"/>
        <w:ind w:firstLine="1134"/>
        <w:jc w:val="both"/>
        <w:rPr>
          <w:rFonts w:ascii="Times New Roman" w:hAnsi="Times New Roman"/>
          <w:sz w:val="24"/>
          <w:szCs w:val="24"/>
        </w:rPr>
      </w:pPr>
      <w:r>
        <w:rPr>
          <w:rFonts w:ascii="Times New Roman" w:hAnsi="Times New Roman"/>
          <w:sz w:val="24"/>
          <w:szCs w:val="24"/>
        </w:rPr>
        <w:lastRenderedPageBreak/>
        <w:t xml:space="preserve">Skeleto-raumenų sistemos sutrikimus lemia spartus vaikų augimas tam tikrais periodais ir ypač brendimo metu, netaisyklinga laikysena, mažas fizinis aktyvumas, nepritaikyti suolai mokinio ūgiui, sunkios per didelės kuprinės, netaisyklingai nešiojamos kuprinės ir kt. </w:t>
      </w:r>
    </w:p>
    <w:p w:rsidR="009A1B1F" w:rsidRDefault="00891D5D" w:rsidP="009A1B1F">
      <w:pPr>
        <w:spacing w:after="0" w:line="240" w:lineRule="auto"/>
        <w:ind w:firstLine="1134"/>
        <w:jc w:val="both"/>
        <w:rPr>
          <w:rFonts w:ascii="Times New Roman" w:hAnsi="Times New Roman"/>
          <w:sz w:val="24"/>
          <w:szCs w:val="24"/>
        </w:rPr>
      </w:pPr>
      <w:r>
        <w:rPr>
          <w:rFonts w:ascii="Times New Roman" w:hAnsi="Times New Roman"/>
          <w:sz w:val="24"/>
          <w:szCs w:val="24"/>
        </w:rPr>
        <w:t>2019/2020</w:t>
      </w:r>
      <w:r w:rsidR="009A1B1F">
        <w:rPr>
          <w:rFonts w:ascii="Times New Roman" w:hAnsi="Times New Roman"/>
          <w:sz w:val="24"/>
          <w:szCs w:val="24"/>
        </w:rPr>
        <w:t xml:space="preserve"> </w:t>
      </w:r>
      <w:proofErr w:type="spellStart"/>
      <w:r w:rsidR="009A1B1F">
        <w:rPr>
          <w:rFonts w:ascii="Times New Roman" w:hAnsi="Times New Roman"/>
          <w:sz w:val="24"/>
          <w:szCs w:val="24"/>
        </w:rPr>
        <w:t>m</w:t>
      </w:r>
      <w:proofErr w:type="spellEnd"/>
      <w:r w:rsidR="009A1B1F">
        <w:rPr>
          <w:rFonts w:ascii="Times New Roman" w:hAnsi="Times New Roman"/>
          <w:sz w:val="24"/>
          <w:szCs w:val="24"/>
        </w:rPr>
        <w:t>. m. iš sveikatą pasitikrinusių mokinių</w:t>
      </w:r>
      <w:r>
        <w:rPr>
          <w:rFonts w:ascii="Times New Roman" w:hAnsi="Times New Roman"/>
          <w:sz w:val="24"/>
          <w:szCs w:val="24"/>
        </w:rPr>
        <w:t xml:space="preserve"> pažymėjimų matyti, kad</w:t>
      </w:r>
      <w:r w:rsidR="009A1B1F">
        <w:rPr>
          <w:rFonts w:ascii="Times New Roman" w:hAnsi="Times New Roman"/>
          <w:sz w:val="24"/>
          <w:szCs w:val="24"/>
        </w:rPr>
        <w:t xml:space="preserve"> skeleto</w:t>
      </w:r>
      <w:r>
        <w:rPr>
          <w:rFonts w:ascii="Times New Roman" w:hAnsi="Times New Roman"/>
          <w:sz w:val="24"/>
          <w:szCs w:val="24"/>
        </w:rPr>
        <w:t xml:space="preserve"> </w:t>
      </w:r>
      <w:r w:rsidR="009A1B1F">
        <w:rPr>
          <w:rFonts w:ascii="Times New Roman" w:hAnsi="Times New Roman"/>
          <w:sz w:val="24"/>
          <w:szCs w:val="24"/>
        </w:rPr>
        <w:t xml:space="preserve">- raumenų sistemos sutrikimų </w:t>
      </w:r>
      <w:r w:rsidR="00F67CB1">
        <w:rPr>
          <w:rFonts w:ascii="Times New Roman" w:hAnsi="Times New Roman"/>
          <w:sz w:val="24"/>
          <w:szCs w:val="24"/>
        </w:rPr>
        <w:t xml:space="preserve">daugiausiai turi 7 – 11 klasių moksleiviai </w:t>
      </w:r>
      <w:r w:rsidR="009A1B1F">
        <w:rPr>
          <w:rFonts w:ascii="Times New Roman" w:hAnsi="Times New Roman"/>
          <w:sz w:val="24"/>
          <w:szCs w:val="24"/>
        </w:rPr>
        <w:t xml:space="preserve">(5 </w:t>
      </w:r>
      <w:proofErr w:type="spellStart"/>
      <w:r w:rsidR="009A1B1F">
        <w:rPr>
          <w:rFonts w:ascii="Times New Roman" w:hAnsi="Times New Roman"/>
          <w:sz w:val="24"/>
          <w:szCs w:val="24"/>
        </w:rPr>
        <w:t>pav</w:t>
      </w:r>
      <w:proofErr w:type="spellEnd"/>
      <w:r w:rsidR="009A1B1F">
        <w:rPr>
          <w:rFonts w:ascii="Times New Roman" w:hAnsi="Times New Roman"/>
          <w:sz w:val="24"/>
          <w:szCs w:val="24"/>
        </w:rPr>
        <w:t>.).</w:t>
      </w:r>
    </w:p>
    <w:p w:rsidR="00891D5D" w:rsidRDefault="00891D5D" w:rsidP="009A1B1F">
      <w:pPr>
        <w:spacing w:after="0" w:line="240" w:lineRule="auto"/>
        <w:ind w:firstLine="1134"/>
        <w:jc w:val="both"/>
        <w:rPr>
          <w:rFonts w:ascii="Times New Roman" w:hAnsi="Times New Roman"/>
          <w:sz w:val="24"/>
          <w:szCs w:val="24"/>
        </w:rPr>
      </w:pPr>
    </w:p>
    <w:p w:rsidR="009A1B1F" w:rsidRDefault="00891D5D" w:rsidP="009A1B1F">
      <w:pPr>
        <w:spacing w:after="0" w:line="240" w:lineRule="auto"/>
        <w:jc w:val="both"/>
        <w:rPr>
          <w:rFonts w:ascii="Times New Roman" w:hAnsi="Times New Roman"/>
          <w:sz w:val="24"/>
          <w:szCs w:val="24"/>
        </w:rPr>
      </w:pPr>
      <w:r>
        <w:rPr>
          <w:noProof/>
          <w:lang w:eastAsia="lt-LT"/>
        </w:rPr>
        <w:drawing>
          <wp:inline distT="0" distB="0" distL="0" distR="0" wp14:anchorId="646998C4" wp14:editId="75C43915">
            <wp:extent cx="5938787" cy="6160169"/>
            <wp:effectExtent l="0" t="0" r="24130" b="1206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1D5D" w:rsidRDefault="00891D5D" w:rsidP="009A1B1F">
      <w:pPr>
        <w:spacing w:after="0" w:line="240" w:lineRule="auto"/>
        <w:jc w:val="center"/>
        <w:rPr>
          <w:rFonts w:ascii="Times New Roman" w:hAnsi="Times New Roman"/>
          <w:b/>
          <w:sz w:val="24"/>
          <w:szCs w:val="24"/>
        </w:rPr>
      </w:pPr>
    </w:p>
    <w:p w:rsidR="009A1B1F" w:rsidRDefault="009A1B1F" w:rsidP="009A1B1F">
      <w:pPr>
        <w:spacing w:after="0" w:line="240" w:lineRule="auto"/>
        <w:jc w:val="center"/>
        <w:rPr>
          <w:rFonts w:ascii="Times New Roman" w:hAnsi="Times New Roman"/>
          <w:b/>
          <w:sz w:val="24"/>
          <w:szCs w:val="24"/>
        </w:rPr>
      </w:pPr>
      <w:r>
        <w:rPr>
          <w:rFonts w:ascii="Times New Roman" w:hAnsi="Times New Roman"/>
          <w:b/>
          <w:sz w:val="24"/>
          <w:szCs w:val="24"/>
        </w:rPr>
        <w:t xml:space="preserve">5 </w:t>
      </w:r>
      <w:proofErr w:type="spellStart"/>
      <w:r>
        <w:rPr>
          <w:rFonts w:ascii="Times New Roman" w:hAnsi="Times New Roman"/>
          <w:b/>
          <w:sz w:val="24"/>
          <w:szCs w:val="24"/>
        </w:rPr>
        <w:t>pav</w:t>
      </w:r>
      <w:proofErr w:type="spellEnd"/>
      <w:r>
        <w:rPr>
          <w:rFonts w:ascii="Times New Roman" w:hAnsi="Times New Roman"/>
          <w:b/>
          <w:sz w:val="24"/>
          <w:szCs w:val="24"/>
        </w:rPr>
        <w:t xml:space="preserve">. Užregistruoti skeleto- raumenų sutrikimai pagal klases Plungės rajono bendro lavinimo </w:t>
      </w:r>
      <w:r w:rsidR="00EC64CC">
        <w:rPr>
          <w:rFonts w:ascii="Times New Roman" w:hAnsi="Times New Roman"/>
          <w:b/>
          <w:sz w:val="24"/>
          <w:szCs w:val="24"/>
        </w:rPr>
        <w:t xml:space="preserve">ir </w:t>
      </w:r>
      <w:r w:rsidR="00EC64CC" w:rsidRPr="00EC64CC">
        <w:rPr>
          <w:rFonts w:ascii="Times New Roman" w:hAnsi="Times New Roman"/>
          <w:b/>
          <w:sz w:val="24"/>
          <w:szCs w:val="24"/>
        </w:rPr>
        <w:t xml:space="preserve">profesinio mokymo įstaigose </w:t>
      </w:r>
      <w:r w:rsidR="00F67CB1">
        <w:rPr>
          <w:rFonts w:ascii="Times New Roman" w:hAnsi="Times New Roman"/>
          <w:b/>
          <w:sz w:val="24"/>
          <w:szCs w:val="24"/>
        </w:rPr>
        <w:t>2016/2017-2017/2018-2019/2020</w:t>
      </w:r>
      <w:r>
        <w:rPr>
          <w:rFonts w:ascii="Times New Roman" w:hAnsi="Times New Roman"/>
          <w:b/>
          <w:sz w:val="24"/>
          <w:szCs w:val="24"/>
        </w:rPr>
        <w:t xml:space="preserve"> </w:t>
      </w:r>
      <w:proofErr w:type="spellStart"/>
      <w:r>
        <w:rPr>
          <w:rFonts w:ascii="Times New Roman" w:hAnsi="Times New Roman"/>
          <w:b/>
          <w:sz w:val="24"/>
          <w:szCs w:val="24"/>
        </w:rPr>
        <w:t>m</w:t>
      </w:r>
      <w:proofErr w:type="spellEnd"/>
      <w:r>
        <w:rPr>
          <w:rFonts w:ascii="Times New Roman" w:hAnsi="Times New Roman"/>
          <w:b/>
          <w:sz w:val="24"/>
          <w:szCs w:val="24"/>
        </w:rPr>
        <w:t xml:space="preserve">. m. </w:t>
      </w:r>
      <w:r w:rsidR="008F74E0">
        <w:rPr>
          <w:rFonts w:ascii="Times New Roman" w:hAnsi="Times New Roman"/>
          <w:b/>
          <w:sz w:val="24"/>
          <w:szCs w:val="24"/>
        </w:rPr>
        <w:t>(proc.)</w:t>
      </w:r>
    </w:p>
    <w:p w:rsidR="008F74E0" w:rsidRDefault="008F74E0" w:rsidP="008F74E0">
      <w:pPr>
        <w:spacing w:after="0" w:line="240" w:lineRule="auto"/>
        <w:ind w:firstLine="1134"/>
        <w:jc w:val="both"/>
        <w:rPr>
          <w:rFonts w:ascii="Times New Roman" w:hAnsi="Times New Roman"/>
          <w:b/>
          <w:sz w:val="24"/>
          <w:szCs w:val="24"/>
        </w:rPr>
      </w:pPr>
    </w:p>
    <w:p w:rsidR="00531EC8" w:rsidRPr="009A1B1F" w:rsidRDefault="00531EC8" w:rsidP="008F74E0">
      <w:pPr>
        <w:spacing w:after="0" w:line="240" w:lineRule="auto"/>
        <w:ind w:firstLine="1134"/>
        <w:jc w:val="both"/>
        <w:rPr>
          <w:rFonts w:ascii="Times New Roman" w:hAnsi="Times New Roman"/>
          <w:b/>
          <w:sz w:val="24"/>
          <w:szCs w:val="24"/>
        </w:rPr>
      </w:pPr>
    </w:p>
    <w:p w:rsidR="0043678E" w:rsidRDefault="000670A6" w:rsidP="000670A6">
      <w:pPr>
        <w:spacing w:after="0"/>
        <w:ind w:firstLine="1134"/>
        <w:jc w:val="both"/>
        <w:rPr>
          <w:rFonts w:ascii="Times New Roman" w:hAnsi="Times New Roman"/>
          <w:sz w:val="24"/>
          <w:szCs w:val="24"/>
        </w:rPr>
      </w:pPr>
      <w:r>
        <w:rPr>
          <w:rFonts w:ascii="Times New Roman" w:hAnsi="Times New Roman"/>
          <w:sz w:val="24"/>
          <w:szCs w:val="24"/>
        </w:rPr>
        <w:t xml:space="preserve">Vaikų kraujotakos sistemos sutrikimams didžiausią įtaką turi įgimta širdies ir kraujagyslių sistemos patologija. Sutrikimų padaugėja vaikų brendimo laikotarpiu dėl spartaus organizmo augimo. </w:t>
      </w:r>
    </w:p>
    <w:p w:rsidR="000670A6" w:rsidRDefault="000670A6" w:rsidP="000670A6">
      <w:pPr>
        <w:spacing w:after="0"/>
        <w:ind w:firstLine="1134"/>
        <w:jc w:val="both"/>
        <w:rPr>
          <w:rFonts w:ascii="Times New Roman" w:hAnsi="Times New Roman"/>
          <w:sz w:val="24"/>
          <w:szCs w:val="24"/>
        </w:rPr>
      </w:pPr>
      <w:r>
        <w:rPr>
          <w:rFonts w:ascii="Times New Roman" w:hAnsi="Times New Roman"/>
          <w:sz w:val="24"/>
          <w:szCs w:val="24"/>
        </w:rPr>
        <w:lastRenderedPageBreak/>
        <w:t>Plungės rajono savivaldybės</w:t>
      </w:r>
      <w:r w:rsidR="00F67CB1">
        <w:rPr>
          <w:rFonts w:ascii="Times New Roman" w:hAnsi="Times New Roman"/>
          <w:sz w:val="24"/>
          <w:szCs w:val="24"/>
        </w:rPr>
        <w:t xml:space="preserve"> bendrojo lavinimo mokyklose 7,4</w:t>
      </w:r>
      <w:r>
        <w:rPr>
          <w:rFonts w:ascii="Times New Roman" w:hAnsi="Times New Roman"/>
          <w:sz w:val="24"/>
          <w:szCs w:val="24"/>
        </w:rPr>
        <w:t xml:space="preserve"> </w:t>
      </w:r>
      <w:proofErr w:type="spellStart"/>
      <w:r>
        <w:rPr>
          <w:rFonts w:ascii="Times New Roman" w:hAnsi="Times New Roman"/>
          <w:sz w:val="24"/>
          <w:szCs w:val="24"/>
        </w:rPr>
        <w:t>proc</w:t>
      </w:r>
      <w:proofErr w:type="spellEnd"/>
      <w:r>
        <w:rPr>
          <w:rFonts w:ascii="Times New Roman" w:hAnsi="Times New Roman"/>
          <w:sz w:val="24"/>
          <w:szCs w:val="24"/>
        </w:rPr>
        <w:t xml:space="preserve">. visų profilaktiškai pasitikrinusių sveikatą mokinių, nustatyta kraujotakos sistemos sutrikimai. Šie sutrikimai dažniausiai nustatomi </w:t>
      </w:r>
      <w:r w:rsidR="005F123E">
        <w:rPr>
          <w:rFonts w:ascii="Times New Roman" w:hAnsi="Times New Roman"/>
          <w:sz w:val="24"/>
          <w:szCs w:val="24"/>
        </w:rPr>
        <w:t>jauniausiems</w:t>
      </w:r>
      <w:r>
        <w:rPr>
          <w:rFonts w:ascii="Times New Roman" w:hAnsi="Times New Roman"/>
          <w:sz w:val="24"/>
          <w:szCs w:val="24"/>
        </w:rPr>
        <w:t xml:space="preserve"> mokiniams. Pradinėse klasėse šie sutrikimai nustatomi rečiausiai</w:t>
      </w:r>
      <w:r w:rsidR="006C0F9D">
        <w:rPr>
          <w:rFonts w:ascii="Times New Roman" w:hAnsi="Times New Roman"/>
          <w:sz w:val="24"/>
          <w:szCs w:val="24"/>
        </w:rPr>
        <w:t>. Šiais mokslų metais nustatyta PUG kas 3 vaikui kraujotakos sutrikimai</w:t>
      </w:r>
      <w:r>
        <w:rPr>
          <w:rFonts w:ascii="Times New Roman" w:hAnsi="Times New Roman"/>
          <w:sz w:val="24"/>
          <w:szCs w:val="24"/>
        </w:rPr>
        <w:t xml:space="preserve"> (6 </w:t>
      </w:r>
      <w:proofErr w:type="spellStart"/>
      <w:r>
        <w:rPr>
          <w:rFonts w:ascii="Times New Roman" w:hAnsi="Times New Roman"/>
          <w:sz w:val="24"/>
          <w:szCs w:val="24"/>
        </w:rPr>
        <w:t>pav</w:t>
      </w:r>
      <w:proofErr w:type="spellEnd"/>
      <w:r>
        <w:rPr>
          <w:rFonts w:ascii="Times New Roman" w:hAnsi="Times New Roman"/>
          <w:sz w:val="24"/>
          <w:szCs w:val="24"/>
        </w:rPr>
        <w:t>.).</w:t>
      </w:r>
    </w:p>
    <w:p w:rsidR="005F123E" w:rsidRPr="0043678E" w:rsidRDefault="005F123E" w:rsidP="000670A6">
      <w:pPr>
        <w:spacing w:after="0"/>
        <w:ind w:firstLine="1134"/>
        <w:jc w:val="both"/>
        <w:rPr>
          <w:rFonts w:ascii="Times New Roman" w:hAnsi="Times New Roman"/>
          <w:sz w:val="24"/>
          <w:szCs w:val="24"/>
        </w:rPr>
      </w:pPr>
    </w:p>
    <w:p w:rsidR="0043678E" w:rsidRPr="0043678E" w:rsidRDefault="005F123E" w:rsidP="000670A6">
      <w:pPr>
        <w:jc w:val="both"/>
        <w:rPr>
          <w:rFonts w:ascii="Times New Roman" w:hAnsi="Times New Roman"/>
          <w:b/>
          <w:sz w:val="24"/>
          <w:szCs w:val="24"/>
        </w:rPr>
      </w:pPr>
      <w:r>
        <w:rPr>
          <w:noProof/>
          <w:lang w:eastAsia="lt-LT"/>
        </w:rPr>
        <w:drawing>
          <wp:inline distT="0" distB="0" distL="0" distR="0" wp14:anchorId="128D6699" wp14:editId="53D45A9B">
            <wp:extent cx="5678905" cy="7315200"/>
            <wp:effectExtent l="0" t="0" r="17145" b="1905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5BAE" w:rsidRDefault="00531EC8" w:rsidP="00DE3656">
      <w:pPr>
        <w:ind w:firstLine="1134"/>
        <w:jc w:val="center"/>
        <w:rPr>
          <w:rFonts w:ascii="Times New Roman" w:hAnsi="Times New Roman"/>
          <w:b/>
          <w:sz w:val="24"/>
          <w:szCs w:val="24"/>
        </w:rPr>
      </w:pPr>
      <w:r>
        <w:rPr>
          <w:rFonts w:ascii="Times New Roman" w:hAnsi="Times New Roman"/>
          <w:b/>
          <w:sz w:val="24"/>
          <w:szCs w:val="24"/>
        </w:rPr>
        <w:t>6 pav. Kraujotakos sistemos sutrikimai pagal klases Plungės rajono bendro lavinim</w:t>
      </w:r>
      <w:r w:rsidR="005F123E">
        <w:rPr>
          <w:rFonts w:ascii="Times New Roman" w:hAnsi="Times New Roman"/>
          <w:b/>
          <w:sz w:val="24"/>
          <w:szCs w:val="24"/>
        </w:rPr>
        <w:t xml:space="preserve">o </w:t>
      </w:r>
      <w:r w:rsidR="00EC64CC">
        <w:rPr>
          <w:rFonts w:ascii="Times New Roman" w:hAnsi="Times New Roman"/>
          <w:b/>
          <w:sz w:val="24"/>
          <w:szCs w:val="24"/>
        </w:rPr>
        <w:t xml:space="preserve">ir </w:t>
      </w:r>
      <w:r w:rsidR="00EC64CC" w:rsidRPr="00EC64CC">
        <w:rPr>
          <w:rFonts w:ascii="Times New Roman" w:hAnsi="Times New Roman"/>
          <w:b/>
          <w:sz w:val="24"/>
          <w:szCs w:val="24"/>
        </w:rPr>
        <w:t xml:space="preserve">profesinio mokymo įstaigose </w:t>
      </w:r>
      <w:r w:rsidR="005F123E">
        <w:rPr>
          <w:rFonts w:ascii="Times New Roman" w:hAnsi="Times New Roman"/>
          <w:b/>
          <w:sz w:val="24"/>
          <w:szCs w:val="24"/>
        </w:rPr>
        <w:t>2016/2</w:t>
      </w:r>
      <w:r w:rsidR="00DF4882">
        <w:rPr>
          <w:rFonts w:ascii="Times New Roman" w:hAnsi="Times New Roman"/>
          <w:b/>
          <w:sz w:val="24"/>
          <w:szCs w:val="24"/>
        </w:rPr>
        <w:t>0</w:t>
      </w:r>
      <w:r w:rsidR="005F123E">
        <w:rPr>
          <w:rFonts w:ascii="Times New Roman" w:hAnsi="Times New Roman"/>
          <w:b/>
          <w:sz w:val="24"/>
          <w:szCs w:val="24"/>
        </w:rPr>
        <w:t xml:space="preserve">17 </w:t>
      </w:r>
      <w:proofErr w:type="spellStart"/>
      <w:r w:rsidR="005F123E">
        <w:rPr>
          <w:rFonts w:ascii="Times New Roman" w:hAnsi="Times New Roman"/>
          <w:b/>
          <w:sz w:val="24"/>
          <w:szCs w:val="24"/>
        </w:rPr>
        <w:t>m</w:t>
      </w:r>
      <w:proofErr w:type="spellEnd"/>
      <w:r w:rsidR="005F123E">
        <w:rPr>
          <w:rFonts w:ascii="Times New Roman" w:hAnsi="Times New Roman"/>
          <w:b/>
          <w:sz w:val="24"/>
          <w:szCs w:val="24"/>
        </w:rPr>
        <w:t>. m. -2019/ 2020</w:t>
      </w:r>
      <w:r>
        <w:rPr>
          <w:rFonts w:ascii="Times New Roman" w:hAnsi="Times New Roman"/>
          <w:b/>
          <w:sz w:val="24"/>
          <w:szCs w:val="24"/>
        </w:rPr>
        <w:t xml:space="preserve"> </w:t>
      </w:r>
      <w:proofErr w:type="spellStart"/>
      <w:r>
        <w:rPr>
          <w:rFonts w:ascii="Times New Roman" w:hAnsi="Times New Roman"/>
          <w:b/>
          <w:sz w:val="24"/>
          <w:szCs w:val="24"/>
        </w:rPr>
        <w:t>m</w:t>
      </w:r>
      <w:proofErr w:type="spellEnd"/>
      <w:r>
        <w:rPr>
          <w:rFonts w:ascii="Times New Roman" w:hAnsi="Times New Roman"/>
          <w:b/>
          <w:sz w:val="24"/>
          <w:szCs w:val="24"/>
        </w:rPr>
        <w:t>. m. (proc.)</w:t>
      </w:r>
    </w:p>
    <w:p w:rsidR="00531EC8" w:rsidRDefault="00207D71" w:rsidP="00531EC8">
      <w:pPr>
        <w:ind w:firstLine="1134"/>
        <w:jc w:val="both"/>
        <w:rPr>
          <w:rFonts w:ascii="Times New Roman" w:hAnsi="Times New Roman"/>
          <w:b/>
          <w:sz w:val="24"/>
          <w:szCs w:val="24"/>
        </w:rPr>
      </w:pPr>
      <w:r>
        <w:rPr>
          <w:rFonts w:ascii="Times New Roman" w:hAnsi="Times New Roman"/>
          <w:sz w:val="24"/>
          <w:szCs w:val="24"/>
        </w:rPr>
        <w:lastRenderedPageBreak/>
        <w:t xml:space="preserve">Mokinių dantų ligas įtakoja netinkama dantų higiena, neracionali mityba, per dažnai vartojamas daug cukraus turintis maistas. </w:t>
      </w:r>
      <w:r w:rsidR="00DE3656">
        <w:rPr>
          <w:rFonts w:ascii="Times New Roman" w:hAnsi="Times New Roman"/>
          <w:sz w:val="24"/>
          <w:szCs w:val="24"/>
        </w:rPr>
        <w:t>Išanalizavus pateiktus vaikų sveikatos pažymėjimus nustatyta, kad iš profilaktiškai</w:t>
      </w:r>
      <w:r w:rsidR="00765D6E">
        <w:rPr>
          <w:rFonts w:ascii="Times New Roman" w:hAnsi="Times New Roman"/>
          <w:sz w:val="24"/>
          <w:szCs w:val="24"/>
        </w:rPr>
        <w:t xml:space="preserve"> sveik</w:t>
      </w:r>
      <w:r w:rsidR="006C0F9D">
        <w:rPr>
          <w:rFonts w:ascii="Times New Roman" w:hAnsi="Times New Roman"/>
          <w:sz w:val="24"/>
          <w:szCs w:val="24"/>
        </w:rPr>
        <w:t>a</w:t>
      </w:r>
      <w:r w:rsidR="00765D6E">
        <w:rPr>
          <w:rFonts w:ascii="Times New Roman" w:hAnsi="Times New Roman"/>
          <w:sz w:val="24"/>
          <w:szCs w:val="24"/>
        </w:rPr>
        <w:t xml:space="preserve">tą pasitikrinusių vaikų tik </w:t>
      </w:r>
      <w:r w:rsidR="0091421D">
        <w:rPr>
          <w:rFonts w:ascii="Times New Roman" w:hAnsi="Times New Roman"/>
          <w:sz w:val="24"/>
          <w:szCs w:val="24"/>
        </w:rPr>
        <w:t xml:space="preserve">kas 5 vaikas </w:t>
      </w:r>
      <w:proofErr w:type="spellStart"/>
      <w:r w:rsidR="0091421D">
        <w:rPr>
          <w:rFonts w:ascii="Times New Roman" w:hAnsi="Times New Roman"/>
          <w:sz w:val="24"/>
          <w:szCs w:val="24"/>
        </w:rPr>
        <w:t>t.y</w:t>
      </w:r>
      <w:proofErr w:type="spellEnd"/>
      <w:r w:rsidR="0091421D">
        <w:rPr>
          <w:rFonts w:ascii="Times New Roman" w:hAnsi="Times New Roman"/>
          <w:sz w:val="24"/>
          <w:szCs w:val="24"/>
        </w:rPr>
        <w:t xml:space="preserve">. </w:t>
      </w:r>
      <w:r w:rsidR="00765D6E">
        <w:rPr>
          <w:rFonts w:ascii="Times New Roman" w:hAnsi="Times New Roman"/>
          <w:sz w:val="24"/>
          <w:szCs w:val="24"/>
        </w:rPr>
        <w:t xml:space="preserve">16,6 </w:t>
      </w:r>
      <w:proofErr w:type="spellStart"/>
      <w:r w:rsidR="00765D6E">
        <w:rPr>
          <w:rFonts w:ascii="Times New Roman" w:hAnsi="Times New Roman"/>
          <w:sz w:val="24"/>
          <w:szCs w:val="24"/>
        </w:rPr>
        <w:t>proc</w:t>
      </w:r>
      <w:proofErr w:type="spellEnd"/>
      <w:r w:rsidR="00765D6E">
        <w:rPr>
          <w:rFonts w:ascii="Times New Roman" w:hAnsi="Times New Roman"/>
          <w:sz w:val="24"/>
          <w:szCs w:val="24"/>
        </w:rPr>
        <w:t xml:space="preserve">. turi </w:t>
      </w:r>
      <w:r w:rsidR="00DE3656">
        <w:rPr>
          <w:rFonts w:ascii="Times New Roman" w:hAnsi="Times New Roman"/>
          <w:sz w:val="24"/>
          <w:szCs w:val="24"/>
        </w:rPr>
        <w:t xml:space="preserve">sveikus, ėduonies </w:t>
      </w:r>
      <w:r w:rsidR="00765D6E">
        <w:rPr>
          <w:rFonts w:ascii="Times New Roman" w:hAnsi="Times New Roman"/>
          <w:sz w:val="24"/>
          <w:szCs w:val="24"/>
        </w:rPr>
        <w:t>ne</w:t>
      </w:r>
      <w:r w:rsidR="00DE3656">
        <w:rPr>
          <w:rFonts w:ascii="Times New Roman" w:hAnsi="Times New Roman"/>
          <w:sz w:val="24"/>
          <w:szCs w:val="24"/>
        </w:rPr>
        <w:t>pažeistus</w:t>
      </w:r>
      <w:r w:rsidR="00765D6E">
        <w:rPr>
          <w:rFonts w:ascii="Times New Roman" w:hAnsi="Times New Roman"/>
          <w:sz w:val="24"/>
          <w:szCs w:val="24"/>
        </w:rPr>
        <w:t>, neplombuotus</w:t>
      </w:r>
      <w:r w:rsidR="00DE3656">
        <w:rPr>
          <w:rFonts w:ascii="Times New Roman" w:hAnsi="Times New Roman"/>
          <w:sz w:val="24"/>
          <w:szCs w:val="24"/>
        </w:rPr>
        <w:t xml:space="preserve"> ir </w:t>
      </w:r>
      <w:r w:rsidR="00765D6E">
        <w:rPr>
          <w:rFonts w:ascii="Times New Roman" w:hAnsi="Times New Roman"/>
          <w:sz w:val="24"/>
          <w:szCs w:val="24"/>
        </w:rPr>
        <w:t>neišrautus</w:t>
      </w:r>
      <w:r w:rsidR="00DE3656">
        <w:rPr>
          <w:rFonts w:ascii="Times New Roman" w:hAnsi="Times New Roman"/>
          <w:sz w:val="24"/>
          <w:szCs w:val="24"/>
        </w:rPr>
        <w:t xml:space="preserve"> dantis (7 </w:t>
      </w:r>
      <w:proofErr w:type="spellStart"/>
      <w:r w:rsidR="00DE3656">
        <w:rPr>
          <w:rFonts w:ascii="Times New Roman" w:hAnsi="Times New Roman"/>
          <w:sz w:val="24"/>
          <w:szCs w:val="24"/>
        </w:rPr>
        <w:t>pav</w:t>
      </w:r>
      <w:proofErr w:type="spellEnd"/>
      <w:r w:rsidR="00DE3656">
        <w:rPr>
          <w:rFonts w:ascii="Times New Roman" w:hAnsi="Times New Roman"/>
          <w:sz w:val="24"/>
          <w:szCs w:val="24"/>
        </w:rPr>
        <w:t>.)</w:t>
      </w:r>
    </w:p>
    <w:p w:rsidR="00574C66" w:rsidRDefault="006B0478" w:rsidP="00DE3656">
      <w:pPr>
        <w:jc w:val="both"/>
        <w:rPr>
          <w:rFonts w:ascii="Times New Roman" w:hAnsi="Times New Roman"/>
          <w:b/>
          <w:sz w:val="24"/>
          <w:szCs w:val="24"/>
        </w:rPr>
      </w:pPr>
      <w:r w:rsidRPr="006B0478">
        <w:rPr>
          <w:rFonts w:ascii="Times New Roman" w:hAnsi="Times New Roman"/>
          <w:b/>
          <w:noProof/>
          <w:sz w:val="24"/>
          <w:szCs w:val="24"/>
          <w:lang w:eastAsia="lt-LT"/>
        </w:rPr>
        <w:drawing>
          <wp:inline distT="0" distB="0" distL="0" distR="0" wp14:anchorId="605D1AAE" wp14:editId="6ED55E86">
            <wp:extent cx="6120130" cy="4529952"/>
            <wp:effectExtent l="0" t="0" r="13970" b="2349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656" w:rsidRDefault="006B0478" w:rsidP="002B1778">
      <w:pPr>
        <w:jc w:val="center"/>
        <w:rPr>
          <w:rFonts w:ascii="Times New Roman" w:hAnsi="Times New Roman"/>
          <w:b/>
          <w:sz w:val="24"/>
          <w:szCs w:val="24"/>
        </w:rPr>
      </w:pPr>
      <w:r>
        <w:rPr>
          <w:rFonts w:ascii="Times New Roman" w:hAnsi="Times New Roman"/>
          <w:b/>
          <w:sz w:val="24"/>
          <w:szCs w:val="24"/>
        </w:rPr>
        <w:t>7 pav. Net</w:t>
      </w:r>
      <w:r w:rsidR="00DE3656">
        <w:rPr>
          <w:rFonts w:ascii="Times New Roman" w:hAnsi="Times New Roman"/>
          <w:b/>
          <w:sz w:val="24"/>
          <w:szCs w:val="24"/>
        </w:rPr>
        <w:t xml:space="preserve">urinčių dantų ligų vaikų pasiskirstymas pagal klases, 2018-2019 </w:t>
      </w:r>
      <w:proofErr w:type="spellStart"/>
      <w:r>
        <w:rPr>
          <w:rFonts w:ascii="Times New Roman" w:hAnsi="Times New Roman"/>
          <w:b/>
          <w:sz w:val="24"/>
          <w:szCs w:val="24"/>
        </w:rPr>
        <w:t>m</w:t>
      </w:r>
      <w:proofErr w:type="spellEnd"/>
      <w:r>
        <w:rPr>
          <w:rFonts w:ascii="Times New Roman" w:hAnsi="Times New Roman"/>
          <w:b/>
          <w:sz w:val="24"/>
          <w:szCs w:val="24"/>
        </w:rPr>
        <w:t xml:space="preserve">. </w:t>
      </w:r>
      <w:proofErr w:type="spellStart"/>
      <w:r>
        <w:rPr>
          <w:rFonts w:ascii="Times New Roman" w:hAnsi="Times New Roman"/>
          <w:b/>
          <w:sz w:val="24"/>
          <w:szCs w:val="24"/>
        </w:rPr>
        <w:t>m</w:t>
      </w:r>
      <w:proofErr w:type="spellEnd"/>
      <w:r>
        <w:rPr>
          <w:rFonts w:ascii="Times New Roman" w:hAnsi="Times New Roman"/>
          <w:b/>
          <w:sz w:val="24"/>
          <w:szCs w:val="24"/>
        </w:rPr>
        <w:t xml:space="preserve">. ir 2019–2020 </w:t>
      </w:r>
      <w:proofErr w:type="spellStart"/>
      <w:r w:rsidR="00DE3656">
        <w:rPr>
          <w:rFonts w:ascii="Times New Roman" w:hAnsi="Times New Roman"/>
          <w:b/>
          <w:sz w:val="24"/>
          <w:szCs w:val="24"/>
        </w:rPr>
        <w:t>m</w:t>
      </w:r>
      <w:proofErr w:type="spellEnd"/>
      <w:r w:rsidR="00DE3656">
        <w:rPr>
          <w:rFonts w:ascii="Times New Roman" w:hAnsi="Times New Roman"/>
          <w:b/>
          <w:sz w:val="24"/>
          <w:szCs w:val="24"/>
        </w:rPr>
        <w:t xml:space="preserve">. m. Plungės rajono bendro lavinimo </w:t>
      </w:r>
      <w:r w:rsidR="00EC64CC">
        <w:rPr>
          <w:rFonts w:ascii="Times New Roman" w:hAnsi="Times New Roman"/>
          <w:b/>
          <w:sz w:val="24"/>
          <w:szCs w:val="24"/>
        </w:rPr>
        <w:t xml:space="preserve">ir </w:t>
      </w:r>
      <w:r w:rsidR="00EC64CC" w:rsidRPr="00EC64CC">
        <w:rPr>
          <w:rFonts w:ascii="Times New Roman" w:hAnsi="Times New Roman"/>
          <w:b/>
          <w:sz w:val="24"/>
          <w:szCs w:val="24"/>
        </w:rPr>
        <w:t>profesinio mokymo įstaigose</w:t>
      </w:r>
      <w:r w:rsidR="00DE3656">
        <w:rPr>
          <w:rFonts w:ascii="Times New Roman" w:hAnsi="Times New Roman"/>
          <w:b/>
          <w:sz w:val="24"/>
          <w:szCs w:val="24"/>
        </w:rPr>
        <w:t xml:space="preserve"> (</w:t>
      </w:r>
      <w:proofErr w:type="spellStart"/>
      <w:r w:rsidR="00DE3656">
        <w:rPr>
          <w:rFonts w:ascii="Times New Roman" w:hAnsi="Times New Roman"/>
          <w:b/>
          <w:sz w:val="24"/>
          <w:szCs w:val="24"/>
        </w:rPr>
        <w:t>proc</w:t>
      </w:r>
      <w:proofErr w:type="spellEnd"/>
      <w:r w:rsidR="00DE3656">
        <w:rPr>
          <w:rFonts w:ascii="Times New Roman" w:hAnsi="Times New Roman"/>
          <w:b/>
          <w:sz w:val="24"/>
          <w:szCs w:val="24"/>
        </w:rPr>
        <w:t>.)</w:t>
      </w:r>
    </w:p>
    <w:p w:rsidR="002B1778" w:rsidRDefault="002B1778" w:rsidP="002B1778">
      <w:pPr>
        <w:jc w:val="center"/>
        <w:rPr>
          <w:rFonts w:ascii="Times New Roman" w:hAnsi="Times New Roman"/>
          <w:b/>
          <w:sz w:val="24"/>
          <w:szCs w:val="24"/>
        </w:rPr>
      </w:pPr>
    </w:p>
    <w:p w:rsidR="002B1778" w:rsidRDefault="002B1778" w:rsidP="002B1778">
      <w:pPr>
        <w:spacing w:after="0"/>
        <w:ind w:firstLine="1134"/>
        <w:jc w:val="both"/>
        <w:rPr>
          <w:rFonts w:ascii="Times New Roman" w:hAnsi="Times New Roman"/>
          <w:sz w:val="24"/>
          <w:szCs w:val="24"/>
        </w:rPr>
      </w:pPr>
      <w:r>
        <w:rPr>
          <w:rFonts w:ascii="Times New Roman" w:hAnsi="Times New Roman"/>
          <w:sz w:val="24"/>
          <w:szCs w:val="24"/>
        </w:rPr>
        <w:t xml:space="preserve">Problemos, susijusios su mokinių kūno masės indeksu sumažėjimu ar padidėjimu, kyla dėl netinkamos vaikų mitybos, menko fizinio aktyvumo, hormonų sutrikimų mokinių organizme. </w:t>
      </w:r>
    </w:p>
    <w:p w:rsidR="00F07221" w:rsidRDefault="005F123E" w:rsidP="002B1778">
      <w:pPr>
        <w:spacing w:after="0"/>
        <w:ind w:firstLine="1134"/>
        <w:jc w:val="both"/>
        <w:rPr>
          <w:rFonts w:ascii="Times New Roman" w:hAnsi="Times New Roman"/>
          <w:sz w:val="24"/>
          <w:szCs w:val="24"/>
        </w:rPr>
      </w:pPr>
      <w:r>
        <w:rPr>
          <w:rFonts w:ascii="Times New Roman" w:hAnsi="Times New Roman"/>
          <w:sz w:val="24"/>
          <w:szCs w:val="24"/>
        </w:rPr>
        <w:t>2019-2020</w:t>
      </w:r>
      <w:r w:rsidR="002B1778">
        <w:rPr>
          <w:rFonts w:ascii="Times New Roman" w:hAnsi="Times New Roman"/>
          <w:sz w:val="24"/>
          <w:szCs w:val="24"/>
        </w:rPr>
        <w:t xml:space="preserve"> </w:t>
      </w:r>
      <w:proofErr w:type="spellStart"/>
      <w:r w:rsidR="002B1778">
        <w:rPr>
          <w:rFonts w:ascii="Times New Roman" w:hAnsi="Times New Roman"/>
          <w:sz w:val="24"/>
          <w:szCs w:val="24"/>
        </w:rPr>
        <w:t>m</w:t>
      </w:r>
      <w:proofErr w:type="spellEnd"/>
      <w:r w:rsidR="002B1778">
        <w:rPr>
          <w:rFonts w:ascii="Times New Roman" w:hAnsi="Times New Roman"/>
          <w:sz w:val="24"/>
          <w:szCs w:val="24"/>
        </w:rPr>
        <w:t xml:space="preserve">. m.  </w:t>
      </w:r>
      <w:r w:rsidR="001F57EC">
        <w:rPr>
          <w:rFonts w:ascii="Times New Roman" w:hAnsi="Times New Roman"/>
          <w:sz w:val="24"/>
          <w:szCs w:val="24"/>
        </w:rPr>
        <w:t>pradžioje 8,7</w:t>
      </w:r>
      <w:r w:rsidR="002B1778">
        <w:rPr>
          <w:rFonts w:ascii="Times New Roman" w:hAnsi="Times New Roman"/>
          <w:sz w:val="24"/>
          <w:szCs w:val="24"/>
        </w:rPr>
        <w:t xml:space="preserve"> </w:t>
      </w:r>
      <w:proofErr w:type="spellStart"/>
      <w:r w:rsidR="002B1778">
        <w:rPr>
          <w:rFonts w:ascii="Times New Roman" w:hAnsi="Times New Roman"/>
          <w:sz w:val="24"/>
          <w:szCs w:val="24"/>
        </w:rPr>
        <w:t>proc</w:t>
      </w:r>
      <w:proofErr w:type="spellEnd"/>
      <w:r w:rsidR="002B1778">
        <w:rPr>
          <w:rFonts w:ascii="Times New Roman" w:hAnsi="Times New Roman"/>
          <w:sz w:val="24"/>
          <w:szCs w:val="24"/>
        </w:rPr>
        <w:t xml:space="preserve">. mokinių nustatytas </w:t>
      </w:r>
      <w:r w:rsidR="002B1778" w:rsidRPr="002B1778">
        <w:rPr>
          <w:rFonts w:ascii="Times New Roman" w:hAnsi="Times New Roman"/>
          <w:b/>
          <w:sz w:val="24"/>
          <w:szCs w:val="24"/>
        </w:rPr>
        <w:t>per mažas</w:t>
      </w:r>
      <w:r w:rsidR="002B1778">
        <w:rPr>
          <w:rFonts w:ascii="Times New Roman" w:hAnsi="Times New Roman"/>
          <w:sz w:val="24"/>
          <w:szCs w:val="24"/>
        </w:rPr>
        <w:t xml:space="preserve"> kūno masės indeksas, </w:t>
      </w:r>
      <w:r w:rsidR="001F57EC">
        <w:rPr>
          <w:rFonts w:ascii="Times New Roman" w:hAnsi="Times New Roman"/>
          <w:sz w:val="24"/>
          <w:szCs w:val="24"/>
        </w:rPr>
        <w:t xml:space="preserve">16,4 </w:t>
      </w:r>
      <w:proofErr w:type="spellStart"/>
      <w:r w:rsidR="001F57EC">
        <w:rPr>
          <w:rFonts w:ascii="Times New Roman" w:hAnsi="Times New Roman"/>
          <w:sz w:val="24"/>
          <w:szCs w:val="24"/>
        </w:rPr>
        <w:t>proc</w:t>
      </w:r>
      <w:proofErr w:type="spellEnd"/>
      <w:r w:rsidR="001F57EC">
        <w:rPr>
          <w:rFonts w:ascii="Times New Roman" w:hAnsi="Times New Roman"/>
          <w:sz w:val="24"/>
          <w:szCs w:val="24"/>
        </w:rPr>
        <w:t xml:space="preserve">. moksleivių nustatytas </w:t>
      </w:r>
      <w:r w:rsidR="001F57EC" w:rsidRPr="001F57EC">
        <w:rPr>
          <w:rFonts w:ascii="Times New Roman" w:hAnsi="Times New Roman"/>
          <w:b/>
          <w:sz w:val="24"/>
          <w:szCs w:val="24"/>
        </w:rPr>
        <w:t>antsvoris</w:t>
      </w:r>
      <w:r w:rsidR="001F57EC">
        <w:rPr>
          <w:rFonts w:ascii="Times New Roman" w:hAnsi="Times New Roman"/>
          <w:sz w:val="24"/>
          <w:szCs w:val="24"/>
        </w:rPr>
        <w:t>, 8</w:t>
      </w:r>
      <w:r w:rsidR="002B1778">
        <w:rPr>
          <w:rFonts w:ascii="Times New Roman" w:hAnsi="Times New Roman"/>
          <w:sz w:val="24"/>
          <w:szCs w:val="24"/>
        </w:rPr>
        <w:t xml:space="preserve"> </w:t>
      </w:r>
      <w:proofErr w:type="spellStart"/>
      <w:r w:rsidR="002B1778">
        <w:rPr>
          <w:rFonts w:ascii="Times New Roman" w:hAnsi="Times New Roman"/>
          <w:sz w:val="24"/>
          <w:szCs w:val="24"/>
        </w:rPr>
        <w:t>proc</w:t>
      </w:r>
      <w:proofErr w:type="spellEnd"/>
      <w:r w:rsidR="002B1778">
        <w:rPr>
          <w:rFonts w:ascii="Times New Roman" w:hAnsi="Times New Roman"/>
          <w:sz w:val="24"/>
          <w:szCs w:val="24"/>
        </w:rPr>
        <w:t xml:space="preserve">. nustatytas </w:t>
      </w:r>
      <w:r w:rsidR="001F57EC" w:rsidRPr="001F57EC">
        <w:rPr>
          <w:rFonts w:ascii="Times New Roman" w:hAnsi="Times New Roman"/>
          <w:b/>
          <w:sz w:val="24"/>
          <w:szCs w:val="24"/>
        </w:rPr>
        <w:t>nutukimas</w:t>
      </w:r>
      <w:r w:rsidR="001F57EC">
        <w:rPr>
          <w:rFonts w:ascii="Times New Roman" w:hAnsi="Times New Roman"/>
          <w:sz w:val="24"/>
          <w:szCs w:val="24"/>
        </w:rPr>
        <w:t xml:space="preserve"> ir likusiųjų </w:t>
      </w:r>
      <w:r w:rsidR="002B1778">
        <w:rPr>
          <w:rFonts w:ascii="Times New Roman" w:hAnsi="Times New Roman"/>
          <w:sz w:val="24"/>
          <w:szCs w:val="24"/>
        </w:rPr>
        <w:t xml:space="preserve">profilaktiškai sveikatą pasitikrinusių mokinių dalis turėjo normalų kūno masės indeksą. </w:t>
      </w:r>
      <w:r w:rsidR="00B60867">
        <w:rPr>
          <w:rFonts w:ascii="Times New Roman" w:hAnsi="Times New Roman"/>
          <w:sz w:val="24"/>
          <w:szCs w:val="24"/>
        </w:rPr>
        <w:t xml:space="preserve"> Dažniausiai</w:t>
      </w:r>
      <w:r w:rsidR="0091421D">
        <w:rPr>
          <w:rFonts w:ascii="Times New Roman" w:hAnsi="Times New Roman"/>
          <w:sz w:val="24"/>
          <w:szCs w:val="24"/>
        </w:rPr>
        <w:t xml:space="preserve"> padidėjusią kūno masę turi 9 - 10</w:t>
      </w:r>
      <w:r w:rsidR="00B60867">
        <w:rPr>
          <w:rFonts w:ascii="Times New Roman" w:hAnsi="Times New Roman"/>
          <w:sz w:val="24"/>
          <w:szCs w:val="24"/>
        </w:rPr>
        <w:t xml:space="preserve"> </w:t>
      </w:r>
      <w:proofErr w:type="spellStart"/>
      <w:r w:rsidR="00B60867">
        <w:rPr>
          <w:rFonts w:ascii="Times New Roman" w:hAnsi="Times New Roman"/>
          <w:sz w:val="24"/>
          <w:szCs w:val="24"/>
        </w:rPr>
        <w:t>kl</w:t>
      </w:r>
      <w:proofErr w:type="spellEnd"/>
      <w:r w:rsidR="00B60867">
        <w:rPr>
          <w:rFonts w:ascii="Times New Roman" w:hAnsi="Times New Roman"/>
          <w:sz w:val="24"/>
          <w:szCs w:val="24"/>
        </w:rPr>
        <w:t>. besimokantys moksleiviai (8 pav.).</w:t>
      </w:r>
    </w:p>
    <w:p w:rsidR="002B1778" w:rsidRDefault="002B1778" w:rsidP="002B1778">
      <w:pPr>
        <w:spacing w:after="0"/>
        <w:jc w:val="both"/>
        <w:rPr>
          <w:rFonts w:ascii="Times New Roman" w:hAnsi="Times New Roman"/>
          <w:sz w:val="24"/>
          <w:szCs w:val="24"/>
        </w:rPr>
      </w:pPr>
    </w:p>
    <w:tbl>
      <w:tblPr>
        <w:tblW w:w="9371" w:type="dxa"/>
        <w:tblLayout w:type="fixed"/>
        <w:tblCellMar>
          <w:left w:w="0" w:type="dxa"/>
          <w:right w:w="0" w:type="dxa"/>
        </w:tblCellMar>
        <w:tblLook w:val="0600" w:firstRow="0" w:lastRow="0" w:firstColumn="0" w:lastColumn="0" w:noHBand="1" w:noVBand="1"/>
      </w:tblPr>
      <w:tblGrid>
        <w:gridCol w:w="724"/>
        <w:gridCol w:w="1276"/>
        <w:gridCol w:w="1009"/>
        <w:gridCol w:w="975"/>
        <w:gridCol w:w="1134"/>
        <w:gridCol w:w="1024"/>
        <w:gridCol w:w="1103"/>
        <w:gridCol w:w="1134"/>
        <w:gridCol w:w="425"/>
        <w:gridCol w:w="567"/>
      </w:tblGrid>
      <w:tr w:rsidR="0091421D" w:rsidRPr="0091421D" w:rsidTr="00197FB9">
        <w:trPr>
          <w:trHeight w:val="273"/>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rPr>
                <w:rFonts w:ascii="Arial" w:eastAsia="Times New Roman" w:hAnsi="Arial" w:cs="Arial"/>
                <w:sz w:val="36"/>
                <w:szCs w:val="36"/>
                <w:lang w:eastAsia="lt-LT"/>
              </w:rPr>
            </w:pPr>
          </w:p>
        </w:tc>
        <w:tc>
          <w:tcPr>
            <w:tcW w:w="228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197FB9">
            <w:pPr>
              <w:spacing w:after="0" w:line="240" w:lineRule="auto"/>
              <w:textAlignment w:val="bottom"/>
              <w:rPr>
                <w:rFonts w:ascii="Arial" w:eastAsia="Times New Roman" w:hAnsi="Arial" w:cs="Arial"/>
                <w:b/>
                <w:bCs/>
                <w:color w:val="FF0000"/>
                <w:kern w:val="24"/>
                <w:sz w:val="24"/>
                <w:szCs w:val="24"/>
                <w:lang w:eastAsia="lt-LT"/>
              </w:rPr>
            </w:pPr>
          </w:p>
          <w:p w:rsidR="00197FB9" w:rsidRDefault="00197FB9" w:rsidP="00197FB9">
            <w:pPr>
              <w:spacing w:after="0" w:line="240" w:lineRule="auto"/>
              <w:textAlignment w:val="bottom"/>
              <w:rPr>
                <w:rFonts w:ascii="Arial" w:eastAsia="Times New Roman" w:hAnsi="Arial" w:cs="Arial"/>
                <w:b/>
                <w:bCs/>
                <w:color w:val="FF0000"/>
                <w:kern w:val="24"/>
                <w:sz w:val="24"/>
                <w:szCs w:val="24"/>
                <w:lang w:eastAsia="lt-LT"/>
              </w:rPr>
            </w:pPr>
          </w:p>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FF0000"/>
                <w:kern w:val="24"/>
                <w:sz w:val="24"/>
                <w:szCs w:val="24"/>
                <w:lang w:eastAsia="lt-LT"/>
              </w:rPr>
              <w:lastRenderedPageBreak/>
              <w:t>Per mažas</w:t>
            </w:r>
          </w:p>
        </w:tc>
        <w:tc>
          <w:tcPr>
            <w:tcW w:w="2109"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91421D" w:rsidRPr="0091421D" w:rsidRDefault="0091421D" w:rsidP="00197FB9">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FF0000"/>
                <w:kern w:val="24"/>
                <w:sz w:val="24"/>
                <w:szCs w:val="24"/>
                <w:lang w:eastAsia="lt-LT"/>
              </w:rPr>
              <w:lastRenderedPageBreak/>
              <w:t>Normalus</w:t>
            </w:r>
          </w:p>
        </w:tc>
        <w:tc>
          <w:tcPr>
            <w:tcW w:w="212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91421D" w:rsidRPr="0091421D" w:rsidRDefault="0091421D" w:rsidP="00197FB9">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FF0000"/>
                <w:kern w:val="24"/>
                <w:sz w:val="24"/>
                <w:szCs w:val="24"/>
                <w:lang w:eastAsia="lt-LT"/>
              </w:rPr>
              <w:lastRenderedPageBreak/>
              <w:t>Antsvoris</w:t>
            </w:r>
          </w:p>
        </w:tc>
        <w:tc>
          <w:tcPr>
            <w:tcW w:w="2126"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6B0478" w:rsidRDefault="006B0478" w:rsidP="0091421D">
            <w:pPr>
              <w:spacing w:after="0" w:line="240" w:lineRule="auto"/>
              <w:jc w:val="center"/>
              <w:textAlignment w:val="bottom"/>
              <w:rPr>
                <w:rFonts w:ascii="Arial" w:eastAsia="Times New Roman" w:hAnsi="Arial" w:cs="Arial"/>
                <w:b/>
                <w:bCs/>
                <w:color w:val="FF0000"/>
                <w:kern w:val="24"/>
                <w:sz w:val="24"/>
                <w:szCs w:val="24"/>
                <w:lang w:eastAsia="lt-LT"/>
              </w:rPr>
            </w:pPr>
          </w:p>
          <w:p w:rsidR="0091421D" w:rsidRPr="0091421D" w:rsidRDefault="0091421D" w:rsidP="00197FB9">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FF0000"/>
                <w:kern w:val="24"/>
                <w:sz w:val="24"/>
                <w:szCs w:val="24"/>
                <w:lang w:eastAsia="lt-LT"/>
              </w:rPr>
              <w:lastRenderedPageBreak/>
              <w:t>Nutukimas</w:t>
            </w:r>
          </w:p>
        </w:tc>
      </w:tr>
      <w:tr w:rsidR="0091421D" w:rsidRPr="0091421D" w:rsidTr="0091421D">
        <w:trPr>
          <w:trHeight w:val="590"/>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rPr>
                <w:rFonts w:ascii="Arial" w:eastAsia="Times New Roman" w:hAnsi="Arial" w:cs="Arial"/>
                <w:sz w:val="36"/>
                <w:szCs w:val="36"/>
                <w:lang w:eastAsia="lt-LT"/>
              </w:rPr>
            </w:pPr>
          </w:p>
        </w:tc>
        <w:tc>
          <w:tcPr>
            <w:tcW w:w="1276"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197FB9">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2018/2019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c>
          <w:tcPr>
            <w:tcW w:w="1009"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2019/2020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c>
          <w:tcPr>
            <w:tcW w:w="975"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2018/209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2019/2020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c>
          <w:tcPr>
            <w:tcW w:w="10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2018/2019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c>
          <w:tcPr>
            <w:tcW w:w="1103"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2019/2020 </w:t>
            </w:r>
            <w:proofErr w:type="spellStart"/>
            <w:r w:rsidRPr="0091421D">
              <w:rPr>
                <w:rFonts w:ascii="Arial" w:eastAsia="Times New Roman" w:hAnsi="Arial" w:cs="Arial"/>
                <w:b/>
                <w:bCs/>
                <w:color w:val="000000" w:themeColor="text1"/>
                <w:kern w:val="24"/>
                <w:sz w:val="18"/>
                <w:szCs w:val="18"/>
                <w:lang w:eastAsia="lt-LT"/>
              </w:rPr>
              <w:t>m.m</w:t>
            </w:r>
            <w:proofErr w:type="spellEnd"/>
          </w:p>
        </w:tc>
        <w:tc>
          <w:tcPr>
            <w:tcW w:w="113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2018/2019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c>
          <w:tcPr>
            <w:tcW w:w="992"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18"/>
                <w:szCs w:val="18"/>
                <w:lang w:eastAsia="lt-LT"/>
              </w:rPr>
            </w:pPr>
            <w:r w:rsidRPr="0091421D">
              <w:rPr>
                <w:rFonts w:ascii="Arial" w:eastAsia="Times New Roman" w:hAnsi="Arial" w:cs="Arial"/>
                <w:b/>
                <w:bCs/>
                <w:color w:val="000000" w:themeColor="text1"/>
                <w:kern w:val="24"/>
                <w:sz w:val="18"/>
                <w:szCs w:val="18"/>
                <w:lang w:eastAsia="lt-LT"/>
              </w:rPr>
              <w:t xml:space="preserve">2019/2020 </w:t>
            </w:r>
            <w:proofErr w:type="spellStart"/>
            <w:r w:rsidRPr="0091421D">
              <w:rPr>
                <w:rFonts w:ascii="Arial" w:eastAsia="Times New Roman" w:hAnsi="Arial" w:cs="Arial"/>
                <w:b/>
                <w:bCs/>
                <w:color w:val="000000" w:themeColor="text1"/>
                <w:kern w:val="24"/>
                <w:sz w:val="18"/>
                <w:szCs w:val="18"/>
                <w:lang w:eastAsia="lt-LT"/>
              </w:rPr>
              <w:t>m.m</w:t>
            </w:r>
            <w:proofErr w:type="spellEnd"/>
            <w:r w:rsidRPr="0091421D">
              <w:rPr>
                <w:rFonts w:ascii="Arial" w:eastAsia="Times New Roman" w:hAnsi="Arial" w:cs="Arial"/>
                <w:b/>
                <w:bCs/>
                <w:color w:val="000000" w:themeColor="text1"/>
                <w:kern w:val="24"/>
                <w:sz w:val="18"/>
                <w:szCs w:val="18"/>
                <w:lang w:eastAsia="lt-LT"/>
              </w:rPr>
              <w:t>.</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PUG</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2,8</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2,8</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50</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50</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5,6</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5,6</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19,4</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19,4</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11,2</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11,2</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66,8</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66,8</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9,7</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9,7</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4,5</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4,5</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10,1</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10,1</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58,8</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58,9</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17,2</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17,2</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9,7</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9,7</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3</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8,1</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60,3</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54,1</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17,3</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19,6</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10,1</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13,3</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4</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9,9</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10,5</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59,6</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60,7</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20,1</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14,6</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7,1</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11,8</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5</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7,6</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57</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60</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20,6</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20,7</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6</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12,2</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9,1</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59,5</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60,3</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16,8</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19,5</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8,2</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9,2</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9,4</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12,8</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61,3</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65,8</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18,6</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8,6</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10,9</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9,2</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8,2</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59,5</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64,4</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22,6</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17,5</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6,1</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7,9</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9,8</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6,4</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62,2</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63,2</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17,5</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20,1</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7,1</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7,1</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6,3</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7,1</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71,3</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67</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13,6</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16,1</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5,1</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5,7</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11</w:t>
            </w:r>
            <w:r>
              <w:rPr>
                <w:rFonts w:ascii="Arial" w:eastAsia="Times New Roman" w:hAnsi="Arial" w:cs="Arial"/>
                <w:b/>
                <w:bCs/>
                <w:color w:val="000000" w:themeColor="text1"/>
                <w:kern w:val="24"/>
                <w:sz w:val="24"/>
                <w:szCs w:val="24"/>
                <w:lang w:eastAsia="lt-LT"/>
              </w:rPr>
              <w:t xml:space="preserve"> </w:t>
            </w:r>
            <w:proofErr w:type="spellStart"/>
            <w:r>
              <w:rPr>
                <w:rFonts w:ascii="Arial" w:eastAsia="Times New Roman" w:hAnsi="Arial" w:cs="Arial"/>
                <w:b/>
                <w:bCs/>
                <w:color w:val="000000" w:themeColor="text1"/>
                <w:kern w:val="24"/>
                <w:sz w:val="24"/>
                <w:szCs w:val="24"/>
                <w:lang w:eastAsia="lt-LT"/>
              </w:rPr>
              <w:t>kl</w:t>
            </w:r>
            <w:proofErr w:type="spellEnd"/>
            <w:r>
              <w:rPr>
                <w:rFonts w:ascii="Arial" w:eastAsia="Times New Roman" w:hAnsi="Arial" w:cs="Arial"/>
                <w:b/>
                <w:bCs/>
                <w:color w:val="000000" w:themeColor="text1"/>
                <w:kern w:val="24"/>
                <w:sz w:val="24"/>
                <w:szCs w:val="24"/>
                <w:lang w:eastAsia="lt-LT"/>
              </w:rPr>
              <w:t>.</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7,1</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10,5</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72,3</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67,7</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12,1</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9,7</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3,8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6,7</w:t>
            </w:r>
          </w:p>
        </w:tc>
      </w:tr>
      <w:tr w:rsidR="0091421D" w:rsidRPr="0091421D" w:rsidTr="0091421D">
        <w:trPr>
          <w:trHeight w:val="729"/>
        </w:trPr>
        <w:tc>
          <w:tcPr>
            <w:tcW w:w="724" w:type="dxa"/>
            <w:tcBorders>
              <w:top w:val="nil"/>
              <w:left w:val="nil"/>
              <w:bottom w:val="nil"/>
              <w:right w:val="nil"/>
            </w:tcBorders>
            <w:shd w:val="clear" w:color="auto" w:fill="auto"/>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12</w:t>
            </w:r>
            <w:r>
              <w:rPr>
                <w:rFonts w:ascii="Arial" w:eastAsia="Times New Roman" w:hAnsi="Arial" w:cs="Arial"/>
                <w:b/>
                <w:bCs/>
                <w:color w:val="000000" w:themeColor="text1"/>
                <w:kern w:val="24"/>
                <w:sz w:val="24"/>
                <w:szCs w:val="24"/>
                <w:lang w:eastAsia="lt-LT"/>
              </w:rPr>
              <w:t xml:space="preserve"> kl.</w:t>
            </w:r>
          </w:p>
        </w:tc>
        <w:tc>
          <w:tcPr>
            <w:tcW w:w="1276"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7,5</w:t>
            </w:r>
          </w:p>
        </w:tc>
        <w:tc>
          <w:tcPr>
            <w:tcW w:w="1009" w:type="dxa"/>
            <w:tcBorders>
              <w:top w:val="nil"/>
              <w:left w:val="nil"/>
              <w:bottom w:val="nil"/>
              <w:right w:val="nil"/>
            </w:tcBorders>
            <w:shd w:val="clear" w:color="auto" w:fill="FFFF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7,4</w:t>
            </w:r>
          </w:p>
        </w:tc>
        <w:tc>
          <w:tcPr>
            <w:tcW w:w="975"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65,4</w:t>
            </w:r>
          </w:p>
        </w:tc>
        <w:tc>
          <w:tcPr>
            <w:tcW w:w="1134" w:type="dxa"/>
            <w:tcBorders>
              <w:top w:val="nil"/>
              <w:left w:val="nil"/>
              <w:bottom w:val="nil"/>
              <w:right w:val="nil"/>
            </w:tcBorders>
            <w:shd w:val="clear" w:color="auto" w:fill="92D05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kern w:val="24"/>
                <w:sz w:val="24"/>
                <w:szCs w:val="24"/>
                <w:lang w:eastAsia="lt-LT"/>
              </w:rPr>
              <w:t>63,3</w:t>
            </w:r>
          </w:p>
        </w:tc>
        <w:tc>
          <w:tcPr>
            <w:tcW w:w="1024"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10,1</w:t>
            </w:r>
          </w:p>
        </w:tc>
        <w:tc>
          <w:tcPr>
            <w:tcW w:w="1103" w:type="dxa"/>
            <w:tcBorders>
              <w:top w:val="nil"/>
              <w:left w:val="nil"/>
              <w:bottom w:val="nil"/>
              <w:right w:val="nil"/>
            </w:tcBorders>
            <w:shd w:val="clear" w:color="auto" w:fill="FFC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9</w:t>
            </w:r>
          </w:p>
        </w:tc>
        <w:tc>
          <w:tcPr>
            <w:tcW w:w="1559" w:type="dxa"/>
            <w:gridSpan w:val="2"/>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2,5</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91421D" w:rsidRPr="0091421D" w:rsidRDefault="0091421D" w:rsidP="0091421D">
            <w:pPr>
              <w:spacing w:after="0" w:line="240" w:lineRule="auto"/>
              <w:jc w:val="center"/>
              <w:textAlignment w:val="bottom"/>
              <w:rPr>
                <w:rFonts w:ascii="Arial" w:eastAsia="Times New Roman" w:hAnsi="Arial" w:cs="Arial"/>
                <w:sz w:val="24"/>
                <w:szCs w:val="24"/>
                <w:lang w:eastAsia="lt-LT"/>
              </w:rPr>
            </w:pPr>
            <w:r w:rsidRPr="0091421D">
              <w:rPr>
                <w:rFonts w:ascii="Arial" w:eastAsia="Times New Roman" w:hAnsi="Arial" w:cs="Arial"/>
                <w:b/>
                <w:bCs/>
                <w:color w:val="000000" w:themeColor="text1"/>
                <w:kern w:val="24"/>
                <w:sz w:val="24"/>
                <w:szCs w:val="24"/>
                <w:lang w:eastAsia="lt-LT"/>
              </w:rPr>
              <w:t>3,4</w:t>
            </w:r>
          </w:p>
        </w:tc>
      </w:tr>
    </w:tbl>
    <w:p w:rsidR="002B1778" w:rsidRDefault="002B1778" w:rsidP="002B1778">
      <w:pPr>
        <w:spacing w:after="0"/>
        <w:jc w:val="both"/>
        <w:rPr>
          <w:rFonts w:ascii="Times New Roman" w:hAnsi="Times New Roman"/>
          <w:b/>
        </w:rPr>
      </w:pPr>
    </w:p>
    <w:p w:rsidR="00B60867" w:rsidRDefault="00B60867" w:rsidP="00B60867">
      <w:pPr>
        <w:spacing w:after="0"/>
        <w:jc w:val="center"/>
        <w:rPr>
          <w:rFonts w:ascii="Times New Roman" w:hAnsi="Times New Roman"/>
          <w:b/>
        </w:rPr>
      </w:pPr>
      <w:r>
        <w:rPr>
          <w:rFonts w:ascii="Times New Roman" w:hAnsi="Times New Roman"/>
          <w:b/>
        </w:rPr>
        <w:t>8 pav. Profilaktiškai sveik</w:t>
      </w:r>
      <w:r w:rsidR="006B0478">
        <w:rPr>
          <w:rFonts w:ascii="Times New Roman" w:hAnsi="Times New Roman"/>
          <w:b/>
        </w:rPr>
        <w:t>a</w:t>
      </w:r>
      <w:r>
        <w:rPr>
          <w:rFonts w:ascii="Times New Roman" w:hAnsi="Times New Roman"/>
          <w:b/>
        </w:rPr>
        <w:t>tą pasitikrinu</w:t>
      </w:r>
      <w:r w:rsidR="0091421D">
        <w:rPr>
          <w:rFonts w:ascii="Times New Roman" w:hAnsi="Times New Roman"/>
          <w:b/>
        </w:rPr>
        <w:t xml:space="preserve">sių mokinių dalis pagal KMI </w:t>
      </w:r>
      <w:r w:rsidR="006B0478">
        <w:rPr>
          <w:rFonts w:ascii="Times New Roman" w:hAnsi="Times New Roman"/>
          <w:b/>
        </w:rPr>
        <w:t xml:space="preserve">2018-2019 </w:t>
      </w:r>
      <w:proofErr w:type="spellStart"/>
      <w:r w:rsidR="006B0478">
        <w:rPr>
          <w:rFonts w:ascii="Times New Roman" w:hAnsi="Times New Roman"/>
          <w:b/>
        </w:rPr>
        <w:t>m.m</w:t>
      </w:r>
      <w:proofErr w:type="spellEnd"/>
      <w:r w:rsidR="006B0478">
        <w:rPr>
          <w:rFonts w:ascii="Times New Roman" w:hAnsi="Times New Roman"/>
          <w:b/>
        </w:rPr>
        <w:t xml:space="preserve">. - </w:t>
      </w:r>
      <w:r w:rsidR="0091421D">
        <w:rPr>
          <w:rFonts w:ascii="Times New Roman" w:hAnsi="Times New Roman"/>
          <w:b/>
        </w:rPr>
        <w:t>2019-2020</w:t>
      </w:r>
      <w:r>
        <w:rPr>
          <w:rFonts w:ascii="Times New Roman" w:hAnsi="Times New Roman"/>
          <w:b/>
        </w:rPr>
        <w:t xml:space="preserve"> </w:t>
      </w:r>
      <w:proofErr w:type="spellStart"/>
      <w:r>
        <w:rPr>
          <w:rFonts w:ascii="Times New Roman" w:hAnsi="Times New Roman"/>
          <w:b/>
        </w:rPr>
        <w:t>m</w:t>
      </w:r>
      <w:proofErr w:type="spellEnd"/>
      <w:r>
        <w:rPr>
          <w:rFonts w:ascii="Times New Roman" w:hAnsi="Times New Roman"/>
          <w:b/>
        </w:rPr>
        <w:t xml:space="preserve">. m. </w:t>
      </w:r>
      <w:r w:rsidR="00A90DD6">
        <w:rPr>
          <w:rFonts w:ascii="Times New Roman" w:hAnsi="Times New Roman"/>
          <w:b/>
        </w:rPr>
        <w:t xml:space="preserve">Plungės rajono </w:t>
      </w:r>
      <w:r>
        <w:rPr>
          <w:rFonts w:ascii="Times New Roman" w:hAnsi="Times New Roman"/>
          <w:b/>
        </w:rPr>
        <w:t xml:space="preserve"> bendrojo lavinimo </w:t>
      </w:r>
      <w:r w:rsidR="00A031F0">
        <w:rPr>
          <w:rFonts w:ascii="Times New Roman" w:hAnsi="Times New Roman"/>
          <w:b/>
        </w:rPr>
        <w:t xml:space="preserve">ir </w:t>
      </w:r>
      <w:r w:rsidR="00A031F0" w:rsidRPr="00A031F0">
        <w:rPr>
          <w:rFonts w:ascii="Times New Roman" w:hAnsi="Times New Roman"/>
          <w:b/>
        </w:rPr>
        <w:t xml:space="preserve">profesinio mokymo įstaigose </w:t>
      </w:r>
      <w:r>
        <w:rPr>
          <w:rFonts w:ascii="Times New Roman" w:hAnsi="Times New Roman"/>
          <w:b/>
        </w:rPr>
        <w:t>(</w:t>
      </w:r>
      <w:proofErr w:type="spellStart"/>
      <w:r>
        <w:rPr>
          <w:rFonts w:ascii="Times New Roman" w:hAnsi="Times New Roman"/>
          <w:b/>
        </w:rPr>
        <w:t>proc</w:t>
      </w:r>
      <w:proofErr w:type="spellEnd"/>
      <w:r>
        <w:rPr>
          <w:rFonts w:ascii="Times New Roman" w:hAnsi="Times New Roman"/>
          <w:b/>
        </w:rPr>
        <w:t xml:space="preserve">.) </w:t>
      </w:r>
    </w:p>
    <w:p w:rsidR="00B60867" w:rsidRDefault="00B60867" w:rsidP="00B60867">
      <w:pPr>
        <w:spacing w:after="0"/>
        <w:jc w:val="both"/>
        <w:rPr>
          <w:rFonts w:ascii="Times New Roman" w:hAnsi="Times New Roman"/>
          <w:b/>
        </w:rPr>
      </w:pPr>
    </w:p>
    <w:p w:rsidR="00B60867" w:rsidRDefault="00B60867" w:rsidP="00B60867">
      <w:pPr>
        <w:spacing w:after="0"/>
        <w:ind w:firstLine="1134"/>
        <w:jc w:val="both"/>
        <w:rPr>
          <w:rFonts w:ascii="Times New Roman" w:hAnsi="Times New Roman"/>
        </w:rPr>
      </w:pPr>
      <w:r>
        <w:rPr>
          <w:rFonts w:ascii="Times New Roman" w:hAnsi="Times New Roman"/>
        </w:rPr>
        <w:t xml:space="preserve">Pagrindinės fizinio ugdymo </w:t>
      </w:r>
      <w:r w:rsidR="00FD483C">
        <w:rPr>
          <w:rFonts w:ascii="Times New Roman" w:hAnsi="Times New Roman"/>
        </w:rPr>
        <w:t xml:space="preserve">organizavimo mokyklose priemonės yra kūno kultūros pamokos bei </w:t>
      </w:r>
      <w:proofErr w:type="spellStart"/>
      <w:r w:rsidR="00FD483C">
        <w:rPr>
          <w:rFonts w:ascii="Times New Roman" w:hAnsi="Times New Roman"/>
        </w:rPr>
        <w:t>popamokinė</w:t>
      </w:r>
      <w:proofErr w:type="spellEnd"/>
      <w:r w:rsidR="00FD483C">
        <w:rPr>
          <w:rFonts w:ascii="Times New Roman" w:hAnsi="Times New Roman"/>
        </w:rPr>
        <w:t xml:space="preserve"> veikla (sporto būreliai, sporto renginiai ir pan.). Kūno kultūros pamokos privalomos visiems sveikiems mokiniams. Daugumą vaikų, kurių sveikata sutrikusi gydytojai atleidžia nuo kūno kultūros pamokų. Vis dėl to, vaikams, kurių sveikata yra silpnesnė, dažnai labiau nei sveikiesiems vaikams reikalinga jų sveikatos lygį atitinkanti fizinė veikla. </w:t>
      </w:r>
    </w:p>
    <w:p w:rsidR="00FD483C" w:rsidRDefault="00FD483C" w:rsidP="00B60867">
      <w:pPr>
        <w:spacing w:after="0"/>
        <w:ind w:firstLine="1134"/>
        <w:jc w:val="both"/>
        <w:rPr>
          <w:rFonts w:ascii="Times New Roman" w:hAnsi="Times New Roman"/>
        </w:rPr>
      </w:pPr>
      <w:r>
        <w:rPr>
          <w:rFonts w:ascii="Times New Roman" w:hAnsi="Times New Roman"/>
        </w:rPr>
        <w:t>Skiriamos trys pagrindinės kūno kultūros grupės: pagrindinė</w:t>
      </w:r>
      <w:r w:rsidR="006C0F9D">
        <w:rPr>
          <w:rFonts w:ascii="Times New Roman" w:hAnsi="Times New Roman"/>
        </w:rPr>
        <w:t xml:space="preserve"> </w:t>
      </w:r>
      <w:r>
        <w:rPr>
          <w:rFonts w:ascii="Times New Roman" w:hAnsi="Times New Roman"/>
        </w:rPr>
        <w:t xml:space="preserve">- jai priskiriami vaikai, kurie yra visiškai sveiki, parengiamoji- moksleiviai turintys nedidelių sveikatos sutrikimų ar neseniai persirgę kokia </w:t>
      </w:r>
      <w:r>
        <w:rPr>
          <w:rFonts w:ascii="Times New Roman" w:hAnsi="Times New Roman"/>
        </w:rPr>
        <w:lastRenderedPageBreak/>
        <w:t>nors liga, specialioji kūno kultūros grupė- mokiniai mankštinasi pagal specialią kūno kultūros programą. Moksleiviai tai pat gali būti visiškai atleisti nuo kūno kultūros pamokų.</w:t>
      </w:r>
    </w:p>
    <w:p w:rsidR="00FD483C" w:rsidRDefault="00235E7A" w:rsidP="00B60867">
      <w:pPr>
        <w:spacing w:after="0"/>
        <w:ind w:firstLine="1134"/>
        <w:jc w:val="both"/>
        <w:rPr>
          <w:rFonts w:ascii="Times New Roman" w:hAnsi="Times New Roman"/>
        </w:rPr>
      </w:pPr>
      <w:r>
        <w:rPr>
          <w:rFonts w:ascii="Times New Roman" w:hAnsi="Times New Roman"/>
        </w:rPr>
        <w:t>2019-2020</w:t>
      </w:r>
      <w:r w:rsidR="00FD483C">
        <w:rPr>
          <w:rFonts w:ascii="Times New Roman" w:hAnsi="Times New Roman"/>
        </w:rPr>
        <w:t xml:space="preserve"> </w:t>
      </w:r>
      <w:proofErr w:type="spellStart"/>
      <w:r w:rsidR="00FD483C">
        <w:rPr>
          <w:rFonts w:ascii="Times New Roman" w:hAnsi="Times New Roman"/>
        </w:rPr>
        <w:t>m</w:t>
      </w:r>
      <w:proofErr w:type="spellEnd"/>
      <w:r w:rsidR="00FD483C">
        <w:rPr>
          <w:rFonts w:ascii="Times New Roman" w:hAnsi="Times New Roman"/>
        </w:rPr>
        <w:t>. m. 9 iš 10 vaikų priskirti pagri</w:t>
      </w:r>
      <w:r w:rsidR="006152EF">
        <w:rPr>
          <w:rFonts w:ascii="Times New Roman" w:hAnsi="Times New Roman"/>
        </w:rPr>
        <w:t>ndinei kūno kultūros grupei. 3,4</w:t>
      </w:r>
      <w:r w:rsidR="00FD483C">
        <w:rPr>
          <w:rFonts w:ascii="Times New Roman" w:hAnsi="Times New Roman"/>
        </w:rPr>
        <w:t xml:space="preserve"> </w:t>
      </w:r>
      <w:proofErr w:type="spellStart"/>
      <w:r w:rsidR="00FD483C">
        <w:rPr>
          <w:rFonts w:ascii="Times New Roman" w:hAnsi="Times New Roman"/>
        </w:rPr>
        <w:t>proc</w:t>
      </w:r>
      <w:proofErr w:type="spellEnd"/>
      <w:r w:rsidR="00FD483C">
        <w:rPr>
          <w:rFonts w:ascii="Times New Roman" w:hAnsi="Times New Roman"/>
        </w:rPr>
        <w:t xml:space="preserve">. mokinių </w:t>
      </w:r>
      <w:r w:rsidR="00B43064">
        <w:rPr>
          <w:rFonts w:ascii="Times New Roman" w:hAnsi="Times New Roman"/>
        </w:rPr>
        <w:t>parengiamajai</w:t>
      </w:r>
      <w:r w:rsidR="006152EF">
        <w:rPr>
          <w:rFonts w:ascii="Times New Roman" w:hAnsi="Times New Roman"/>
        </w:rPr>
        <w:t xml:space="preserve">, 1,1 proc.- specialiajai ir </w:t>
      </w:r>
      <w:r w:rsidR="00B43064">
        <w:rPr>
          <w:rFonts w:ascii="Times New Roman" w:hAnsi="Times New Roman"/>
        </w:rPr>
        <w:t>mokinių atleisti nuo kūno kultūros pamokų</w:t>
      </w:r>
      <w:r w:rsidR="006152EF">
        <w:rPr>
          <w:rFonts w:ascii="Times New Roman" w:hAnsi="Times New Roman"/>
        </w:rPr>
        <w:t xml:space="preserve"> nėra visai</w:t>
      </w:r>
      <w:r w:rsidR="00B43064">
        <w:rPr>
          <w:rFonts w:ascii="Times New Roman" w:hAnsi="Times New Roman"/>
        </w:rPr>
        <w:t xml:space="preserve"> (9 </w:t>
      </w:r>
      <w:proofErr w:type="spellStart"/>
      <w:r w:rsidR="00B43064">
        <w:rPr>
          <w:rFonts w:ascii="Times New Roman" w:hAnsi="Times New Roman"/>
        </w:rPr>
        <w:t>pav</w:t>
      </w:r>
      <w:proofErr w:type="spellEnd"/>
      <w:r w:rsidR="00B43064">
        <w:rPr>
          <w:rFonts w:ascii="Times New Roman" w:hAnsi="Times New Roman"/>
        </w:rPr>
        <w:t>.).</w:t>
      </w:r>
    </w:p>
    <w:p w:rsidR="00B43064" w:rsidRDefault="00235E7A" w:rsidP="00A90DD6">
      <w:pPr>
        <w:spacing w:after="0"/>
        <w:jc w:val="both"/>
        <w:rPr>
          <w:rFonts w:ascii="Times New Roman" w:hAnsi="Times New Roman"/>
        </w:rPr>
      </w:pPr>
      <w:r>
        <w:rPr>
          <w:noProof/>
          <w:lang w:eastAsia="lt-LT"/>
        </w:rPr>
        <w:drawing>
          <wp:inline distT="0" distB="0" distL="0" distR="0" wp14:anchorId="538BCA24" wp14:editId="2AE7D206">
            <wp:extent cx="5611529" cy="2743200"/>
            <wp:effectExtent l="0" t="0" r="27305" b="1905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0DD6" w:rsidRDefault="00A90DD6" w:rsidP="00A90DD6">
      <w:pPr>
        <w:spacing w:after="0"/>
        <w:jc w:val="center"/>
        <w:rPr>
          <w:rFonts w:ascii="Times New Roman" w:hAnsi="Times New Roman"/>
          <w:b/>
        </w:rPr>
      </w:pPr>
      <w:r>
        <w:rPr>
          <w:rFonts w:ascii="Times New Roman" w:hAnsi="Times New Roman"/>
          <w:b/>
        </w:rPr>
        <w:t>9 pav.  Profilaktiškai sveikatą pasitikrinusių vaikų, pasiskirstymas p</w:t>
      </w:r>
      <w:r w:rsidR="00235E7A">
        <w:rPr>
          <w:rFonts w:ascii="Times New Roman" w:hAnsi="Times New Roman"/>
          <w:b/>
        </w:rPr>
        <w:t>agal kūno kultūros grupes, 2018/</w:t>
      </w:r>
      <w:r>
        <w:rPr>
          <w:rFonts w:ascii="Times New Roman" w:hAnsi="Times New Roman"/>
          <w:b/>
        </w:rPr>
        <w:t xml:space="preserve">2019 </w:t>
      </w:r>
      <w:r w:rsidR="00235E7A">
        <w:rPr>
          <w:rFonts w:ascii="Times New Roman" w:hAnsi="Times New Roman"/>
          <w:b/>
        </w:rPr>
        <w:t xml:space="preserve">– 2019/2020 </w:t>
      </w:r>
      <w:proofErr w:type="spellStart"/>
      <w:r>
        <w:rPr>
          <w:rFonts w:ascii="Times New Roman" w:hAnsi="Times New Roman"/>
          <w:b/>
        </w:rPr>
        <w:t>m</w:t>
      </w:r>
      <w:proofErr w:type="spellEnd"/>
      <w:r>
        <w:rPr>
          <w:rFonts w:ascii="Times New Roman" w:hAnsi="Times New Roman"/>
          <w:b/>
        </w:rPr>
        <w:t xml:space="preserve">. m. Plungės rajono bendrojo ugdymo </w:t>
      </w:r>
      <w:r w:rsidR="00A031F0">
        <w:rPr>
          <w:rFonts w:ascii="Times New Roman" w:hAnsi="Times New Roman"/>
          <w:b/>
        </w:rPr>
        <w:t xml:space="preserve">ir </w:t>
      </w:r>
      <w:r w:rsidR="00A031F0" w:rsidRPr="00A031F0">
        <w:rPr>
          <w:rFonts w:ascii="Times New Roman" w:hAnsi="Times New Roman"/>
          <w:b/>
        </w:rPr>
        <w:t>profesinio mokymo įstaigose</w:t>
      </w:r>
      <w:r w:rsidR="00A031F0">
        <w:rPr>
          <w:rFonts w:ascii="Times New Roman" w:hAnsi="Times New Roman"/>
          <w:b/>
        </w:rPr>
        <w:t xml:space="preserve"> </w:t>
      </w:r>
      <w:r>
        <w:rPr>
          <w:rFonts w:ascii="Times New Roman" w:hAnsi="Times New Roman"/>
          <w:b/>
        </w:rPr>
        <w:t>, dalis (</w:t>
      </w:r>
      <w:proofErr w:type="spellStart"/>
      <w:r>
        <w:rPr>
          <w:rFonts w:ascii="Times New Roman" w:hAnsi="Times New Roman"/>
          <w:b/>
        </w:rPr>
        <w:t>proc</w:t>
      </w:r>
      <w:proofErr w:type="spellEnd"/>
      <w:r>
        <w:rPr>
          <w:rFonts w:ascii="Times New Roman" w:hAnsi="Times New Roman"/>
          <w:b/>
        </w:rPr>
        <w:t>.)</w:t>
      </w:r>
    </w:p>
    <w:p w:rsidR="00A90DD6" w:rsidRDefault="00A90DD6" w:rsidP="006B0478">
      <w:pPr>
        <w:spacing w:after="0"/>
        <w:rPr>
          <w:rFonts w:ascii="Times New Roman" w:hAnsi="Times New Roman"/>
          <w:b/>
        </w:rPr>
      </w:pPr>
    </w:p>
    <w:p w:rsidR="006C0F9D" w:rsidRPr="00B558B2" w:rsidRDefault="00B558B2" w:rsidP="00B558B2">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D6FDA" w:rsidRPr="00DD6FDA">
        <w:rPr>
          <w:rFonts w:ascii="Times New Roman" w:hAnsi="Times New Roman"/>
          <w:sz w:val="24"/>
          <w:szCs w:val="24"/>
        </w:rPr>
        <w:t xml:space="preserve">Netaisyklingas </w:t>
      </w:r>
      <w:proofErr w:type="spellStart"/>
      <w:r w:rsidR="00DD6FDA" w:rsidRPr="00DD6FDA">
        <w:rPr>
          <w:rFonts w:ascii="Times New Roman" w:hAnsi="Times New Roman"/>
          <w:sz w:val="24"/>
          <w:szCs w:val="24"/>
        </w:rPr>
        <w:t>sąkandis</w:t>
      </w:r>
      <w:proofErr w:type="spellEnd"/>
      <w:r w:rsidR="00DD6FDA" w:rsidRPr="00DD6FDA">
        <w:rPr>
          <w:rFonts w:ascii="Times New Roman" w:hAnsi="Times New Roman"/>
          <w:sz w:val="24"/>
          <w:szCs w:val="24"/>
        </w:rPr>
        <w:t xml:space="preserve"> gali būti nulemtas genetiškai arba atsiradęs vaikystėje. Iki 40 </w:t>
      </w:r>
      <w:proofErr w:type="spellStart"/>
      <w:r w:rsidR="00DD6FDA" w:rsidRPr="00DD6FDA">
        <w:rPr>
          <w:rFonts w:ascii="Times New Roman" w:hAnsi="Times New Roman"/>
          <w:sz w:val="24"/>
          <w:szCs w:val="24"/>
        </w:rPr>
        <w:t>proc</w:t>
      </w:r>
      <w:proofErr w:type="spellEnd"/>
      <w:r w:rsidR="00DD6FDA" w:rsidRPr="00DD6FDA">
        <w:rPr>
          <w:rFonts w:ascii="Times New Roman" w:hAnsi="Times New Roman"/>
          <w:sz w:val="24"/>
          <w:szCs w:val="24"/>
        </w:rPr>
        <w:t>. atvejų susiformavę dėl prastos pieninių dantų priežiūros ir (pasak naujų studijų) vaikystės įpročio nusiraminimui ką nors čiulpti (</w:t>
      </w:r>
      <w:proofErr w:type="spellStart"/>
      <w:r w:rsidR="00DD6FDA" w:rsidRPr="00DD6FDA">
        <w:rPr>
          <w:rFonts w:ascii="Times New Roman" w:hAnsi="Times New Roman"/>
          <w:sz w:val="24"/>
          <w:szCs w:val="24"/>
        </w:rPr>
        <w:t>pvz</w:t>
      </w:r>
      <w:proofErr w:type="spellEnd"/>
      <w:r w:rsidR="00DD6FDA" w:rsidRPr="00DD6FDA">
        <w:rPr>
          <w:rFonts w:ascii="Times New Roman" w:hAnsi="Times New Roman"/>
          <w:sz w:val="24"/>
          <w:szCs w:val="24"/>
        </w:rPr>
        <w:t>., nykštį). Netaisyklingas kvėpavimas – per burną, vaikystėje, besiformuojant žandikauliams, taip pat turi didelės įtakos.</w:t>
      </w:r>
      <w:r w:rsidR="00DD6FDA">
        <w:rPr>
          <w:rFonts w:ascii="Times New Roman" w:hAnsi="Times New Roman"/>
          <w:sz w:val="24"/>
          <w:szCs w:val="24"/>
        </w:rPr>
        <w:t xml:space="preserve"> Kiekvienais metais stebima didėjanti </w:t>
      </w:r>
      <w:proofErr w:type="spellStart"/>
      <w:r w:rsidR="00DD6FDA">
        <w:rPr>
          <w:rFonts w:ascii="Times New Roman" w:hAnsi="Times New Roman"/>
          <w:sz w:val="24"/>
          <w:szCs w:val="24"/>
        </w:rPr>
        <w:t>sąkandžio</w:t>
      </w:r>
      <w:proofErr w:type="spellEnd"/>
      <w:r w:rsidR="00DD6FDA">
        <w:rPr>
          <w:rFonts w:ascii="Times New Roman" w:hAnsi="Times New Roman"/>
          <w:sz w:val="24"/>
          <w:szCs w:val="24"/>
        </w:rPr>
        <w:t xml:space="preserve"> patologija, 2018/2019 </w:t>
      </w:r>
      <w:proofErr w:type="spellStart"/>
      <w:r w:rsidR="00DD6FDA">
        <w:rPr>
          <w:rFonts w:ascii="Times New Roman" w:hAnsi="Times New Roman"/>
          <w:sz w:val="24"/>
          <w:szCs w:val="24"/>
        </w:rPr>
        <w:t>m.m</w:t>
      </w:r>
      <w:proofErr w:type="spellEnd"/>
      <w:r w:rsidR="00DD6FDA">
        <w:rPr>
          <w:rFonts w:ascii="Times New Roman" w:hAnsi="Times New Roman"/>
          <w:sz w:val="24"/>
          <w:szCs w:val="24"/>
        </w:rPr>
        <w:t xml:space="preserve">. iš </w:t>
      </w:r>
      <w:r w:rsidR="00DD6FDA" w:rsidRPr="00DD6FDA">
        <w:rPr>
          <w:rFonts w:ascii="Times New Roman" w:hAnsi="Times New Roman"/>
          <w:sz w:val="24"/>
          <w:szCs w:val="24"/>
        </w:rPr>
        <w:t>pateikt</w:t>
      </w:r>
      <w:r w:rsidR="00DD6FDA">
        <w:rPr>
          <w:rFonts w:ascii="Times New Roman" w:hAnsi="Times New Roman"/>
          <w:sz w:val="24"/>
          <w:szCs w:val="24"/>
        </w:rPr>
        <w:t>ų vaikų sveikatos pažymėjimų</w:t>
      </w:r>
      <w:r w:rsidR="00DD6FDA" w:rsidRPr="00DD6FDA">
        <w:rPr>
          <w:rFonts w:ascii="Times New Roman" w:hAnsi="Times New Roman"/>
          <w:sz w:val="24"/>
          <w:szCs w:val="24"/>
        </w:rPr>
        <w:t xml:space="preserve"> nustatyta</w:t>
      </w:r>
      <w:r w:rsidR="00DD6FDA">
        <w:rPr>
          <w:rFonts w:ascii="Times New Roman" w:hAnsi="Times New Roman"/>
          <w:sz w:val="24"/>
          <w:szCs w:val="24"/>
        </w:rPr>
        <w:t xml:space="preserve">, kad </w:t>
      </w:r>
      <w:proofErr w:type="spellStart"/>
      <w:r w:rsidR="00DD6FDA">
        <w:rPr>
          <w:rFonts w:ascii="Times New Roman" w:hAnsi="Times New Roman"/>
          <w:sz w:val="24"/>
          <w:szCs w:val="24"/>
        </w:rPr>
        <w:t>sąkandžio</w:t>
      </w:r>
      <w:proofErr w:type="spellEnd"/>
      <w:r w:rsidR="00DD6FDA">
        <w:rPr>
          <w:rFonts w:ascii="Times New Roman" w:hAnsi="Times New Roman"/>
          <w:sz w:val="24"/>
          <w:szCs w:val="24"/>
        </w:rPr>
        <w:t xml:space="preserve"> patologijos neturėjo 57,5 </w:t>
      </w:r>
      <w:proofErr w:type="spellStart"/>
      <w:r w:rsidR="00DD6FDA">
        <w:rPr>
          <w:rFonts w:ascii="Times New Roman" w:hAnsi="Times New Roman"/>
          <w:sz w:val="24"/>
          <w:szCs w:val="24"/>
        </w:rPr>
        <w:t>proc</w:t>
      </w:r>
      <w:proofErr w:type="spellEnd"/>
      <w:r w:rsidR="00DD6FDA">
        <w:rPr>
          <w:rFonts w:ascii="Times New Roman" w:hAnsi="Times New Roman"/>
          <w:sz w:val="24"/>
          <w:szCs w:val="24"/>
        </w:rPr>
        <w:t xml:space="preserve">, 2019/2020 </w:t>
      </w:r>
      <w:proofErr w:type="spellStart"/>
      <w:r w:rsidR="00DD6FDA">
        <w:rPr>
          <w:rFonts w:ascii="Times New Roman" w:hAnsi="Times New Roman"/>
          <w:sz w:val="24"/>
          <w:szCs w:val="24"/>
        </w:rPr>
        <w:t>m.m</w:t>
      </w:r>
      <w:proofErr w:type="spellEnd"/>
      <w:r w:rsidR="00DD6FDA">
        <w:rPr>
          <w:rFonts w:ascii="Times New Roman" w:hAnsi="Times New Roman"/>
          <w:sz w:val="24"/>
          <w:szCs w:val="24"/>
        </w:rPr>
        <w:t xml:space="preserve">. </w:t>
      </w:r>
      <w:proofErr w:type="spellStart"/>
      <w:r w:rsidR="00DD6FDA">
        <w:rPr>
          <w:rFonts w:ascii="Times New Roman" w:hAnsi="Times New Roman"/>
          <w:sz w:val="24"/>
          <w:szCs w:val="24"/>
        </w:rPr>
        <w:t>sąkąndžio</w:t>
      </w:r>
      <w:proofErr w:type="spellEnd"/>
      <w:r w:rsidR="00DD6FDA">
        <w:rPr>
          <w:rFonts w:ascii="Times New Roman" w:hAnsi="Times New Roman"/>
          <w:sz w:val="24"/>
          <w:szCs w:val="24"/>
        </w:rPr>
        <w:t xml:space="preserve"> patologijos neturi 54,4 </w:t>
      </w:r>
      <w:proofErr w:type="spellStart"/>
      <w:r w:rsidR="00DD6FDA">
        <w:rPr>
          <w:rFonts w:ascii="Times New Roman" w:hAnsi="Times New Roman"/>
          <w:sz w:val="24"/>
          <w:szCs w:val="24"/>
        </w:rPr>
        <w:t>proc</w:t>
      </w:r>
      <w:proofErr w:type="spellEnd"/>
      <w:r w:rsidR="00DD6FDA">
        <w:rPr>
          <w:rFonts w:ascii="Times New Roman" w:hAnsi="Times New Roman"/>
          <w:sz w:val="24"/>
          <w:szCs w:val="24"/>
        </w:rPr>
        <w:t xml:space="preserve">. (10 </w:t>
      </w:r>
      <w:proofErr w:type="spellStart"/>
      <w:r w:rsidR="00DD6FDA">
        <w:rPr>
          <w:rFonts w:ascii="Times New Roman" w:hAnsi="Times New Roman"/>
          <w:sz w:val="24"/>
          <w:szCs w:val="24"/>
        </w:rPr>
        <w:t>pav</w:t>
      </w:r>
      <w:proofErr w:type="spellEnd"/>
      <w:r w:rsidR="00DD6FDA">
        <w:rPr>
          <w:rFonts w:ascii="Times New Roman" w:hAnsi="Times New Roman"/>
          <w:sz w:val="24"/>
          <w:szCs w:val="24"/>
        </w:rPr>
        <w:t>.).</w:t>
      </w:r>
    </w:p>
    <w:p w:rsidR="006C0F9D" w:rsidRDefault="00B558B2" w:rsidP="00B558B2">
      <w:pPr>
        <w:spacing w:after="0"/>
        <w:rPr>
          <w:rFonts w:ascii="Times New Roman" w:hAnsi="Times New Roman"/>
          <w:b/>
        </w:rPr>
      </w:pPr>
      <w:r w:rsidRPr="00B558B2">
        <w:rPr>
          <w:rFonts w:ascii="Times New Roman" w:hAnsi="Times New Roman"/>
          <w:b/>
          <w:noProof/>
          <w:lang w:eastAsia="lt-LT"/>
        </w:rPr>
        <w:lastRenderedPageBreak/>
        <w:drawing>
          <wp:inline distT="0" distB="0" distL="0" distR="0" wp14:anchorId="0F966E20" wp14:editId="190B6F09">
            <wp:extent cx="6120130" cy="3365703"/>
            <wp:effectExtent l="0" t="0" r="13970" b="2540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0F9D" w:rsidRDefault="00B558B2" w:rsidP="00B558B2">
      <w:pPr>
        <w:spacing w:after="0"/>
        <w:jc w:val="center"/>
        <w:rPr>
          <w:rFonts w:ascii="Times New Roman" w:hAnsi="Times New Roman"/>
          <w:b/>
        </w:rPr>
      </w:pPr>
      <w:r>
        <w:rPr>
          <w:rFonts w:ascii="Times New Roman" w:hAnsi="Times New Roman"/>
          <w:b/>
        </w:rPr>
        <w:t>10</w:t>
      </w:r>
      <w:r w:rsidRPr="00B558B2">
        <w:rPr>
          <w:rFonts w:ascii="Times New Roman" w:hAnsi="Times New Roman"/>
          <w:b/>
        </w:rPr>
        <w:t xml:space="preserve"> </w:t>
      </w:r>
      <w:proofErr w:type="spellStart"/>
      <w:r w:rsidRPr="00B558B2">
        <w:rPr>
          <w:rFonts w:ascii="Times New Roman" w:hAnsi="Times New Roman"/>
          <w:b/>
        </w:rPr>
        <w:t>pav</w:t>
      </w:r>
      <w:proofErr w:type="spellEnd"/>
      <w:r w:rsidRPr="00B558B2">
        <w:rPr>
          <w:rFonts w:ascii="Times New Roman" w:hAnsi="Times New Roman"/>
          <w:b/>
        </w:rPr>
        <w:t>.  Profilaktiškai sv</w:t>
      </w:r>
      <w:r w:rsidR="00DD6FDA">
        <w:rPr>
          <w:rFonts w:ascii="Times New Roman" w:hAnsi="Times New Roman"/>
          <w:b/>
        </w:rPr>
        <w:t xml:space="preserve">eikatą pasitikrinusių vaikų </w:t>
      </w:r>
      <w:r w:rsidRPr="00B558B2">
        <w:rPr>
          <w:rFonts w:ascii="Times New Roman" w:hAnsi="Times New Roman"/>
          <w:b/>
        </w:rPr>
        <w:t xml:space="preserve"> pasiskirstymas pagal</w:t>
      </w:r>
      <w:r>
        <w:rPr>
          <w:rFonts w:ascii="Times New Roman" w:hAnsi="Times New Roman"/>
          <w:b/>
        </w:rPr>
        <w:t xml:space="preserve"> </w:t>
      </w:r>
      <w:proofErr w:type="spellStart"/>
      <w:r>
        <w:rPr>
          <w:rFonts w:ascii="Times New Roman" w:hAnsi="Times New Roman"/>
          <w:b/>
        </w:rPr>
        <w:t>sąkandžio</w:t>
      </w:r>
      <w:proofErr w:type="spellEnd"/>
      <w:r>
        <w:rPr>
          <w:rFonts w:ascii="Times New Roman" w:hAnsi="Times New Roman"/>
          <w:b/>
        </w:rPr>
        <w:t xml:space="preserve"> patologiją</w:t>
      </w:r>
      <w:r w:rsidRPr="00B558B2">
        <w:rPr>
          <w:rFonts w:ascii="Times New Roman" w:hAnsi="Times New Roman"/>
          <w:b/>
        </w:rPr>
        <w:t xml:space="preserve"> 2019/2020 </w:t>
      </w:r>
      <w:proofErr w:type="spellStart"/>
      <w:r w:rsidRPr="00B558B2">
        <w:rPr>
          <w:rFonts w:ascii="Times New Roman" w:hAnsi="Times New Roman"/>
          <w:b/>
        </w:rPr>
        <w:t>m</w:t>
      </w:r>
      <w:proofErr w:type="spellEnd"/>
      <w:r w:rsidRPr="00B558B2">
        <w:rPr>
          <w:rFonts w:ascii="Times New Roman" w:hAnsi="Times New Roman"/>
          <w:b/>
        </w:rPr>
        <w:t xml:space="preserve">. </w:t>
      </w:r>
      <w:proofErr w:type="spellStart"/>
      <w:r w:rsidRPr="00B558B2">
        <w:rPr>
          <w:rFonts w:ascii="Times New Roman" w:hAnsi="Times New Roman"/>
          <w:b/>
        </w:rPr>
        <w:t>m</w:t>
      </w:r>
      <w:proofErr w:type="spellEnd"/>
      <w:r w:rsidRPr="00B558B2">
        <w:rPr>
          <w:rFonts w:ascii="Times New Roman" w:hAnsi="Times New Roman"/>
          <w:b/>
        </w:rPr>
        <w:t>. Plungės rajono bendrojo ugdymo</w:t>
      </w:r>
      <w:r w:rsidR="00A031F0">
        <w:rPr>
          <w:rFonts w:ascii="Times New Roman" w:hAnsi="Times New Roman"/>
          <w:b/>
        </w:rPr>
        <w:t xml:space="preserve"> ir </w:t>
      </w:r>
      <w:r w:rsidR="00A031F0" w:rsidRPr="00A031F0">
        <w:rPr>
          <w:rFonts w:ascii="Times New Roman" w:hAnsi="Times New Roman"/>
          <w:b/>
        </w:rPr>
        <w:t>profesinio mokymo įstaigose</w:t>
      </w:r>
      <w:r w:rsidRPr="00B558B2">
        <w:rPr>
          <w:rFonts w:ascii="Times New Roman" w:hAnsi="Times New Roman"/>
          <w:b/>
        </w:rPr>
        <w:t>, dalis (</w:t>
      </w:r>
      <w:proofErr w:type="spellStart"/>
      <w:r w:rsidRPr="00B558B2">
        <w:rPr>
          <w:rFonts w:ascii="Times New Roman" w:hAnsi="Times New Roman"/>
          <w:b/>
        </w:rPr>
        <w:t>proc</w:t>
      </w:r>
      <w:proofErr w:type="spellEnd"/>
      <w:r w:rsidRPr="00B558B2">
        <w:rPr>
          <w:rFonts w:ascii="Times New Roman" w:hAnsi="Times New Roman"/>
          <w:b/>
        </w:rPr>
        <w:t>.)</w:t>
      </w:r>
    </w:p>
    <w:p w:rsidR="006C0F9D" w:rsidRDefault="006C0F9D" w:rsidP="00B558B2">
      <w:pPr>
        <w:spacing w:after="0"/>
        <w:rPr>
          <w:rFonts w:ascii="Times New Roman" w:hAnsi="Times New Roman"/>
          <w:b/>
        </w:rPr>
      </w:pPr>
    </w:p>
    <w:p w:rsidR="006C0F9D" w:rsidRDefault="006C0F9D"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DD6FDA" w:rsidRDefault="00DD6FDA" w:rsidP="00A90DD6">
      <w:pPr>
        <w:spacing w:after="0"/>
        <w:jc w:val="center"/>
        <w:rPr>
          <w:rFonts w:ascii="Times New Roman" w:hAnsi="Times New Roman"/>
          <w:b/>
        </w:rPr>
      </w:pPr>
    </w:p>
    <w:p w:rsidR="00A90DD6" w:rsidRDefault="00A90DD6" w:rsidP="00A90DD6">
      <w:pPr>
        <w:spacing w:after="0"/>
        <w:jc w:val="center"/>
        <w:rPr>
          <w:rFonts w:ascii="Times New Roman" w:hAnsi="Times New Roman"/>
          <w:b/>
        </w:rPr>
      </w:pPr>
      <w:r>
        <w:rPr>
          <w:rFonts w:ascii="Times New Roman" w:hAnsi="Times New Roman"/>
          <w:b/>
        </w:rPr>
        <w:lastRenderedPageBreak/>
        <w:t>APIBENDRINIMAS</w:t>
      </w:r>
    </w:p>
    <w:p w:rsidR="00A90DD6" w:rsidRPr="00A90DD6" w:rsidRDefault="00A90DD6" w:rsidP="00A90DD6">
      <w:pPr>
        <w:spacing w:after="0"/>
        <w:ind w:left="360"/>
        <w:jc w:val="both"/>
        <w:rPr>
          <w:rFonts w:ascii="Times New Roman" w:hAnsi="Times New Roman"/>
        </w:rPr>
      </w:pP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2019-2020 </w:t>
      </w:r>
      <w:proofErr w:type="spellStart"/>
      <w:r w:rsidRPr="006C0F9D">
        <w:rPr>
          <w:rFonts w:ascii="Times New Roman" w:hAnsi="Times New Roman"/>
          <w:sz w:val="24"/>
          <w:szCs w:val="24"/>
        </w:rPr>
        <w:t>m</w:t>
      </w:r>
      <w:proofErr w:type="spellEnd"/>
      <w:r w:rsidRPr="006C0F9D">
        <w:rPr>
          <w:rFonts w:ascii="Times New Roman" w:hAnsi="Times New Roman"/>
          <w:sz w:val="24"/>
          <w:szCs w:val="24"/>
        </w:rPr>
        <w:t xml:space="preserve">. </w:t>
      </w:r>
      <w:proofErr w:type="spellStart"/>
      <w:r w:rsidRPr="006C0F9D">
        <w:rPr>
          <w:rFonts w:ascii="Times New Roman" w:hAnsi="Times New Roman"/>
          <w:sz w:val="24"/>
          <w:szCs w:val="24"/>
        </w:rPr>
        <w:t>m</w:t>
      </w:r>
      <w:proofErr w:type="spellEnd"/>
      <w:r w:rsidRPr="006C0F9D">
        <w:rPr>
          <w:rFonts w:ascii="Times New Roman" w:hAnsi="Times New Roman"/>
          <w:sz w:val="24"/>
          <w:szCs w:val="24"/>
        </w:rPr>
        <w:t xml:space="preserve">. vaikų profilaktinių sveikatos patikrinimų duomenys vesti ir gauti iš Vaikų sveikatos </w:t>
      </w:r>
      <w:proofErr w:type="spellStart"/>
      <w:r w:rsidRPr="006C0F9D">
        <w:rPr>
          <w:rFonts w:ascii="Times New Roman" w:hAnsi="Times New Roman"/>
          <w:sz w:val="24"/>
          <w:szCs w:val="24"/>
        </w:rPr>
        <w:t>stebėsenos</w:t>
      </w:r>
      <w:proofErr w:type="spellEnd"/>
      <w:r w:rsidRPr="006C0F9D">
        <w:rPr>
          <w:rFonts w:ascii="Times New Roman" w:hAnsi="Times New Roman"/>
          <w:sz w:val="24"/>
          <w:szCs w:val="24"/>
        </w:rPr>
        <w:t xml:space="preserve"> </w:t>
      </w:r>
      <w:r w:rsidR="00A031F0">
        <w:rPr>
          <w:rFonts w:ascii="Times New Roman" w:hAnsi="Times New Roman"/>
          <w:sz w:val="24"/>
          <w:szCs w:val="24"/>
        </w:rPr>
        <w:t xml:space="preserve">informacinės </w:t>
      </w:r>
      <w:r w:rsidRPr="006C0F9D">
        <w:rPr>
          <w:rFonts w:ascii="Times New Roman" w:hAnsi="Times New Roman"/>
          <w:sz w:val="24"/>
          <w:szCs w:val="24"/>
        </w:rPr>
        <w:t>sistemos (VSS IS);</w:t>
      </w:r>
    </w:p>
    <w:p w:rsidR="006C0F9D" w:rsidRPr="006C0F9D" w:rsidRDefault="006C0F9D" w:rsidP="00A031F0">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2019-2020 </w:t>
      </w:r>
      <w:proofErr w:type="spellStart"/>
      <w:r w:rsidRPr="006C0F9D">
        <w:rPr>
          <w:rFonts w:ascii="Times New Roman" w:hAnsi="Times New Roman"/>
          <w:sz w:val="24"/>
          <w:szCs w:val="24"/>
        </w:rPr>
        <w:t>m</w:t>
      </w:r>
      <w:proofErr w:type="spellEnd"/>
      <w:r w:rsidRPr="006C0F9D">
        <w:rPr>
          <w:rFonts w:ascii="Times New Roman" w:hAnsi="Times New Roman"/>
          <w:sz w:val="24"/>
          <w:szCs w:val="24"/>
        </w:rPr>
        <w:t xml:space="preserve">. </w:t>
      </w:r>
      <w:proofErr w:type="spellStart"/>
      <w:r w:rsidRPr="006C0F9D">
        <w:rPr>
          <w:rFonts w:ascii="Times New Roman" w:hAnsi="Times New Roman"/>
          <w:sz w:val="24"/>
          <w:szCs w:val="24"/>
        </w:rPr>
        <w:t>m</w:t>
      </w:r>
      <w:proofErr w:type="spellEnd"/>
      <w:r w:rsidRPr="006C0F9D">
        <w:rPr>
          <w:rFonts w:ascii="Times New Roman" w:hAnsi="Times New Roman"/>
          <w:sz w:val="24"/>
          <w:szCs w:val="24"/>
        </w:rPr>
        <w:t>. Plungės rajono bendrojo ugdymo</w:t>
      </w:r>
      <w:r w:rsidR="00A031F0" w:rsidRPr="00A031F0">
        <w:t xml:space="preserve"> </w:t>
      </w:r>
      <w:r w:rsidR="00A031F0">
        <w:t xml:space="preserve">ir </w:t>
      </w:r>
      <w:r w:rsidR="00A031F0" w:rsidRPr="00A031F0">
        <w:rPr>
          <w:rFonts w:ascii="Times New Roman" w:hAnsi="Times New Roman"/>
          <w:sz w:val="24"/>
          <w:szCs w:val="24"/>
        </w:rPr>
        <w:t xml:space="preserve">profesinio mokymo </w:t>
      </w:r>
      <w:r w:rsidR="00A031F0">
        <w:rPr>
          <w:rFonts w:ascii="Times New Roman" w:hAnsi="Times New Roman"/>
          <w:sz w:val="24"/>
          <w:szCs w:val="24"/>
        </w:rPr>
        <w:t>įstaigas lanko</w:t>
      </w:r>
      <w:r w:rsidRPr="006C0F9D">
        <w:rPr>
          <w:rFonts w:ascii="Times New Roman" w:hAnsi="Times New Roman"/>
          <w:sz w:val="24"/>
          <w:szCs w:val="24"/>
        </w:rPr>
        <w:t xml:space="preserve"> 4173 mokiniai, iš jų sveikatą pasitikrino 96,7 </w:t>
      </w:r>
      <w:proofErr w:type="spellStart"/>
      <w:r w:rsidRPr="006C0F9D">
        <w:rPr>
          <w:rFonts w:ascii="Times New Roman" w:hAnsi="Times New Roman"/>
          <w:sz w:val="24"/>
          <w:szCs w:val="24"/>
        </w:rPr>
        <w:t>proc</w:t>
      </w:r>
      <w:proofErr w:type="spellEnd"/>
      <w:r w:rsidRPr="006C0F9D">
        <w:rPr>
          <w:rFonts w:ascii="Times New Roman" w:hAnsi="Times New Roman"/>
          <w:sz w:val="24"/>
          <w:szCs w:val="24"/>
        </w:rPr>
        <w:t>.;</w:t>
      </w: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Dažniausiai mokiniams nustatomi regos, skeleto-raumenų ir nervų sistemos sutrikimai; </w:t>
      </w: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Regos sutrikimai nustatyti kas 4 bendrojo lavinimo įstaigas lankančiam mokiniui. Dažniausiai regos sutrikimai nustatomi 12 klasių moksleiviams; </w:t>
      </w: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2019-2020 </w:t>
      </w:r>
      <w:proofErr w:type="spellStart"/>
      <w:r w:rsidRPr="006C0F9D">
        <w:rPr>
          <w:rFonts w:ascii="Times New Roman" w:hAnsi="Times New Roman"/>
          <w:sz w:val="24"/>
          <w:szCs w:val="24"/>
        </w:rPr>
        <w:t>m</w:t>
      </w:r>
      <w:proofErr w:type="spellEnd"/>
      <w:r w:rsidRPr="006C0F9D">
        <w:rPr>
          <w:rFonts w:ascii="Times New Roman" w:hAnsi="Times New Roman"/>
          <w:sz w:val="24"/>
          <w:szCs w:val="24"/>
        </w:rPr>
        <w:t xml:space="preserve">. </w:t>
      </w:r>
      <w:proofErr w:type="spellStart"/>
      <w:r w:rsidRPr="006C0F9D">
        <w:rPr>
          <w:rFonts w:ascii="Times New Roman" w:hAnsi="Times New Roman"/>
          <w:sz w:val="24"/>
          <w:szCs w:val="24"/>
        </w:rPr>
        <w:t>m</w:t>
      </w:r>
      <w:proofErr w:type="spellEnd"/>
      <w:r w:rsidRPr="006C0F9D">
        <w:rPr>
          <w:rFonts w:ascii="Times New Roman" w:hAnsi="Times New Roman"/>
          <w:sz w:val="24"/>
          <w:szCs w:val="24"/>
        </w:rPr>
        <w:t>. iš profilaktiškai sveikatą pasitikrinusių vaikų skeleto- raumenų sistemos sutrikimai nustatomi vyresnėse klasėse;</w:t>
      </w: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Kraujotakos sistemos sutrikimai šiais mokslo metais nustatyti 2 kartus  dažnesni nei 2018 – 2019 </w:t>
      </w:r>
      <w:proofErr w:type="spellStart"/>
      <w:r w:rsidRPr="006C0F9D">
        <w:rPr>
          <w:rFonts w:ascii="Times New Roman" w:hAnsi="Times New Roman"/>
          <w:sz w:val="24"/>
          <w:szCs w:val="24"/>
        </w:rPr>
        <w:t>m.m</w:t>
      </w:r>
      <w:proofErr w:type="spellEnd"/>
      <w:r w:rsidRPr="006C0F9D">
        <w:rPr>
          <w:rFonts w:ascii="Times New Roman" w:hAnsi="Times New Roman"/>
          <w:sz w:val="24"/>
          <w:szCs w:val="24"/>
        </w:rPr>
        <w:t>. PUG;</w:t>
      </w: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2</w:t>
      </w:r>
      <w:r w:rsidR="00A031F0">
        <w:rPr>
          <w:rFonts w:ascii="Times New Roman" w:hAnsi="Times New Roman"/>
          <w:sz w:val="24"/>
          <w:szCs w:val="24"/>
        </w:rPr>
        <w:t xml:space="preserve">019-2020 </w:t>
      </w:r>
      <w:proofErr w:type="spellStart"/>
      <w:r w:rsidR="00A031F0">
        <w:rPr>
          <w:rFonts w:ascii="Times New Roman" w:hAnsi="Times New Roman"/>
          <w:sz w:val="24"/>
          <w:szCs w:val="24"/>
        </w:rPr>
        <w:t>m</w:t>
      </w:r>
      <w:proofErr w:type="spellEnd"/>
      <w:r w:rsidR="00A031F0">
        <w:rPr>
          <w:rFonts w:ascii="Times New Roman" w:hAnsi="Times New Roman"/>
          <w:sz w:val="24"/>
          <w:szCs w:val="24"/>
        </w:rPr>
        <w:t xml:space="preserve">. </w:t>
      </w:r>
      <w:proofErr w:type="spellStart"/>
      <w:r w:rsidR="00A031F0">
        <w:rPr>
          <w:rFonts w:ascii="Times New Roman" w:hAnsi="Times New Roman"/>
          <w:sz w:val="24"/>
          <w:szCs w:val="24"/>
        </w:rPr>
        <w:t>m</w:t>
      </w:r>
      <w:proofErr w:type="spellEnd"/>
      <w:r w:rsidR="00A031F0">
        <w:rPr>
          <w:rFonts w:ascii="Times New Roman" w:hAnsi="Times New Roman"/>
          <w:sz w:val="24"/>
          <w:szCs w:val="24"/>
        </w:rPr>
        <w:t>. nustatyta, kad 16,6</w:t>
      </w:r>
      <w:r w:rsidRPr="006C0F9D">
        <w:rPr>
          <w:rFonts w:ascii="Times New Roman" w:hAnsi="Times New Roman"/>
          <w:sz w:val="24"/>
          <w:szCs w:val="24"/>
        </w:rPr>
        <w:t xml:space="preserve"> </w:t>
      </w:r>
      <w:proofErr w:type="spellStart"/>
      <w:r w:rsidRPr="006C0F9D">
        <w:rPr>
          <w:rFonts w:ascii="Times New Roman" w:hAnsi="Times New Roman"/>
          <w:sz w:val="24"/>
          <w:szCs w:val="24"/>
        </w:rPr>
        <w:t>proc</w:t>
      </w:r>
      <w:proofErr w:type="spellEnd"/>
      <w:r w:rsidRPr="006C0F9D">
        <w:rPr>
          <w:rFonts w:ascii="Times New Roman" w:hAnsi="Times New Roman"/>
          <w:sz w:val="24"/>
          <w:szCs w:val="24"/>
        </w:rPr>
        <w:t>. iš profilaktiškai sveik</w:t>
      </w:r>
      <w:r w:rsidR="00A31347">
        <w:rPr>
          <w:rFonts w:ascii="Times New Roman" w:hAnsi="Times New Roman"/>
          <w:sz w:val="24"/>
          <w:szCs w:val="24"/>
        </w:rPr>
        <w:t xml:space="preserve">atą pasitikrinusių vaikų turi </w:t>
      </w:r>
      <w:r w:rsidRPr="006C0F9D">
        <w:rPr>
          <w:rFonts w:ascii="Times New Roman" w:hAnsi="Times New Roman"/>
          <w:sz w:val="24"/>
          <w:szCs w:val="24"/>
        </w:rPr>
        <w:t xml:space="preserve">sveikus, ėduonies </w:t>
      </w:r>
      <w:r w:rsidR="00A31347">
        <w:rPr>
          <w:rFonts w:ascii="Times New Roman" w:hAnsi="Times New Roman"/>
          <w:sz w:val="24"/>
          <w:szCs w:val="24"/>
        </w:rPr>
        <w:t>ne</w:t>
      </w:r>
      <w:r w:rsidRPr="006C0F9D">
        <w:rPr>
          <w:rFonts w:ascii="Times New Roman" w:hAnsi="Times New Roman"/>
          <w:sz w:val="24"/>
          <w:szCs w:val="24"/>
        </w:rPr>
        <w:t xml:space="preserve">pažeistus, </w:t>
      </w:r>
      <w:r w:rsidR="00A31347">
        <w:rPr>
          <w:rFonts w:ascii="Times New Roman" w:hAnsi="Times New Roman"/>
          <w:sz w:val="24"/>
          <w:szCs w:val="24"/>
        </w:rPr>
        <w:t>ne</w:t>
      </w:r>
      <w:r w:rsidRPr="006C0F9D">
        <w:rPr>
          <w:rFonts w:ascii="Times New Roman" w:hAnsi="Times New Roman"/>
          <w:sz w:val="24"/>
          <w:szCs w:val="24"/>
        </w:rPr>
        <w:t xml:space="preserve">plombuotus arba </w:t>
      </w:r>
      <w:r w:rsidR="00A31347">
        <w:rPr>
          <w:rFonts w:ascii="Times New Roman" w:hAnsi="Times New Roman"/>
          <w:sz w:val="24"/>
          <w:szCs w:val="24"/>
        </w:rPr>
        <w:t>ne</w:t>
      </w:r>
      <w:r w:rsidRPr="006C0F9D">
        <w:rPr>
          <w:rFonts w:ascii="Times New Roman" w:hAnsi="Times New Roman"/>
          <w:sz w:val="24"/>
          <w:szCs w:val="24"/>
        </w:rPr>
        <w:t>išrautus dantis;</w:t>
      </w:r>
    </w:p>
    <w:p w:rsidR="006C0F9D" w:rsidRPr="006C0F9D"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 xml:space="preserve">Normalus kūno masės indeksas dažniau nustatomas </w:t>
      </w:r>
      <w:r w:rsidR="00A31347">
        <w:rPr>
          <w:rFonts w:ascii="Times New Roman" w:hAnsi="Times New Roman"/>
          <w:sz w:val="24"/>
          <w:szCs w:val="24"/>
        </w:rPr>
        <w:t>vyresnėse klasėse, 3 -7</w:t>
      </w:r>
      <w:r w:rsidRPr="006C0F9D">
        <w:rPr>
          <w:rFonts w:ascii="Times New Roman" w:hAnsi="Times New Roman"/>
          <w:sz w:val="24"/>
          <w:szCs w:val="24"/>
        </w:rPr>
        <w:t xml:space="preserve"> klasių mokinai dažniau turi padidėjusią kūno masę;</w:t>
      </w:r>
    </w:p>
    <w:p w:rsidR="00A90DD6" w:rsidRDefault="006C0F9D" w:rsidP="006C0F9D">
      <w:pPr>
        <w:pStyle w:val="Sraopastraipa"/>
        <w:numPr>
          <w:ilvl w:val="0"/>
          <w:numId w:val="3"/>
        </w:numPr>
        <w:spacing w:after="0"/>
        <w:rPr>
          <w:rFonts w:ascii="Times New Roman" w:hAnsi="Times New Roman"/>
          <w:sz w:val="24"/>
          <w:szCs w:val="24"/>
        </w:rPr>
      </w:pPr>
      <w:r w:rsidRPr="006C0F9D">
        <w:rPr>
          <w:rFonts w:ascii="Times New Roman" w:hAnsi="Times New Roman"/>
          <w:sz w:val="24"/>
          <w:szCs w:val="24"/>
        </w:rPr>
        <w:t>95</w:t>
      </w:r>
      <w:r>
        <w:rPr>
          <w:rFonts w:ascii="Times New Roman" w:hAnsi="Times New Roman"/>
          <w:sz w:val="24"/>
          <w:szCs w:val="24"/>
        </w:rPr>
        <w:t>,5</w:t>
      </w:r>
      <w:r w:rsidRPr="006C0F9D">
        <w:rPr>
          <w:rFonts w:ascii="Times New Roman" w:hAnsi="Times New Roman"/>
          <w:sz w:val="24"/>
          <w:szCs w:val="24"/>
        </w:rPr>
        <w:t xml:space="preserve"> </w:t>
      </w:r>
      <w:proofErr w:type="spellStart"/>
      <w:r w:rsidRPr="006C0F9D">
        <w:rPr>
          <w:rFonts w:ascii="Times New Roman" w:hAnsi="Times New Roman"/>
          <w:sz w:val="24"/>
          <w:szCs w:val="24"/>
        </w:rPr>
        <w:t>proc</w:t>
      </w:r>
      <w:proofErr w:type="spellEnd"/>
      <w:r w:rsidRPr="006C0F9D">
        <w:rPr>
          <w:rFonts w:ascii="Times New Roman" w:hAnsi="Times New Roman"/>
          <w:sz w:val="24"/>
          <w:szCs w:val="24"/>
        </w:rPr>
        <w:t>. visų profilaktiškai sveikatą pasitikrinusių mokinių priskirti pagri</w:t>
      </w:r>
      <w:r w:rsidR="00A31347">
        <w:rPr>
          <w:rFonts w:ascii="Times New Roman" w:hAnsi="Times New Roman"/>
          <w:sz w:val="24"/>
          <w:szCs w:val="24"/>
        </w:rPr>
        <w:t>ndinei kūno kultūros grupei, 3,4</w:t>
      </w:r>
      <w:r w:rsidR="00A031F0">
        <w:rPr>
          <w:rFonts w:ascii="Times New Roman" w:hAnsi="Times New Roman"/>
          <w:sz w:val="24"/>
          <w:szCs w:val="24"/>
        </w:rPr>
        <w:t xml:space="preserve"> </w:t>
      </w:r>
      <w:proofErr w:type="spellStart"/>
      <w:r w:rsidR="00A031F0">
        <w:rPr>
          <w:rFonts w:ascii="Times New Roman" w:hAnsi="Times New Roman"/>
          <w:sz w:val="24"/>
          <w:szCs w:val="24"/>
        </w:rPr>
        <w:t>proc</w:t>
      </w:r>
      <w:proofErr w:type="spellEnd"/>
      <w:r w:rsidR="00A031F0">
        <w:rPr>
          <w:rFonts w:ascii="Times New Roman" w:hAnsi="Times New Roman"/>
          <w:sz w:val="24"/>
          <w:szCs w:val="24"/>
        </w:rPr>
        <w:t>. parengiamajai, 1,1 specialia</w:t>
      </w:r>
      <w:r w:rsidRPr="006C0F9D">
        <w:rPr>
          <w:rFonts w:ascii="Times New Roman" w:hAnsi="Times New Roman"/>
          <w:sz w:val="24"/>
          <w:szCs w:val="24"/>
        </w:rPr>
        <w:t>jai ir</w:t>
      </w:r>
      <w:r w:rsidR="00A31347">
        <w:rPr>
          <w:rFonts w:ascii="Times New Roman" w:hAnsi="Times New Roman"/>
          <w:sz w:val="24"/>
          <w:szCs w:val="24"/>
        </w:rPr>
        <w:t xml:space="preserve">  mokinių visai atleistų</w:t>
      </w:r>
      <w:r w:rsidRPr="006C0F9D">
        <w:rPr>
          <w:rFonts w:ascii="Times New Roman" w:hAnsi="Times New Roman"/>
          <w:sz w:val="24"/>
          <w:szCs w:val="24"/>
        </w:rPr>
        <w:t xml:space="preserve"> nuo kūno kultūros pamokų</w:t>
      </w:r>
      <w:r w:rsidR="00A31347">
        <w:rPr>
          <w:rFonts w:ascii="Times New Roman" w:hAnsi="Times New Roman"/>
          <w:sz w:val="24"/>
          <w:szCs w:val="24"/>
        </w:rPr>
        <w:t xml:space="preserve"> nėra</w:t>
      </w:r>
      <w:r w:rsidRPr="006C0F9D">
        <w:rPr>
          <w:rFonts w:ascii="Times New Roman" w:hAnsi="Times New Roman"/>
          <w:sz w:val="24"/>
          <w:szCs w:val="24"/>
        </w:rPr>
        <w:t>.</w:t>
      </w:r>
    </w:p>
    <w:p w:rsidR="00B558B2" w:rsidRPr="006C0F9D" w:rsidRDefault="00A031F0" w:rsidP="006C0F9D">
      <w:pPr>
        <w:pStyle w:val="Sraopastraipa"/>
        <w:numPr>
          <w:ilvl w:val="0"/>
          <w:numId w:val="3"/>
        </w:numPr>
        <w:spacing w:after="0"/>
        <w:rPr>
          <w:rFonts w:ascii="Times New Roman" w:hAnsi="Times New Roman"/>
          <w:sz w:val="24"/>
          <w:szCs w:val="24"/>
        </w:rPr>
      </w:pPr>
      <w:r>
        <w:rPr>
          <w:rFonts w:ascii="Times New Roman" w:hAnsi="Times New Roman"/>
          <w:sz w:val="24"/>
          <w:szCs w:val="24"/>
        </w:rPr>
        <w:t xml:space="preserve">Pagal </w:t>
      </w:r>
      <w:proofErr w:type="spellStart"/>
      <w:r>
        <w:rPr>
          <w:rFonts w:ascii="Times New Roman" w:hAnsi="Times New Roman"/>
          <w:sz w:val="24"/>
          <w:szCs w:val="24"/>
        </w:rPr>
        <w:t>są</w:t>
      </w:r>
      <w:r w:rsidR="00B558B2">
        <w:rPr>
          <w:rFonts w:ascii="Times New Roman" w:hAnsi="Times New Roman"/>
          <w:sz w:val="24"/>
          <w:szCs w:val="24"/>
        </w:rPr>
        <w:t>kandžio</w:t>
      </w:r>
      <w:proofErr w:type="spellEnd"/>
      <w:r w:rsidR="00B558B2">
        <w:rPr>
          <w:rFonts w:ascii="Times New Roman" w:hAnsi="Times New Roman"/>
          <w:sz w:val="24"/>
          <w:szCs w:val="24"/>
        </w:rPr>
        <w:t xml:space="preserve"> patologiją iš profilaktiškai pasitikrinusių </w:t>
      </w:r>
      <w:r w:rsidR="00DD6FDA">
        <w:rPr>
          <w:rFonts w:ascii="Times New Roman" w:hAnsi="Times New Roman"/>
          <w:sz w:val="24"/>
          <w:szCs w:val="24"/>
        </w:rPr>
        <w:t>vaikų nustatyta</w:t>
      </w:r>
      <w:r>
        <w:rPr>
          <w:rFonts w:ascii="Times New Roman" w:hAnsi="Times New Roman"/>
          <w:sz w:val="24"/>
          <w:szCs w:val="24"/>
        </w:rPr>
        <w:t>, kad</w:t>
      </w:r>
      <w:r w:rsidR="00DF4882">
        <w:rPr>
          <w:rFonts w:ascii="Times New Roman" w:hAnsi="Times New Roman"/>
          <w:sz w:val="24"/>
          <w:szCs w:val="24"/>
        </w:rPr>
        <w:t xml:space="preserve"> </w:t>
      </w:r>
      <w:bookmarkStart w:id="0" w:name="_GoBack"/>
      <w:bookmarkEnd w:id="0"/>
      <w:proofErr w:type="spellStart"/>
      <w:r>
        <w:rPr>
          <w:rFonts w:ascii="Times New Roman" w:hAnsi="Times New Roman"/>
          <w:sz w:val="24"/>
          <w:szCs w:val="24"/>
        </w:rPr>
        <w:t>sąkandžio</w:t>
      </w:r>
      <w:proofErr w:type="spellEnd"/>
      <w:r>
        <w:rPr>
          <w:rFonts w:ascii="Times New Roman" w:hAnsi="Times New Roman"/>
          <w:sz w:val="24"/>
          <w:szCs w:val="24"/>
        </w:rPr>
        <w:t xml:space="preserve"> patologijos neturi</w:t>
      </w:r>
      <w:r w:rsidR="00B558B2">
        <w:rPr>
          <w:rFonts w:ascii="Times New Roman" w:hAnsi="Times New Roman"/>
          <w:sz w:val="24"/>
          <w:szCs w:val="24"/>
        </w:rPr>
        <w:t xml:space="preserve"> </w:t>
      </w:r>
      <w:r>
        <w:rPr>
          <w:rFonts w:ascii="Times New Roman" w:hAnsi="Times New Roman"/>
          <w:sz w:val="24"/>
          <w:szCs w:val="24"/>
        </w:rPr>
        <w:t xml:space="preserve">54,4 </w:t>
      </w:r>
      <w:proofErr w:type="spellStart"/>
      <w:r>
        <w:rPr>
          <w:rFonts w:ascii="Times New Roman" w:hAnsi="Times New Roman"/>
          <w:sz w:val="24"/>
          <w:szCs w:val="24"/>
        </w:rPr>
        <w:t>proc</w:t>
      </w:r>
      <w:proofErr w:type="spellEnd"/>
      <w:r>
        <w:rPr>
          <w:rFonts w:ascii="Times New Roman" w:hAnsi="Times New Roman"/>
          <w:sz w:val="24"/>
          <w:szCs w:val="24"/>
        </w:rPr>
        <w:t>. vaikų</w:t>
      </w:r>
      <w:r w:rsidR="00DD6FDA">
        <w:rPr>
          <w:rFonts w:ascii="Times New Roman" w:hAnsi="Times New Roman"/>
          <w:sz w:val="24"/>
          <w:szCs w:val="24"/>
        </w:rPr>
        <w:t>.</w:t>
      </w:r>
    </w:p>
    <w:p w:rsidR="00FD483C" w:rsidRPr="006C0F9D" w:rsidRDefault="00FD483C" w:rsidP="006C0F9D">
      <w:pPr>
        <w:spacing w:after="0"/>
        <w:ind w:firstLine="1134"/>
        <w:rPr>
          <w:rFonts w:ascii="Times New Roman" w:hAnsi="Times New Roman"/>
          <w:sz w:val="24"/>
          <w:szCs w:val="24"/>
        </w:rPr>
      </w:pPr>
    </w:p>
    <w:p w:rsidR="00FD483C" w:rsidRPr="00B60867" w:rsidRDefault="00FD483C" w:rsidP="00B60867">
      <w:pPr>
        <w:spacing w:after="0"/>
        <w:ind w:firstLine="1134"/>
        <w:jc w:val="both"/>
        <w:rPr>
          <w:rFonts w:ascii="Times New Roman" w:hAnsi="Times New Roman"/>
        </w:rPr>
      </w:pPr>
      <w:r>
        <w:rPr>
          <w:rFonts w:ascii="Times New Roman" w:hAnsi="Times New Roman"/>
        </w:rPr>
        <w:t xml:space="preserve"> </w:t>
      </w:r>
    </w:p>
    <w:sectPr w:rsidR="00FD483C" w:rsidRPr="00B60867" w:rsidSect="003A4285">
      <w:headerReference w:type="default" r:id="rId19"/>
      <w:footerReference w:type="default" r:id="rId2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8A" w:rsidRDefault="007A178A" w:rsidP="00F07221">
      <w:pPr>
        <w:spacing w:after="0" w:line="240" w:lineRule="auto"/>
      </w:pPr>
      <w:r>
        <w:separator/>
      </w:r>
    </w:p>
  </w:endnote>
  <w:endnote w:type="continuationSeparator" w:id="0">
    <w:p w:rsidR="007A178A" w:rsidRDefault="007A178A" w:rsidP="00F0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21110"/>
      <w:docPartObj>
        <w:docPartGallery w:val="Page Numbers (Bottom of Page)"/>
        <w:docPartUnique/>
      </w:docPartObj>
    </w:sdtPr>
    <w:sdtEndPr/>
    <w:sdtContent>
      <w:p w:rsidR="003A4285" w:rsidRDefault="003A4285">
        <w:pPr>
          <w:pStyle w:val="Porat"/>
          <w:jc w:val="right"/>
        </w:pPr>
        <w:r>
          <w:fldChar w:fldCharType="begin"/>
        </w:r>
        <w:r>
          <w:instrText>PAGE   \* MERGEFORMAT</w:instrText>
        </w:r>
        <w:r>
          <w:fldChar w:fldCharType="separate"/>
        </w:r>
        <w:r w:rsidR="00DF4882">
          <w:rPr>
            <w:noProof/>
          </w:rPr>
          <w:t>8</w:t>
        </w:r>
        <w:r>
          <w:fldChar w:fldCharType="end"/>
        </w:r>
      </w:p>
    </w:sdtContent>
  </w:sdt>
  <w:p w:rsidR="003A4285" w:rsidRDefault="003A42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8A" w:rsidRDefault="007A178A" w:rsidP="00F07221">
      <w:pPr>
        <w:spacing w:after="0" w:line="240" w:lineRule="auto"/>
      </w:pPr>
      <w:r>
        <w:separator/>
      </w:r>
    </w:p>
  </w:footnote>
  <w:footnote w:type="continuationSeparator" w:id="0">
    <w:p w:rsidR="007A178A" w:rsidRDefault="007A178A" w:rsidP="00F0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21" w:rsidRDefault="00F07221" w:rsidP="00251E17">
    <w:pPr>
      <w:pStyle w:val="Antrats"/>
      <w:jc w:val="center"/>
    </w:pPr>
    <w:r>
      <w:rPr>
        <w:noProof/>
        <w:lang w:eastAsia="lt-LT"/>
      </w:rPr>
      <w:drawing>
        <wp:inline distT="0" distB="0" distL="0" distR="0" wp14:anchorId="530896F2" wp14:editId="0B939D41">
          <wp:extent cx="2839450" cy="500513"/>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9450" cy="5005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91D"/>
    <w:multiLevelType w:val="hybridMultilevel"/>
    <w:tmpl w:val="3DFA1CE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19D475A"/>
    <w:multiLevelType w:val="hybridMultilevel"/>
    <w:tmpl w:val="91C4AA98"/>
    <w:lvl w:ilvl="0" w:tplc="780CBECE">
      <w:start w:val="1"/>
      <w:numFmt w:val="bullet"/>
      <w:lvlText w:val=""/>
      <w:lvlJc w:val="left"/>
      <w:pPr>
        <w:ind w:left="1494" w:hanging="360"/>
      </w:pPr>
      <w:rPr>
        <w:rFonts w:ascii="Symbol" w:eastAsia="Calibri" w:hAnsi="Symbol"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
    <w:nsid w:val="497C526D"/>
    <w:multiLevelType w:val="hybridMultilevel"/>
    <w:tmpl w:val="29D2C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21"/>
    <w:rsid w:val="000566AD"/>
    <w:rsid w:val="000662FA"/>
    <w:rsid w:val="000670A6"/>
    <w:rsid w:val="001118C4"/>
    <w:rsid w:val="00173276"/>
    <w:rsid w:val="00185336"/>
    <w:rsid w:val="00197FB9"/>
    <w:rsid w:val="001A31A4"/>
    <w:rsid w:val="001E2779"/>
    <w:rsid w:val="001F57EC"/>
    <w:rsid w:val="00207D71"/>
    <w:rsid w:val="0022121F"/>
    <w:rsid w:val="0023166D"/>
    <w:rsid w:val="00235E7A"/>
    <w:rsid w:val="00246D27"/>
    <w:rsid w:val="00251E17"/>
    <w:rsid w:val="002704E0"/>
    <w:rsid w:val="0028518B"/>
    <w:rsid w:val="00290C9B"/>
    <w:rsid w:val="002B1778"/>
    <w:rsid w:val="00326FF6"/>
    <w:rsid w:val="00350FC7"/>
    <w:rsid w:val="00383EA2"/>
    <w:rsid w:val="00390A24"/>
    <w:rsid w:val="003A4285"/>
    <w:rsid w:val="004100D7"/>
    <w:rsid w:val="0043678E"/>
    <w:rsid w:val="004A6E51"/>
    <w:rsid w:val="00507E91"/>
    <w:rsid w:val="00531EC8"/>
    <w:rsid w:val="00574C66"/>
    <w:rsid w:val="005A02E9"/>
    <w:rsid w:val="005D57A8"/>
    <w:rsid w:val="005F0354"/>
    <w:rsid w:val="005F123E"/>
    <w:rsid w:val="006152EF"/>
    <w:rsid w:val="00625165"/>
    <w:rsid w:val="006315CC"/>
    <w:rsid w:val="00633F3B"/>
    <w:rsid w:val="00652A43"/>
    <w:rsid w:val="006765A5"/>
    <w:rsid w:val="006960EA"/>
    <w:rsid w:val="006A6FCE"/>
    <w:rsid w:val="006B0478"/>
    <w:rsid w:val="006C0F9D"/>
    <w:rsid w:val="006C25E8"/>
    <w:rsid w:val="006D3BFF"/>
    <w:rsid w:val="00715C3D"/>
    <w:rsid w:val="00721992"/>
    <w:rsid w:val="00761461"/>
    <w:rsid w:val="00765D6E"/>
    <w:rsid w:val="007A178A"/>
    <w:rsid w:val="0086557A"/>
    <w:rsid w:val="00891D5D"/>
    <w:rsid w:val="008F74E0"/>
    <w:rsid w:val="00905BAE"/>
    <w:rsid w:val="0091421D"/>
    <w:rsid w:val="009429F9"/>
    <w:rsid w:val="009A1B1F"/>
    <w:rsid w:val="009A5679"/>
    <w:rsid w:val="009C5A89"/>
    <w:rsid w:val="009D2DE1"/>
    <w:rsid w:val="00A031F0"/>
    <w:rsid w:val="00A31347"/>
    <w:rsid w:val="00A514C3"/>
    <w:rsid w:val="00A90DD6"/>
    <w:rsid w:val="00B43064"/>
    <w:rsid w:val="00B558B2"/>
    <w:rsid w:val="00B60867"/>
    <w:rsid w:val="00B973CB"/>
    <w:rsid w:val="00BA1162"/>
    <w:rsid w:val="00BE46DC"/>
    <w:rsid w:val="00C13780"/>
    <w:rsid w:val="00CA5176"/>
    <w:rsid w:val="00D62844"/>
    <w:rsid w:val="00DB06FC"/>
    <w:rsid w:val="00DD6435"/>
    <w:rsid w:val="00DD6E69"/>
    <w:rsid w:val="00DD6FDA"/>
    <w:rsid w:val="00DE3656"/>
    <w:rsid w:val="00DF4882"/>
    <w:rsid w:val="00E02A83"/>
    <w:rsid w:val="00E544C5"/>
    <w:rsid w:val="00E74B56"/>
    <w:rsid w:val="00EC64CC"/>
    <w:rsid w:val="00EE1BE0"/>
    <w:rsid w:val="00EE3307"/>
    <w:rsid w:val="00EF6863"/>
    <w:rsid w:val="00F07221"/>
    <w:rsid w:val="00F67CB1"/>
    <w:rsid w:val="00FA396C"/>
    <w:rsid w:val="00FC6E5F"/>
    <w:rsid w:val="00FD4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722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072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7221"/>
    <w:rPr>
      <w:rFonts w:ascii="Tahoma" w:eastAsia="Calibri" w:hAnsi="Tahoma" w:cs="Tahoma"/>
      <w:sz w:val="16"/>
      <w:szCs w:val="16"/>
    </w:rPr>
  </w:style>
  <w:style w:type="paragraph" w:styleId="Antrats">
    <w:name w:val="header"/>
    <w:basedOn w:val="prastasis"/>
    <w:link w:val="AntratsDiagrama"/>
    <w:uiPriority w:val="99"/>
    <w:unhideWhenUsed/>
    <w:rsid w:val="00F072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7221"/>
    <w:rPr>
      <w:rFonts w:ascii="Calibri" w:eastAsia="Calibri" w:hAnsi="Calibri" w:cs="Times New Roman"/>
    </w:rPr>
  </w:style>
  <w:style w:type="paragraph" w:styleId="Porat">
    <w:name w:val="footer"/>
    <w:basedOn w:val="prastasis"/>
    <w:link w:val="PoratDiagrama"/>
    <w:uiPriority w:val="99"/>
    <w:unhideWhenUsed/>
    <w:rsid w:val="00F072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7221"/>
    <w:rPr>
      <w:rFonts w:ascii="Calibri" w:eastAsia="Calibri" w:hAnsi="Calibri" w:cs="Times New Roman"/>
    </w:rPr>
  </w:style>
  <w:style w:type="paragraph" w:styleId="Sraopastraipa">
    <w:name w:val="List Paragraph"/>
    <w:basedOn w:val="prastasis"/>
    <w:uiPriority w:val="34"/>
    <w:qFormat/>
    <w:rsid w:val="00BE46DC"/>
    <w:pPr>
      <w:ind w:left="720"/>
      <w:contextualSpacing/>
    </w:pPr>
  </w:style>
  <w:style w:type="paragraph" w:styleId="prastasistinklapis">
    <w:name w:val="Normal (Web)"/>
    <w:basedOn w:val="prastasis"/>
    <w:uiPriority w:val="99"/>
    <w:unhideWhenUsed/>
    <w:rsid w:val="0091421D"/>
    <w:pPr>
      <w:spacing w:before="100" w:beforeAutospacing="1" w:after="100" w:afterAutospacing="1"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722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072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7221"/>
    <w:rPr>
      <w:rFonts w:ascii="Tahoma" w:eastAsia="Calibri" w:hAnsi="Tahoma" w:cs="Tahoma"/>
      <w:sz w:val="16"/>
      <w:szCs w:val="16"/>
    </w:rPr>
  </w:style>
  <w:style w:type="paragraph" w:styleId="Antrats">
    <w:name w:val="header"/>
    <w:basedOn w:val="prastasis"/>
    <w:link w:val="AntratsDiagrama"/>
    <w:uiPriority w:val="99"/>
    <w:unhideWhenUsed/>
    <w:rsid w:val="00F072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7221"/>
    <w:rPr>
      <w:rFonts w:ascii="Calibri" w:eastAsia="Calibri" w:hAnsi="Calibri" w:cs="Times New Roman"/>
    </w:rPr>
  </w:style>
  <w:style w:type="paragraph" w:styleId="Porat">
    <w:name w:val="footer"/>
    <w:basedOn w:val="prastasis"/>
    <w:link w:val="PoratDiagrama"/>
    <w:uiPriority w:val="99"/>
    <w:unhideWhenUsed/>
    <w:rsid w:val="00F072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7221"/>
    <w:rPr>
      <w:rFonts w:ascii="Calibri" w:eastAsia="Calibri" w:hAnsi="Calibri" w:cs="Times New Roman"/>
    </w:rPr>
  </w:style>
  <w:style w:type="paragraph" w:styleId="Sraopastraipa">
    <w:name w:val="List Paragraph"/>
    <w:basedOn w:val="prastasis"/>
    <w:uiPriority w:val="34"/>
    <w:qFormat/>
    <w:rsid w:val="00BE46DC"/>
    <w:pPr>
      <w:ind w:left="720"/>
      <w:contextualSpacing/>
    </w:pPr>
  </w:style>
  <w:style w:type="paragraph" w:styleId="prastasistinklapis">
    <w:name w:val="Normal (Web)"/>
    <w:basedOn w:val="prastasis"/>
    <w:uiPriority w:val="99"/>
    <w:unhideWhenUsed/>
    <w:rsid w:val="0091421D"/>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6332">
      <w:bodyDiv w:val="1"/>
      <w:marLeft w:val="0"/>
      <w:marRight w:val="0"/>
      <w:marTop w:val="0"/>
      <w:marBottom w:val="0"/>
      <w:divBdr>
        <w:top w:val="none" w:sz="0" w:space="0" w:color="auto"/>
        <w:left w:val="none" w:sz="0" w:space="0" w:color="auto"/>
        <w:bottom w:val="none" w:sz="0" w:space="0" w:color="auto"/>
        <w:right w:val="none" w:sz="0" w:space="0" w:color="auto"/>
      </w:divBdr>
    </w:div>
    <w:div w:id="20015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sbiuras" TargetMode="Externa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Microsoft%20PowerPoint%20diagrama"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icrosoft%20Word%20diagrama"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icrosoft%20Word%20diagrama"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icrosoft%20Word%20diagrama"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Microsoft%20Word%20diagrama"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2" Type="http://schemas.openxmlformats.org/officeDocument/2006/relationships/oleObject" Target="Microsoft%20Word%20diagrama"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veikata\Desktop\kmi.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'[Microsoft PowerPoint diagrama]Sheet2'!$A$6</c:f>
              <c:strCache>
                <c:ptCount val="1"/>
                <c:pt idx="0">
                  <c:v>Mokinių skaičius </c:v>
                </c:pt>
              </c:strCache>
            </c:strRef>
          </c:tx>
          <c:dLbls>
            <c:dLbl>
              <c:idx val="0"/>
              <c:layout>
                <c:manualLayout>
                  <c:x val="0"/>
                  <c:y val="-5.6437389770723101E-2"/>
                </c:manualLayout>
              </c:layout>
              <c:showLegendKey val="0"/>
              <c:showVal val="1"/>
              <c:showCatName val="0"/>
              <c:showSerName val="0"/>
              <c:showPercent val="0"/>
              <c:showBubbleSize val="0"/>
            </c:dLbl>
            <c:dLbl>
              <c:idx val="1"/>
              <c:layout>
                <c:manualLayout>
                  <c:x val="-1.8674136321195146E-3"/>
                  <c:y val="-4.232804232804236E-2"/>
                </c:manualLayout>
              </c:layout>
              <c:showLegendKey val="0"/>
              <c:showVal val="1"/>
              <c:showCatName val="0"/>
              <c:showSerName val="0"/>
              <c:showPercent val="0"/>
              <c:showBubbleSize val="0"/>
            </c:dLbl>
            <c:dLbl>
              <c:idx val="2"/>
              <c:layout>
                <c:manualLayout>
                  <c:x val="-1.8674136321195146E-3"/>
                  <c:y val="-4.2328042328042326E-2"/>
                </c:manualLayout>
              </c:layout>
              <c:showLegendKey val="0"/>
              <c:showVal val="1"/>
              <c:showCatName val="0"/>
              <c:showSerName val="0"/>
              <c:showPercent val="0"/>
              <c:showBubbleSize val="0"/>
            </c:dLbl>
            <c:dLbl>
              <c:idx val="3"/>
              <c:layout>
                <c:manualLayout>
                  <c:x val="-7.4696545284780582E-3"/>
                  <c:y val="-4.2328042328042298E-2"/>
                </c:manualLayout>
              </c:layout>
              <c:showLegendKey val="0"/>
              <c:showVal val="1"/>
              <c:showCatName val="0"/>
              <c:showSerName val="0"/>
              <c:showPercent val="0"/>
              <c:showBubbleSize val="0"/>
            </c:dLbl>
            <c:dLbl>
              <c:idx val="4"/>
              <c:layout>
                <c:manualLayout>
                  <c:x val="-7.4696545284780582E-3"/>
                  <c:y val="-3.8800705467372132E-2"/>
                </c:manualLayout>
              </c:layout>
              <c:showLegendKey val="0"/>
              <c:showVal val="1"/>
              <c:showCatName val="0"/>
              <c:showSerName val="0"/>
              <c:showPercent val="0"/>
              <c:showBubbleSize val="0"/>
            </c:dLbl>
            <c:dLbl>
              <c:idx val="5"/>
              <c:layout>
                <c:manualLayout>
                  <c:x val="-5.6022408963585435E-3"/>
                  <c:y val="-4.2328042328042298E-2"/>
                </c:manualLayout>
              </c:layout>
              <c:showLegendKey val="0"/>
              <c:showVal val="1"/>
              <c:showCatName val="0"/>
              <c:showSerName val="0"/>
              <c:showPercent val="0"/>
              <c:showBubbleSize val="0"/>
            </c:dLbl>
            <c:dLbl>
              <c:idx val="6"/>
              <c:layout>
                <c:manualLayout>
                  <c:x val="-5.6022408963584749E-3"/>
                  <c:y val="-7.0546737213403918E-2"/>
                </c:manualLayout>
              </c:layout>
              <c:showLegendKey val="0"/>
              <c:showVal val="1"/>
              <c:showCatName val="0"/>
              <c:showSerName val="0"/>
              <c:showPercent val="0"/>
              <c:showBubbleSize val="0"/>
            </c:dLbl>
            <c:dLbl>
              <c:idx val="7"/>
              <c:layout>
                <c:manualLayout>
                  <c:x val="0"/>
                  <c:y val="-3.1746031746031744E-2"/>
                </c:manualLayout>
              </c:layout>
              <c:showLegendKey val="0"/>
              <c:showVal val="1"/>
              <c:showCatName val="0"/>
              <c:showSerName val="0"/>
              <c:showPercent val="0"/>
              <c:showBubbleSize val="0"/>
            </c:dLbl>
            <c:dLbl>
              <c:idx val="8"/>
              <c:layout>
                <c:manualLayout>
                  <c:x val="-9.3370681605975722E-3"/>
                  <c:y val="-3.8800705467372132E-2"/>
                </c:manualLayout>
              </c:layout>
              <c:showLegendKey val="0"/>
              <c:showVal val="1"/>
              <c:showCatName val="0"/>
              <c:showSerName val="0"/>
              <c:showPercent val="0"/>
              <c:showBubbleSize val="0"/>
            </c:dLbl>
            <c:txPr>
              <a:bodyPr/>
              <a:lstStyle/>
              <a:p>
                <a:pPr>
                  <a:defRPr sz="1200" b="0"/>
                </a:pPr>
                <a:endParaRPr lang="lt-LT"/>
              </a:p>
            </c:txPr>
            <c:showLegendKey val="0"/>
            <c:showVal val="1"/>
            <c:showCatName val="0"/>
            <c:showSerName val="0"/>
            <c:showPercent val="0"/>
            <c:showBubbleSize val="0"/>
            <c:showLeaderLines val="0"/>
          </c:dLbls>
          <c:cat>
            <c:strRef>
              <c:f>'[Microsoft PowerPoint diagrama]Sheet2'!$B$5:$K$5</c:f>
              <c:strCache>
                <c:ptCount val="10"/>
                <c:pt idx="0">
                  <c:v>2010-2011 m.m.</c:v>
                </c:pt>
                <c:pt idx="1">
                  <c:v>2011-2012 m. m.</c:v>
                </c:pt>
                <c:pt idx="2">
                  <c:v>2012-2013 m.m.</c:v>
                </c:pt>
                <c:pt idx="3">
                  <c:v>2013-2014 m. m.</c:v>
                </c:pt>
                <c:pt idx="4">
                  <c:v>2014-2015 m. m.</c:v>
                </c:pt>
                <c:pt idx="5">
                  <c:v>2015-2016 m. m.</c:v>
                </c:pt>
                <c:pt idx="6">
                  <c:v>2016- 2017 m. m.</c:v>
                </c:pt>
                <c:pt idx="7">
                  <c:v>2017-2018 m. m.</c:v>
                </c:pt>
                <c:pt idx="8">
                  <c:v>2018-2019 m. m.*</c:v>
                </c:pt>
                <c:pt idx="9">
                  <c:v>2019-2020 m. m.</c:v>
                </c:pt>
              </c:strCache>
            </c:strRef>
          </c:cat>
          <c:val>
            <c:numRef>
              <c:f>'[Microsoft PowerPoint diagrama]Sheet2'!$B$6:$K$6</c:f>
              <c:numCache>
                <c:formatCode>General</c:formatCode>
                <c:ptCount val="10"/>
                <c:pt idx="0">
                  <c:v>5826</c:v>
                </c:pt>
                <c:pt idx="1">
                  <c:v>5459</c:v>
                </c:pt>
                <c:pt idx="2">
                  <c:v>5033</c:v>
                </c:pt>
                <c:pt idx="3">
                  <c:v>4719</c:v>
                </c:pt>
                <c:pt idx="4">
                  <c:v>4640</c:v>
                </c:pt>
                <c:pt idx="5">
                  <c:v>4660</c:v>
                </c:pt>
                <c:pt idx="6">
                  <c:v>4441</c:v>
                </c:pt>
                <c:pt idx="7">
                  <c:v>4463</c:v>
                </c:pt>
                <c:pt idx="8">
                  <c:v>4326</c:v>
                </c:pt>
                <c:pt idx="9">
                  <c:v>4173</c:v>
                </c:pt>
              </c:numCache>
            </c:numRef>
          </c:val>
          <c:smooth val="0"/>
        </c:ser>
        <c:dLbls>
          <c:showLegendKey val="0"/>
          <c:showVal val="1"/>
          <c:showCatName val="0"/>
          <c:showSerName val="0"/>
          <c:showPercent val="0"/>
          <c:showBubbleSize val="0"/>
        </c:dLbls>
        <c:marker val="1"/>
        <c:smooth val="0"/>
        <c:axId val="161093888"/>
        <c:axId val="161119616"/>
      </c:lineChart>
      <c:catAx>
        <c:axId val="161093888"/>
        <c:scaling>
          <c:orientation val="minMax"/>
        </c:scaling>
        <c:delete val="0"/>
        <c:axPos val="b"/>
        <c:majorTickMark val="none"/>
        <c:minorTickMark val="none"/>
        <c:tickLblPos val="nextTo"/>
        <c:txPr>
          <a:bodyPr/>
          <a:lstStyle/>
          <a:p>
            <a:pPr>
              <a:defRPr sz="1100" b="1"/>
            </a:pPr>
            <a:endParaRPr lang="lt-LT"/>
          </a:p>
        </c:txPr>
        <c:crossAx val="161119616"/>
        <c:crosses val="autoZero"/>
        <c:auto val="1"/>
        <c:lblAlgn val="ctr"/>
        <c:lblOffset val="100"/>
        <c:noMultiLvlLbl val="0"/>
      </c:catAx>
      <c:valAx>
        <c:axId val="161119616"/>
        <c:scaling>
          <c:orientation val="minMax"/>
        </c:scaling>
        <c:delete val="0"/>
        <c:axPos val="l"/>
        <c:majorGridlines/>
        <c:numFmt formatCode="General" sourceLinked="1"/>
        <c:majorTickMark val="none"/>
        <c:minorTickMark val="none"/>
        <c:tickLblPos val="nextTo"/>
        <c:txPr>
          <a:bodyPr/>
          <a:lstStyle/>
          <a:p>
            <a:pPr>
              <a:defRPr sz="1200" b="1"/>
            </a:pPr>
            <a:endParaRPr lang="lt-LT"/>
          </a:p>
        </c:txPr>
        <c:crossAx val="161093888"/>
        <c:crosses val="autoZero"/>
        <c:crossBetween val="between"/>
      </c:valAx>
    </c:plotArea>
    <c:legend>
      <c:legendPos val="r"/>
      <c:overlay val="0"/>
      <c:txPr>
        <a:bodyPr/>
        <a:lstStyle/>
        <a:p>
          <a:pPr>
            <a:defRPr sz="1100" b="1"/>
          </a:pPr>
          <a:endParaRPr lang="lt-LT"/>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30"/>
      <c:rotY val="20"/>
      <c:rAngAx val="1"/>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0000"/>
              </a:solidFill>
            </c:spPr>
          </c:dPt>
          <c:dPt>
            <c:idx val="2"/>
            <c:bubble3D val="0"/>
            <c:spPr>
              <a:solidFill>
                <a:srgbClr val="FFFF00"/>
              </a:solidFill>
            </c:spPr>
          </c:dPt>
          <c:dPt>
            <c:idx val="3"/>
            <c:bubble3D val="0"/>
            <c:spPr>
              <a:solidFill>
                <a:srgbClr val="0070C0"/>
              </a:solidFill>
            </c:spPr>
          </c:dPt>
          <c:dPt>
            <c:idx val="4"/>
            <c:bubble3D val="0"/>
            <c:spPr>
              <a:solidFill>
                <a:srgbClr val="92D050"/>
              </a:solidFill>
            </c:spPr>
          </c:dPt>
          <c:dLbls>
            <c:numFmt formatCode="0.0%" sourceLinked="0"/>
            <c:txPr>
              <a:bodyPr/>
              <a:lstStyle/>
              <a:p>
                <a:pPr>
                  <a:defRPr sz="1200" b="1"/>
                </a:pPr>
                <a:endParaRPr lang="lt-LT"/>
              </a:p>
            </c:txPr>
            <c:dLblPos val="bestFit"/>
            <c:showLegendKey val="0"/>
            <c:showVal val="0"/>
            <c:showCatName val="0"/>
            <c:showSerName val="0"/>
            <c:showPercent val="1"/>
            <c:showBubbleSize val="0"/>
            <c:showLeaderLines val="0"/>
          </c:dLbls>
          <c:cat>
            <c:strRef>
              <c:f>'[Microsoft Word diagrama]Sheet2'!$B$37:$B$41</c:f>
              <c:strCache>
                <c:ptCount val="5"/>
                <c:pt idx="0">
                  <c:v>4-6 m.</c:v>
                </c:pt>
                <c:pt idx="1">
                  <c:v>7-9 m.</c:v>
                </c:pt>
                <c:pt idx="2">
                  <c:v>10-14 m.</c:v>
                </c:pt>
                <c:pt idx="3">
                  <c:v>15-17 m.</c:v>
                </c:pt>
                <c:pt idx="4">
                  <c:v>18+</c:v>
                </c:pt>
              </c:strCache>
            </c:strRef>
          </c:cat>
          <c:val>
            <c:numRef>
              <c:f>'[Microsoft Word diagrama]Sheet2'!$C$37:$C$41</c:f>
              <c:numCache>
                <c:formatCode>General</c:formatCode>
                <c:ptCount val="5"/>
                <c:pt idx="0">
                  <c:v>0.1</c:v>
                </c:pt>
                <c:pt idx="1">
                  <c:v>18.8</c:v>
                </c:pt>
                <c:pt idx="2">
                  <c:v>43.6</c:v>
                </c:pt>
                <c:pt idx="3">
                  <c:v>26.6</c:v>
                </c:pt>
                <c:pt idx="4">
                  <c:v>10.9</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sz="1200" b="1"/>
          </a:pPr>
          <a:endParaRPr lang="lt-LT"/>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958799894773476"/>
          <c:y val="2.358490566037736E-2"/>
          <c:w val="0.71713591785768194"/>
          <c:h val="0.89086076501457789"/>
        </c:manualLayout>
      </c:layout>
      <c:barChart>
        <c:barDir val="bar"/>
        <c:grouping val="clustered"/>
        <c:varyColors val="0"/>
        <c:ser>
          <c:idx val="0"/>
          <c:order val="0"/>
          <c:tx>
            <c:strRef>
              <c:f>'[Microsoft Word diagrama]Sheet2'!$C$53</c:f>
              <c:strCache>
                <c:ptCount val="1"/>
                <c:pt idx="0">
                  <c:v>2016/2017 m. m.</c:v>
                </c:pt>
              </c:strCache>
            </c:strRef>
          </c:tx>
          <c:spPr>
            <a:solidFill>
              <a:srgbClr val="00B050"/>
            </a:solidFill>
          </c:spPr>
          <c:invertIfNegative val="0"/>
          <c:cat>
            <c:strRef>
              <c:f>'[Microsoft Word diagrama]Sheet2'!$B$54:$B$64</c:f>
              <c:strCache>
                <c:ptCount val="11"/>
                <c:pt idx="0">
                  <c:v>Regos sutr.</c:v>
                </c:pt>
                <c:pt idx="1">
                  <c:v>Kraujotakos sutr.</c:v>
                </c:pt>
                <c:pt idx="2">
                  <c:v>Skeleto-raumenų sutr.</c:v>
                </c:pt>
                <c:pt idx="3">
                  <c:v>Nervų sistemos sutr.</c:v>
                </c:pt>
                <c:pt idx="4">
                  <c:v>Virškinimo sistemos sutr.</c:v>
                </c:pt>
                <c:pt idx="5">
                  <c:v>Urogenitalinės sist. sutr.</c:v>
                </c:pt>
                <c:pt idx="6">
                  <c:v>Endokrininės sist. sutr.</c:v>
                </c:pt>
                <c:pt idx="7">
                  <c:v>Klausos būklė</c:v>
                </c:pt>
                <c:pt idx="8">
                  <c:v>Kraujo būklė</c:v>
                </c:pt>
                <c:pt idx="9">
                  <c:v>Odos ir jos priedų būklė</c:v>
                </c:pt>
                <c:pt idx="10">
                  <c:v>Kvėpvimo sist. sutr.</c:v>
                </c:pt>
              </c:strCache>
            </c:strRef>
          </c:cat>
          <c:val>
            <c:numRef>
              <c:f>'[Microsoft Word diagrama]Sheet2'!$C$54:$C$64</c:f>
              <c:numCache>
                <c:formatCode>General</c:formatCode>
                <c:ptCount val="11"/>
                <c:pt idx="0">
                  <c:v>27.9</c:v>
                </c:pt>
                <c:pt idx="1">
                  <c:v>8.3000000000000007</c:v>
                </c:pt>
                <c:pt idx="2">
                  <c:v>11.5</c:v>
                </c:pt>
                <c:pt idx="3">
                  <c:v>3.3</c:v>
                </c:pt>
                <c:pt idx="4">
                  <c:v>0.4</c:v>
                </c:pt>
                <c:pt idx="5">
                  <c:v>0.4</c:v>
                </c:pt>
                <c:pt idx="6">
                  <c:v>2.9</c:v>
                </c:pt>
                <c:pt idx="7">
                  <c:v>3.3</c:v>
                </c:pt>
                <c:pt idx="8">
                  <c:v>3.3</c:v>
                </c:pt>
                <c:pt idx="9">
                  <c:v>0.6</c:v>
                </c:pt>
                <c:pt idx="10">
                  <c:v>5</c:v>
                </c:pt>
              </c:numCache>
            </c:numRef>
          </c:val>
        </c:ser>
        <c:ser>
          <c:idx val="1"/>
          <c:order val="1"/>
          <c:tx>
            <c:strRef>
              <c:f>'[Microsoft Word diagrama]Sheet2'!$D$53</c:f>
              <c:strCache>
                <c:ptCount val="1"/>
                <c:pt idx="0">
                  <c:v>2017/2018 m. m.</c:v>
                </c:pt>
              </c:strCache>
            </c:strRef>
          </c:tx>
          <c:spPr>
            <a:solidFill>
              <a:srgbClr val="FFC000"/>
            </a:solidFill>
          </c:spPr>
          <c:invertIfNegative val="0"/>
          <c:cat>
            <c:strRef>
              <c:f>'[Microsoft Word diagrama]Sheet2'!$B$54:$B$64</c:f>
              <c:strCache>
                <c:ptCount val="11"/>
                <c:pt idx="0">
                  <c:v>Regos sutr.</c:v>
                </c:pt>
                <c:pt idx="1">
                  <c:v>Kraujotakos sutr.</c:v>
                </c:pt>
                <c:pt idx="2">
                  <c:v>Skeleto-raumenų sutr.</c:v>
                </c:pt>
                <c:pt idx="3">
                  <c:v>Nervų sistemos sutr.</c:v>
                </c:pt>
                <c:pt idx="4">
                  <c:v>Virškinimo sistemos sutr.</c:v>
                </c:pt>
                <c:pt idx="5">
                  <c:v>Urogenitalinės sist. sutr.</c:v>
                </c:pt>
                <c:pt idx="6">
                  <c:v>Endokrininės sist. sutr.</c:v>
                </c:pt>
                <c:pt idx="7">
                  <c:v>Klausos būklė</c:v>
                </c:pt>
                <c:pt idx="8">
                  <c:v>Kraujo būklė</c:v>
                </c:pt>
                <c:pt idx="9">
                  <c:v>Odos ir jos priedų būklė</c:v>
                </c:pt>
                <c:pt idx="10">
                  <c:v>Kvėpvimo sist. sutr.</c:v>
                </c:pt>
              </c:strCache>
            </c:strRef>
          </c:cat>
          <c:val>
            <c:numRef>
              <c:f>'[Microsoft Word diagrama]Sheet2'!$D$54:$D$64</c:f>
              <c:numCache>
                <c:formatCode>General</c:formatCode>
                <c:ptCount val="11"/>
                <c:pt idx="0">
                  <c:v>24.3</c:v>
                </c:pt>
                <c:pt idx="1">
                  <c:v>8.3000000000000007</c:v>
                </c:pt>
                <c:pt idx="2">
                  <c:v>10.199999999999999</c:v>
                </c:pt>
                <c:pt idx="3">
                  <c:v>7</c:v>
                </c:pt>
                <c:pt idx="4">
                  <c:v>0.9</c:v>
                </c:pt>
                <c:pt idx="5">
                  <c:v>0.9</c:v>
                </c:pt>
                <c:pt idx="6">
                  <c:v>3.5</c:v>
                </c:pt>
                <c:pt idx="7">
                  <c:v>0.4</c:v>
                </c:pt>
                <c:pt idx="8">
                  <c:v>0.1</c:v>
                </c:pt>
                <c:pt idx="9">
                  <c:v>0.7</c:v>
                </c:pt>
                <c:pt idx="10">
                  <c:v>6.7</c:v>
                </c:pt>
              </c:numCache>
            </c:numRef>
          </c:val>
        </c:ser>
        <c:ser>
          <c:idx val="2"/>
          <c:order val="2"/>
          <c:tx>
            <c:strRef>
              <c:f>'[Microsoft Word diagrama]Sheet2'!$E$53</c:f>
              <c:strCache>
                <c:ptCount val="1"/>
                <c:pt idx="0">
                  <c:v>2018/2019 m. m.</c:v>
                </c:pt>
              </c:strCache>
            </c:strRef>
          </c:tx>
          <c:spPr>
            <a:solidFill>
              <a:schemeClr val="accent4">
                <a:lumMod val="60000"/>
                <a:lumOff val="40000"/>
              </a:schemeClr>
            </a:solidFill>
          </c:spPr>
          <c:invertIfNegative val="0"/>
          <c:cat>
            <c:strRef>
              <c:f>'[Microsoft Word diagrama]Sheet2'!$B$54:$B$64</c:f>
              <c:strCache>
                <c:ptCount val="11"/>
                <c:pt idx="0">
                  <c:v>Regos sutr.</c:v>
                </c:pt>
                <c:pt idx="1">
                  <c:v>Kraujotakos sutr.</c:v>
                </c:pt>
                <c:pt idx="2">
                  <c:v>Skeleto-raumenų sutr.</c:v>
                </c:pt>
                <c:pt idx="3">
                  <c:v>Nervų sistemos sutr.</c:v>
                </c:pt>
                <c:pt idx="4">
                  <c:v>Virškinimo sistemos sutr.</c:v>
                </c:pt>
                <c:pt idx="5">
                  <c:v>Urogenitalinės sist. sutr.</c:v>
                </c:pt>
                <c:pt idx="6">
                  <c:v>Endokrininės sist. sutr.</c:v>
                </c:pt>
                <c:pt idx="7">
                  <c:v>Klausos būklė</c:v>
                </c:pt>
                <c:pt idx="8">
                  <c:v>Kraujo būklė</c:v>
                </c:pt>
                <c:pt idx="9">
                  <c:v>Odos ir jos priedų būklė</c:v>
                </c:pt>
                <c:pt idx="10">
                  <c:v>Kvėpvimo sist. sutr.</c:v>
                </c:pt>
              </c:strCache>
            </c:strRef>
          </c:cat>
          <c:val>
            <c:numRef>
              <c:f>'[Microsoft Word diagrama]Sheet2'!$E$54:$E$64</c:f>
              <c:numCache>
                <c:formatCode>General</c:formatCode>
                <c:ptCount val="11"/>
                <c:pt idx="0">
                  <c:v>61.2</c:v>
                </c:pt>
                <c:pt idx="1">
                  <c:v>8.1</c:v>
                </c:pt>
                <c:pt idx="2">
                  <c:v>12.7</c:v>
                </c:pt>
                <c:pt idx="3">
                  <c:v>3.7</c:v>
                </c:pt>
                <c:pt idx="4">
                  <c:v>0.7</c:v>
                </c:pt>
                <c:pt idx="5">
                  <c:v>0.4</c:v>
                </c:pt>
                <c:pt idx="6">
                  <c:v>3.9</c:v>
                </c:pt>
                <c:pt idx="7">
                  <c:v>0.2</c:v>
                </c:pt>
                <c:pt idx="8">
                  <c:v>0.1</c:v>
                </c:pt>
                <c:pt idx="9">
                  <c:v>1.1000000000000001</c:v>
                </c:pt>
                <c:pt idx="10">
                  <c:v>6.1</c:v>
                </c:pt>
              </c:numCache>
            </c:numRef>
          </c:val>
        </c:ser>
        <c:ser>
          <c:idx val="3"/>
          <c:order val="3"/>
          <c:tx>
            <c:strRef>
              <c:f>'[Microsoft Word diagrama]Sheet2'!$F$53</c:f>
              <c:strCache>
                <c:ptCount val="1"/>
                <c:pt idx="0">
                  <c:v>2019/2020 m. m.</c:v>
                </c:pt>
              </c:strCache>
            </c:strRef>
          </c:tx>
          <c:spPr>
            <a:solidFill>
              <a:srgbClr val="FF0000"/>
            </a:solidFill>
          </c:spPr>
          <c:invertIfNegative val="0"/>
          <c:dLbls>
            <c:dLbl>
              <c:idx val="0"/>
              <c:tx>
                <c:rich>
                  <a:bodyPr/>
                  <a:lstStyle/>
                  <a:p>
                    <a:r>
                      <a:rPr lang="en-US">
                        <a:solidFill>
                          <a:srgbClr val="FF0000"/>
                        </a:solidFill>
                      </a:rPr>
                      <a:t>31,1</a:t>
                    </a:r>
                  </a:p>
                </c:rich>
              </c:tx>
              <c:showLegendKey val="0"/>
              <c:showVal val="1"/>
              <c:showCatName val="0"/>
              <c:showSerName val="0"/>
              <c:showPercent val="0"/>
              <c:showBubbleSize val="0"/>
            </c:dLbl>
            <c:dLbl>
              <c:idx val="1"/>
              <c:tx>
                <c:rich>
                  <a:bodyPr/>
                  <a:lstStyle/>
                  <a:p>
                    <a:r>
                      <a:rPr lang="en-US" sz="1200">
                        <a:solidFill>
                          <a:schemeClr val="tx1"/>
                        </a:solidFill>
                      </a:rPr>
                      <a:t>7,2</a:t>
                    </a:r>
                    <a:endParaRPr lang="en-US">
                      <a:solidFill>
                        <a:srgbClr val="00B050"/>
                      </a:solidFill>
                    </a:endParaRPr>
                  </a:p>
                </c:rich>
              </c:tx>
              <c:showLegendKey val="0"/>
              <c:showVal val="1"/>
              <c:showCatName val="0"/>
              <c:showSerName val="0"/>
              <c:showPercent val="0"/>
              <c:showBubbleSize val="0"/>
            </c:dLbl>
            <c:dLbl>
              <c:idx val="2"/>
              <c:tx>
                <c:rich>
                  <a:bodyPr/>
                  <a:lstStyle/>
                  <a:p>
                    <a:r>
                      <a:rPr lang="en-US">
                        <a:solidFill>
                          <a:srgbClr val="FF0000"/>
                        </a:solidFill>
                      </a:rPr>
                      <a:t>12,2</a:t>
                    </a:r>
                  </a:p>
                </c:rich>
              </c:tx>
              <c:showLegendKey val="0"/>
              <c:showVal val="1"/>
              <c:showCatName val="0"/>
              <c:showSerName val="0"/>
              <c:showPercent val="0"/>
              <c:showBubbleSize val="0"/>
            </c:dLbl>
            <c:dLbl>
              <c:idx val="3"/>
              <c:tx>
                <c:rich>
                  <a:bodyPr/>
                  <a:lstStyle/>
                  <a:p>
                    <a:r>
                      <a:rPr lang="en-US">
                        <a:solidFill>
                          <a:srgbClr val="FF0000"/>
                        </a:solidFill>
                      </a:rPr>
                      <a:t>4,7</a:t>
                    </a:r>
                  </a:p>
                </c:rich>
              </c:tx>
              <c:showLegendKey val="0"/>
              <c:showVal val="1"/>
              <c:showCatName val="0"/>
              <c:showSerName val="0"/>
              <c:showPercent val="0"/>
              <c:showBubbleSize val="0"/>
            </c:dLbl>
            <c:txPr>
              <a:bodyPr/>
              <a:lstStyle/>
              <a:p>
                <a:pPr>
                  <a:defRPr sz="1200" b="1">
                    <a:solidFill>
                      <a:schemeClr val="tx1"/>
                    </a:solidFill>
                  </a:defRPr>
                </a:pPr>
                <a:endParaRPr lang="lt-LT"/>
              </a:p>
            </c:txPr>
            <c:showLegendKey val="0"/>
            <c:showVal val="1"/>
            <c:showCatName val="0"/>
            <c:showSerName val="0"/>
            <c:showPercent val="0"/>
            <c:showBubbleSize val="0"/>
            <c:showLeaderLines val="0"/>
          </c:dLbls>
          <c:cat>
            <c:strRef>
              <c:f>'[Microsoft Word diagrama]Sheet2'!$B$54:$B$64</c:f>
              <c:strCache>
                <c:ptCount val="11"/>
                <c:pt idx="0">
                  <c:v>Regos sutr.</c:v>
                </c:pt>
                <c:pt idx="1">
                  <c:v>Kraujotakos sutr.</c:v>
                </c:pt>
                <c:pt idx="2">
                  <c:v>Skeleto-raumenų sutr.</c:v>
                </c:pt>
                <c:pt idx="3">
                  <c:v>Nervų sistemos sutr.</c:v>
                </c:pt>
                <c:pt idx="4">
                  <c:v>Virškinimo sistemos sutr.</c:v>
                </c:pt>
                <c:pt idx="5">
                  <c:v>Urogenitalinės sist. sutr.</c:v>
                </c:pt>
                <c:pt idx="6">
                  <c:v>Endokrininės sist. sutr.</c:v>
                </c:pt>
                <c:pt idx="7">
                  <c:v>Klausos būklė</c:v>
                </c:pt>
                <c:pt idx="8">
                  <c:v>Kraujo būklė</c:v>
                </c:pt>
                <c:pt idx="9">
                  <c:v>Odos ir jos priedų būklė</c:v>
                </c:pt>
                <c:pt idx="10">
                  <c:v>Kvėpvimo sist. sutr.</c:v>
                </c:pt>
              </c:strCache>
            </c:strRef>
          </c:cat>
          <c:val>
            <c:numRef>
              <c:f>'[Microsoft Word diagrama]Sheet2'!$F$54:$F$64</c:f>
              <c:numCache>
                <c:formatCode>General</c:formatCode>
                <c:ptCount val="11"/>
                <c:pt idx="0">
                  <c:v>31.1</c:v>
                </c:pt>
                <c:pt idx="1">
                  <c:v>7.2</c:v>
                </c:pt>
                <c:pt idx="2">
                  <c:v>12.2</c:v>
                </c:pt>
                <c:pt idx="3">
                  <c:v>4.7</c:v>
                </c:pt>
                <c:pt idx="4">
                  <c:v>0.5</c:v>
                </c:pt>
                <c:pt idx="5">
                  <c:v>0.6</c:v>
                </c:pt>
                <c:pt idx="6">
                  <c:v>3.6</c:v>
                </c:pt>
                <c:pt idx="7">
                  <c:v>0.2</c:v>
                </c:pt>
                <c:pt idx="8">
                  <c:v>0.1</c:v>
                </c:pt>
                <c:pt idx="9">
                  <c:v>1.1000000000000001</c:v>
                </c:pt>
                <c:pt idx="10">
                  <c:v>5.3</c:v>
                </c:pt>
              </c:numCache>
            </c:numRef>
          </c:val>
        </c:ser>
        <c:dLbls>
          <c:showLegendKey val="0"/>
          <c:showVal val="1"/>
          <c:showCatName val="0"/>
          <c:showSerName val="0"/>
          <c:showPercent val="0"/>
          <c:showBubbleSize val="0"/>
        </c:dLbls>
        <c:gapWidth val="75"/>
        <c:axId val="218736896"/>
        <c:axId val="219173632"/>
      </c:barChart>
      <c:catAx>
        <c:axId val="218736896"/>
        <c:scaling>
          <c:orientation val="minMax"/>
        </c:scaling>
        <c:delete val="0"/>
        <c:axPos val="l"/>
        <c:majorTickMark val="none"/>
        <c:minorTickMark val="none"/>
        <c:tickLblPos val="nextTo"/>
        <c:txPr>
          <a:bodyPr/>
          <a:lstStyle/>
          <a:p>
            <a:pPr>
              <a:defRPr b="1"/>
            </a:pPr>
            <a:endParaRPr lang="lt-LT"/>
          </a:p>
        </c:txPr>
        <c:crossAx val="219173632"/>
        <c:crosses val="autoZero"/>
        <c:auto val="1"/>
        <c:lblAlgn val="ctr"/>
        <c:lblOffset val="100"/>
        <c:noMultiLvlLbl val="0"/>
      </c:catAx>
      <c:valAx>
        <c:axId val="219173632"/>
        <c:scaling>
          <c:orientation val="minMax"/>
        </c:scaling>
        <c:delete val="0"/>
        <c:axPos val="b"/>
        <c:numFmt formatCode="General" sourceLinked="1"/>
        <c:majorTickMark val="none"/>
        <c:minorTickMark val="none"/>
        <c:tickLblPos val="nextTo"/>
        <c:txPr>
          <a:bodyPr/>
          <a:lstStyle/>
          <a:p>
            <a:pPr>
              <a:defRPr b="1"/>
            </a:pPr>
            <a:endParaRPr lang="lt-LT"/>
          </a:p>
        </c:txPr>
        <c:crossAx val="218736896"/>
        <c:crosses val="autoZero"/>
        <c:crossBetween val="between"/>
      </c:valAx>
    </c:plotArea>
    <c:legend>
      <c:legendPos val="b"/>
      <c:overlay val="0"/>
      <c:txPr>
        <a:bodyPr/>
        <a:lstStyle/>
        <a:p>
          <a:pPr>
            <a:defRPr b="1"/>
          </a:pPr>
          <a:endParaRPr lang="lt-LT"/>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'[Microsoft Word diagrama]Sheet2'!$C$72</c:f>
              <c:strCache>
                <c:ptCount val="1"/>
                <c:pt idx="0">
                  <c:v>2016/2017 m. m.</c:v>
                </c:pt>
              </c:strCache>
            </c:strRef>
          </c:tx>
          <c:spPr>
            <a:solidFill>
              <a:srgbClr val="FFC000"/>
            </a:solidFill>
          </c:spPr>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diagrama]Sheet2'!$B$73:$B$85</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diagrama]Sheet2'!$C$73:$C$85</c:f>
              <c:numCache>
                <c:formatCode>General</c:formatCode>
                <c:ptCount val="13"/>
                <c:pt idx="0">
                  <c:v>14.3</c:v>
                </c:pt>
                <c:pt idx="1">
                  <c:v>13.9</c:v>
                </c:pt>
                <c:pt idx="2">
                  <c:v>12</c:v>
                </c:pt>
                <c:pt idx="3">
                  <c:v>13</c:v>
                </c:pt>
                <c:pt idx="4">
                  <c:v>19.8</c:v>
                </c:pt>
                <c:pt idx="5">
                  <c:v>29.5</c:v>
                </c:pt>
                <c:pt idx="6">
                  <c:v>25.5</c:v>
                </c:pt>
                <c:pt idx="7">
                  <c:v>22.5</c:v>
                </c:pt>
                <c:pt idx="8">
                  <c:v>29.2</c:v>
                </c:pt>
                <c:pt idx="9">
                  <c:v>35.9</c:v>
                </c:pt>
                <c:pt idx="10">
                  <c:v>33</c:v>
                </c:pt>
                <c:pt idx="11">
                  <c:v>34.299999999999997</c:v>
                </c:pt>
                <c:pt idx="12">
                  <c:v>33</c:v>
                </c:pt>
              </c:numCache>
            </c:numRef>
          </c:val>
        </c:ser>
        <c:ser>
          <c:idx val="1"/>
          <c:order val="1"/>
          <c:tx>
            <c:strRef>
              <c:f>'[Microsoft Word diagrama]Sheet2'!$D$72</c:f>
              <c:strCache>
                <c:ptCount val="1"/>
                <c:pt idx="0">
                  <c:v>2017/2018 m. m.</c:v>
                </c:pt>
              </c:strCache>
            </c:strRef>
          </c:tx>
          <c:spPr>
            <a:solidFill>
              <a:srgbClr val="00B0F0"/>
            </a:solidFill>
          </c:spPr>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diagrama]Sheet2'!$B$73:$B$85</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diagrama]Sheet2'!$D$73:$D$85</c:f>
              <c:numCache>
                <c:formatCode>General</c:formatCode>
                <c:ptCount val="13"/>
                <c:pt idx="0">
                  <c:v>25</c:v>
                </c:pt>
                <c:pt idx="1">
                  <c:v>18</c:v>
                </c:pt>
                <c:pt idx="2">
                  <c:v>16.399999999999999</c:v>
                </c:pt>
                <c:pt idx="3">
                  <c:v>17</c:v>
                </c:pt>
                <c:pt idx="4">
                  <c:v>22.2</c:v>
                </c:pt>
                <c:pt idx="5">
                  <c:v>20.7</c:v>
                </c:pt>
                <c:pt idx="6">
                  <c:v>27.6</c:v>
                </c:pt>
                <c:pt idx="7">
                  <c:v>29.8</c:v>
                </c:pt>
                <c:pt idx="8">
                  <c:v>35</c:v>
                </c:pt>
                <c:pt idx="9">
                  <c:v>35.700000000000003</c:v>
                </c:pt>
                <c:pt idx="10">
                  <c:v>33.700000000000003</c:v>
                </c:pt>
                <c:pt idx="11">
                  <c:v>38.5</c:v>
                </c:pt>
                <c:pt idx="12">
                  <c:v>36.299999999999997</c:v>
                </c:pt>
              </c:numCache>
            </c:numRef>
          </c:val>
        </c:ser>
        <c:ser>
          <c:idx val="2"/>
          <c:order val="2"/>
          <c:tx>
            <c:strRef>
              <c:f>'[Microsoft Word diagrama]Sheet2'!$E$72</c:f>
              <c:strCache>
                <c:ptCount val="1"/>
                <c:pt idx="0">
                  <c:v>2018/2019 m. m.</c:v>
                </c:pt>
              </c:strCache>
            </c:strRef>
          </c:tx>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diagrama]Sheet2'!$B$73:$B$85</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diagrama]Sheet2'!$E$73:$E$85</c:f>
              <c:numCache>
                <c:formatCode>General</c:formatCode>
                <c:ptCount val="13"/>
                <c:pt idx="0">
                  <c:v>64.900000000000006</c:v>
                </c:pt>
                <c:pt idx="1">
                  <c:v>61.7</c:v>
                </c:pt>
                <c:pt idx="2">
                  <c:v>68.5</c:v>
                </c:pt>
                <c:pt idx="3">
                  <c:v>61</c:v>
                </c:pt>
                <c:pt idx="4">
                  <c:v>60.2</c:v>
                </c:pt>
                <c:pt idx="5">
                  <c:v>60.3</c:v>
                </c:pt>
                <c:pt idx="6">
                  <c:v>56.1</c:v>
                </c:pt>
                <c:pt idx="7">
                  <c:v>62.6</c:v>
                </c:pt>
                <c:pt idx="8">
                  <c:v>60</c:v>
                </c:pt>
                <c:pt idx="9">
                  <c:v>60.8</c:v>
                </c:pt>
                <c:pt idx="10">
                  <c:v>54.7</c:v>
                </c:pt>
                <c:pt idx="11">
                  <c:v>52.5</c:v>
                </c:pt>
                <c:pt idx="12">
                  <c:v>39</c:v>
                </c:pt>
              </c:numCache>
            </c:numRef>
          </c:val>
        </c:ser>
        <c:ser>
          <c:idx val="3"/>
          <c:order val="3"/>
          <c:tx>
            <c:strRef>
              <c:f>'[Microsoft Word diagrama]Sheet2'!$F$72</c:f>
              <c:strCache>
                <c:ptCount val="1"/>
                <c:pt idx="0">
                  <c:v>219/2020 m.m.</c:v>
                </c:pt>
              </c:strCache>
            </c:strRef>
          </c:tx>
          <c:spPr>
            <a:solidFill>
              <a:srgbClr val="FF0000"/>
            </a:solidFill>
          </c:spPr>
          <c:invertIfNegative val="0"/>
          <c:dLbls>
            <c:dLbl>
              <c:idx val="5"/>
              <c:tx>
                <c:rich>
                  <a:bodyPr/>
                  <a:lstStyle/>
                  <a:p>
                    <a:r>
                      <a:rPr lang="en-US">
                        <a:solidFill>
                          <a:srgbClr val="FF0000"/>
                        </a:solidFill>
                      </a:rPr>
                      <a:t>33,9</a:t>
                    </a:r>
                  </a:p>
                </c:rich>
              </c:tx>
              <c:showLegendKey val="0"/>
              <c:showVal val="1"/>
              <c:showCatName val="0"/>
              <c:showSerName val="0"/>
              <c:showPercent val="0"/>
              <c:showBubbleSize val="0"/>
            </c:dLbl>
            <c:dLbl>
              <c:idx val="6"/>
              <c:layout>
                <c:manualLayout>
                  <c:x val="-2.1419549437247721E-3"/>
                  <c:y val="-2.2325623258447566E-3"/>
                </c:manualLayout>
              </c:layout>
              <c:tx>
                <c:rich>
                  <a:bodyPr/>
                  <a:lstStyle/>
                  <a:p>
                    <a:r>
                      <a:rPr lang="en-US">
                        <a:solidFill>
                          <a:srgbClr val="FF0000"/>
                        </a:solidFill>
                      </a:rPr>
                      <a:t>32,3</a:t>
                    </a:r>
                  </a:p>
                </c:rich>
              </c:tx>
              <c:showLegendKey val="0"/>
              <c:showVal val="1"/>
              <c:showCatName val="0"/>
              <c:showSerName val="0"/>
              <c:showPercent val="0"/>
              <c:showBubbleSize val="0"/>
            </c:dLbl>
            <c:dLbl>
              <c:idx val="7"/>
              <c:tx>
                <c:rich>
                  <a:bodyPr/>
                  <a:lstStyle/>
                  <a:p>
                    <a:r>
                      <a:rPr lang="en-US">
                        <a:solidFill>
                          <a:srgbClr val="FF0000"/>
                        </a:solidFill>
                      </a:rPr>
                      <a:t>31</a:t>
                    </a:r>
                  </a:p>
                </c:rich>
              </c:tx>
              <c:showLegendKey val="0"/>
              <c:showVal val="1"/>
              <c:showCatName val="0"/>
              <c:showSerName val="0"/>
              <c:showPercent val="0"/>
              <c:showBubbleSize val="0"/>
            </c:dLbl>
            <c:dLbl>
              <c:idx val="8"/>
              <c:tx>
                <c:rich>
                  <a:bodyPr/>
                  <a:lstStyle/>
                  <a:p>
                    <a:r>
                      <a:rPr lang="en-US">
                        <a:solidFill>
                          <a:srgbClr val="FF0000"/>
                        </a:solidFill>
                      </a:rPr>
                      <a:t>29,6</a:t>
                    </a:r>
                  </a:p>
                </c:rich>
              </c:tx>
              <c:showLegendKey val="0"/>
              <c:showVal val="1"/>
              <c:showCatName val="0"/>
              <c:showSerName val="0"/>
              <c:showPercent val="0"/>
              <c:showBubbleSize val="0"/>
            </c:dLbl>
            <c:dLbl>
              <c:idx val="9"/>
              <c:layout>
                <c:manualLayout>
                  <c:x val="0"/>
                  <c:y val="-2.2325623258447566E-3"/>
                </c:manualLayout>
              </c:layout>
              <c:tx>
                <c:rich>
                  <a:bodyPr/>
                  <a:lstStyle/>
                  <a:p>
                    <a:r>
                      <a:rPr lang="en-US">
                        <a:solidFill>
                          <a:srgbClr val="FF0000"/>
                        </a:solidFill>
                      </a:rPr>
                      <a:t>40</a:t>
                    </a:r>
                  </a:p>
                </c:rich>
              </c:tx>
              <c:showLegendKey val="0"/>
              <c:showVal val="1"/>
              <c:showCatName val="0"/>
              <c:showSerName val="0"/>
              <c:showPercent val="0"/>
              <c:showBubbleSize val="0"/>
            </c:dLbl>
            <c:dLbl>
              <c:idx val="10"/>
              <c:tx>
                <c:rich>
                  <a:bodyPr/>
                  <a:lstStyle/>
                  <a:p>
                    <a:r>
                      <a:rPr lang="en-US">
                        <a:solidFill>
                          <a:srgbClr val="FF0000"/>
                        </a:solidFill>
                      </a:rPr>
                      <a:t>32,8</a:t>
                    </a:r>
                  </a:p>
                </c:rich>
              </c:tx>
              <c:showLegendKey val="0"/>
              <c:showVal val="1"/>
              <c:showCatName val="0"/>
              <c:showSerName val="0"/>
              <c:showPercent val="0"/>
              <c:showBubbleSize val="0"/>
            </c:dLbl>
            <c:dLbl>
              <c:idx val="11"/>
              <c:tx>
                <c:rich>
                  <a:bodyPr/>
                  <a:lstStyle/>
                  <a:p>
                    <a:r>
                      <a:rPr lang="en-US">
                        <a:solidFill>
                          <a:srgbClr val="FF0000"/>
                        </a:solidFill>
                      </a:rPr>
                      <a:t>38,2</a:t>
                    </a:r>
                  </a:p>
                </c:rich>
              </c:tx>
              <c:showLegendKey val="0"/>
              <c:showVal val="1"/>
              <c:showCatName val="0"/>
              <c:showSerName val="0"/>
              <c:showPercent val="0"/>
              <c:showBubbleSize val="0"/>
            </c:dLbl>
            <c:dLbl>
              <c:idx val="12"/>
              <c:tx>
                <c:rich>
                  <a:bodyPr/>
                  <a:lstStyle/>
                  <a:p>
                    <a:r>
                      <a:rPr lang="en-US">
                        <a:solidFill>
                          <a:srgbClr val="FF0000"/>
                        </a:solidFill>
                      </a:rPr>
                      <a:t>50,2</a:t>
                    </a:r>
                  </a:p>
                </c:rich>
              </c:tx>
              <c:showLegendKey val="0"/>
              <c:showVal val="1"/>
              <c:showCatName val="0"/>
              <c:showSerName val="0"/>
              <c:showPercent val="0"/>
              <c:showBubbleSize val="0"/>
            </c:dLbl>
            <c:txPr>
              <a:bodyPr/>
              <a:lstStyle/>
              <a:p>
                <a:pPr>
                  <a:defRPr sz="1200" b="1"/>
                </a:pPr>
                <a:endParaRPr lang="lt-LT"/>
              </a:p>
            </c:txPr>
            <c:showLegendKey val="0"/>
            <c:showVal val="1"/>
            <c:showCatName val="0"/>
            <c:showSerName val="0"/>
            <c:showPercent val="0"/>
            <c:showBubbleSize val="0"/>
            <c:showLeaderLines val="0"/>
          </c:dLbls>
          <c:cat>
            <c:strRef>
              <c:f>'[Microsoft Word diagrama]Sheet2'!$B$73:$B$85</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diagrama]Sheet2'!$F$73:$F$85</c:f>
              <c:numCache>
                <c:formatCode>General</c:formatCode>
                <c:ptCount val="13"/>
                <c:pt idx="0">
                  <c:v>12.2</c:v>
                </c:pt>
                <c:pt idx="1">
                  <c:v>15.6</c:v>
                </c:pt>
                <c:pt idx="2">
                  <c:v>21</c:v>
                </c:pt>
                <c:pt idx="3">
                  <c:v>21</c:v>
                </c:pt>
                <c:pt idx="4">
                  <c:v>28.2</c:v>
                </c:pt>
                <c:pt idx="5">
                  <c:v>33.9</c:v>
                </c:pt>
                <c:pt idx="6">
                  <c:v>32.299999999999997</c:v>
                </c:pt>
                <c:pt idx="7">
                  <c:v>31</c:v>
                </c:pt>
                <c:pt idx="8">
                  <c:v>29.6</c:v>
                </c:pt>
                <c:pt idx="9">
                  <c:v>40</c:v>
                </c:pt>
                <c:pt idx="10">
                  <c:v>32.799999999999997</c:v>
                </c:pt>
                <c:pt idx="11">
                  <c:v>38.200000000000003</c:v>
                </c:pt>
                <c:pt idx="12">
                  <c:v>50.2</c:v>
                </c:pt>
              </c:numCache>
            </c:numRef>
          </c:val>
        </c:ser>
        <c:dLbls>
          <c:showLegendKey val="0"/>
          <c:showVal val="1"/>
          <c:showCatName val="0"/>
          <c:showSerName val="0"/>
          <c:showPercent val="0"/>
          <c:showBubbleSize val="0"/>
        </c:dLbls>
        <c:gapWidth val="150"/>
        <c:overlap val="-25"/>
        <c:axId val="229581184"/>
        <c:axId val="229582720"/>
      </c:barChart>
      <c:catAx>
        <c:axId val="229581184"/>
        <c:scaling>
          <c:orientation val="minMax"/>
        </c:scaling>
        <c:delete val="0"/>
        <c:axPos val="l"/>
        <c:majorTickMark val="none"/>
        <c:minorTickMark val="none"/>
        <c:tickLblPos val="nextTo"/>
        <c:txPr>
          <a:bodyPr/>
          <a:lstStyle/>
          <a:p>
            <a:pPr>
              <a:defRPr sz="1200" b="1"/>
            </a:pPr>
            <a:endParaRPr lang="lt-LT"/>
          </a:p>
        </c:txPr>
        <c:crossAx val="229582720"/>
        <c:crosses val="autoZero"/>
        <c:auto val="1"/>
        <c:lblAlgn val="ctr"/>
        <c:lblOffset val="100"/>
        <c:noMultiLvlLbl val="0"/>
      </c:catAx>
      <c:valAx>
        <c:axId val="229582720"/>
        <c:scaling>
          <c:orientation val="minMax"/>
        </c:scaling>
        <c:delete val="1"/>
        <c:axPos val="b"/>
        <c:numFmt formatCode="General" sourceLinked="1"/>
        <c:majorTickMark val="out"/>
        <c:minorTickMark val="none"/>
        <c:tickLblPos val="nextTo"/>
        <c:crossAx val="229581184"/>
        <c:crosses val="autoZero"/>
        <c:crossBetween val="between"/>
      </c:valAx>
    </c:plotArea>
    <c:legend>
      <c:legendPos val="t"/>
      <c:overlay val="0"/>
      <c:txPr>
        <a:bodyPr/>
        <a:lstStyle/>
        <a:p>
          <a:pPr>
            <a:defRPr b="1"/>
          </a:pPr>
          <a:endParaRPr lang="lt-LT"/>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'[Microsoft Word diagrama]Sheet2'!$C$95</c:f>
              <c:strCache>
                <c:ptCount val="1"/>
                <c:pt idx="0">
                  <c:v>2016/2017 m. m.</c:v>
                </c:pt>
              </c:strCache>
            </c:strRef>
          </c:tx>
          <c:spPr>
            <a:solidFill>
              <a:srgbClr val="FFC000"/>
            </a:solidFill>
          </c:spPr>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diagrama]Sheet2'!$B$96:$B$108</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diagrama]Sheet2'!$C$96:$C$108</c:f>
              <c:numCache>
                <c:formatCode>General</c:formatCode>
                <c:ptCount val="13"/>
                <c:pt idx="0">
                  <c:v>15</c:v>
                </c:pt>
                <c:pt idx="1">
                  <c:v>5.6</c:v>
                </c:pt>
                <c:pt idx="2">
                  <c:v>7</c:v>
                </c:pt>
                <c:pt idx="3">
                  <c:v>11.2</c:v>
                </c:pt>
                <c:pt idx="4">
                  <c:v>11.2</c:v>
                </c:pt>
                <c:pt idx="5">
                  <c:v>10.3</c:v>
                </c:pt>
                <c:pt idx="6">
                  <c:v>13.3</c:v>
                </c:pt>
                <c:pt idx="7">
                  <c:v>10.7</c:v>
                </c:pt>
                <c:pt idx="8">
                  <c:v>15.9</c:v>
                </c:pt>
                <c:pt idx="9">
                  <c:v>16.7</c:v>
                </c:pt>
                <c:pt idx="10">
                  <c:v>14</c:v>
                </c:pt>
                <c:pt idx="11">
                  <c:v>12.5</c:v>
                </c:pt>
                <c:pt idx="12">
                  <c:v>8.4</c:v>
                </c:pt>
              </c:numCache>
            </c:numRef>
          </c:val>
        </c:ser>
        <c:ser>
          <c:idx val="1"/>
          <c:order val="1"/>
          <c:tx>
            <c:strRef>
              <c:f>'[Microsoft Word diagrama]Sheet2'!$D$95</c:f>
              <c:strCache>
                <c:ptCount val="1"/>
                <c:pt idx="0">
                  <c:v>2017/2018 m. m.</c:v>
                </c:pt>
              </c:strCache>
            </c:strRef>
          </c:tx>
          <c:spPr>
            <a:solidFill>
              <a:srgbClr val="1F497D">
                <a:lumMod val="40000"/>
                <a:lumOff val="60000"/>
              </a:srgbClr>
            </a:solidFill>
          </c:spPr>
          <c:invertIfNegative val="0"/>
          <c:dLbls>
            <c:txPr>
              <a:bodyPr/>
              <a:lstStyle/>
              <a:p>
                <a:pPr>
                  <a:defRPr b="0"/>
                </a:pPr>
                <a:endParaRPr lang="lt-LT"/>
              </a:p>
            </c:txPr>
            <c:showLegendKey val="0"/>
            <c:showVal val="1"/>
            <c:showCatName val="0"/>
            <c:showSerName val="0"/>
            <c:showPercent val="0"/>
            <c:showBubbleSize val="0"/>
            <c:showLeaderLines val="0"/>
          </c:dLbls>
          <c:cat>
            <c:strRef>
              <c:f>'[Microsoft Word diagrama]Sheet2'!$B$96:$B$108</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diagrama]Sheet2'!$D$96:$D$108</c:f>
              <c:numCache>
                <c:formatCode>General</c:formatCode>
                <c:ptCount val="13"/>
                <c:pt idx="0">
                  <c:v>3.6</c:v>
                </c:pt>
                <c:pt idx="1">
                  <c:v>3.1</c:v>
                </c:pt>
                <c:pt idx="2">
                  <c:v>7.8</c:v>
                </c:pt>
                <c:pt idx="3">
                  <c:v>9.1</c:v>
                </c:pt>
                <c:pt idx="4">
                  <c:v>12.1</c:v>
                </c:pt>
                <c:pt idx="5">
                  <c:v>13</c:v>
                </c:pt>
                <c:pt idx="6">
                  <c:v>9.5</c:v>
                </c:pt>
                <c:pt idx="7">
                  <c:v>10.8</c:v>
                </c:pt>
                <c:pt idx="8">
                  <c:v>8.8000000000000007</c:v>
                </c:pt>
                <c:pt idx="9">
                  <c:v>11.9</c:v>
                </c:pt>
                <c:pt idx="10">
                  <c:v>12.4</c:v>
                </c:pt>
                <c:pt idx="11">
                  <c:v>9.3000000000000007</c:v>
                </c:pt>
                <c:pt idx="12">
                  <c:v>6.5</c:v>
                </c:pt>
              </c:numCache>
            </c:numRef>
          </c:val>
        </c:ser>
        <c:ser>
          <c:idx val="2"/>
          <c:order val="2"/>
          <c:tx>
            <c:strRef>
              <c:f>'[Microsoft Word diagrama]Sheet2'!$E$95</c:f>
              <c:strCache>
                <c:ptCount val="1"/>
                <c:pt idx="0">
                  <c:v>2018/2019 m. m.</c:v>
                </c:pt>
              </c:strCache>
            </c:strRef>
          </c:tx>
          <c:invertIfNegative val="0"/>
          <c:dLbls>
            <c:txPr>
              <a:bodyPr/>
              <a:lstStyle/>
              <a:p>
                <a:pPr>
                  <a:defRPr b="0"/>
                </a:pPr>
                <a:endParaRPr lang="lt-LT"/>
              </a:p>
            </c:txPr>
            <c:showLegendKey val="0"/>
            <c:showVal val="1"/>
            <c:showCatName val="0"/>
            <c:showSerName val="0"/>
            <c:showPercent val="0"/>
            <c:showBubbleSize val="0"/>
            <c:showLeaderLines val="0"/>
          </c:dLbls>
          <c:cat>
            <c:strRef>
              <c:f>'[Microsoft Word diagrama]Sheet2'!$B$96:$B$108</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diagrama]Sheet2'!$E$96:$E$108</c:f>
              <c:numCache>
                <c:formatCode>General</c:formatCode>
                <c:ptCount val="13"/>
                <c:pt idx="0">
                  <c:v>21.6</c:v>
                </c:pt>
                <c:pt idx="1">
                  <c:v>8.1</c:v>
                </c:pt>
                <c:pt idx="2">
                  <c:v>7.8</c:v>
                </c:pt>
                <c:pt idx="3">
                  <c:v>11.4</c:v>
                </c:pt>
                <c:pt idx="4">
                  <c:v>11</c:v>
                </c:pt>
                <c:pt idx="5">
                  <c:v>13.3</c:v>
                </c:pt>
                <c:pt idx="6">
                  <c:v>14.9</c:v>
                </c:pt>
                <c:pt idx="7">
                  <c:v>12.6</c:v>
                </c:pt>
                <c:pt idx="8">
                  <c:v>15.9</c:v>
                </c:pt>
                <c:pt idx="9">
                  <c:v>14</c:v>
                </c:pt>
                <c:pt idx="10">
                  <c:v>15.4</c:v>
                </c:pt>
                <c:pt idx="11">
                  <c:v>10.9</c:v>
                </c:pt>
                <c:pt idx="12">
                  <c:v>6.9</c:v>
                </c:pt>
              </c:numCache>
            </c:numRef>
          </c:val>
        </c:ser>
        <c:ser>
          <c:idx val="3"/>
          <c:order val="3"/>
          <c:tx>
            <c:strRef>
              <c:f>'[Microsoft Word diagrama]Sheet2'!$F$95</c:f>
              <c:strCache>
                <c:ptCount val="1"/>
                <c:pt idx="0">
                  <c:v>2019/2020 m. m.</c:v>
                </c:pt>
              </c:strCache>
            </c:strRef>
          </c:tx>
          <c:spPr>
            <a:solidFill>
              <a:srgbClr val="FF0000"/>
            </a:solidFill>
          </c:spPr>
          <c:invertIfNegative val="0"/>
          <c:dLbls>
            <c:txPr>
              <a:bodyPr/>
              <a:lstStyle/>
              <a:p>
                <a:pPr>
                  <a:defRPr sz="1200" b="1"/>
                </a:pPr>
                <a:endParaRPr lang="lt-LT"/>
              </a:p>
            </c:txPr>
            <c:showLegendKey val="0"/>
            <c:showVal val="1"/>
            <c:showCatName val="0"/>
            <c:showSerName val="0"/>
            <c:showPercent val="0"/>
            <c:showBubbleSize val="0"/>
            <c:showLeaderLines val="0"/>
          </c:dLbls>
          <c:cat>
            <c:strRef>
              <c:f>'[Microsoft Word diagrama]Sheet2'!$B$96:$B$108</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diagrama]Sheet2'!$F$96:$F$108</c:f>
              <c:numCache>
                <c:formatCode>General</c:formatCode>
                <c:ptCount val="13"/>
                <c:pt idx="0">
                  <c:v>7</c:v>
                </c:pt>
                <c:pt idx="1">
                  <c:v>7.1</c:v>
                </c:pt>
                <c:pt idx="2">
                  <c:v>9.8000000000000007</c:v>
                </c:pt>
                <c:pt idx="3">
                  <c:v>10.8</c:v>
                </c:pt>
                <c:pt idx="4">
                  <c:v>13</c:v>
                </c:pt>
                <c:pt idx="5">
                  <c:v>13.1</c:v>
                </c:pt>
                <c:pt idx="6">
                  <c:v>12.1</c:v>
                </c:pt>
                <c:pt idx="7">
                  <c:v>15.6</c:v>
                </c:pt>
                <c:pt idx="8">
                  <c:v>12.7</c:v>
                </c:pt>
                <c:pt idx="9">
                  <c:v>12.3</c:v>
                </c:pt>
                <c:pt idx="10">
                  <c:v>14.2</c:v>
                </c:pt>
                <c:pt idx="11">
                  <c:v>14</c:v>
                </c:pt>
                <c:pt idx="12">
                  <c:v>7.1</c:v>
                </c:pt>
              </c:numCache>
            </c:numRef>
          </c:val>
        </c:ser>
        <c:dLbls>
          <c:showLegendKey val="0"/>
          <c:showVal val="1"/>
          <c:showCatName val="0"/>
          <c:showSerName val="0"/>
          <c:showPercent val="0"/>
          <c:showBubbleSize val="0"/>
        </c:dLbls>
        <c:gapWidth val="150"/>
        <c:shape val="cylinder"/>
        <c:axId val="229631872"/>
        <c:axId val="229633408"/>
        <c:axId val="0"/>
      </c:bar3DChart>
      <c:catAx>
        <c:axId val="229631872"/>
        <c:scaling>
          <c:orientation val="minMax"/>
        </c:scaling>
        <c:delete val="0"/>
        <c:axPos val="l"/>
        <c:majorTickMark val="none"/>
        <c:minorTickMark val="none"/>
        <c:tickLblPos val="nextTo"/>
        <c:txPr>
          <a:bodyPr/>
          <a:lstStyle/>
          <a:p>
            <a:pPr>
              <a:defRPr sz="1200" b="1"/>
            </a:pPr>
            <a:endParaRPr lang="lt-LT"/>
          </a:p>
        </c:txPr>
        <c:crossAx val="229633408"/>
        <c:crosses val="autoZero"/>
        <c:auto val="1"/>
        <c:lblAlgn val="ctr"/>
        <c:lblOffset val="100"/>
        <c:noMultiLvlLbl val="0"/>
      </c:catAx>
      <c:valAx>
        <c:axId val="229633408"/>
        <c:scaling>
          <c:orientation val="minMax"/>
        </c:scaling>
        <c:delete val="1"/>
        <c:axPos val="b"/>
        <c:numFmt formatCode="General" sourceLinked="1"/>
        <c:majorTickMark val="none"/>
        <c:minorTickMark val="none"/>
        <c:tickLblPos val="nextTo"/>
        <c:crossAx val="229631872"/>
        <c:crosses val="autoZero"/>
        <c:crossBetween val="between"/>
      </c:valAx>
    </c:plotArea>
    <c:legend>
      <c:legendPos val="t"/>
      <c:overlay val="0"/>
      <c:txPr>
        <a:bodyPr/>
        <a:lstStyle/>
        <a:p>
          <a:pPr>
            <a:defRPr sz="1200" b="0"/>
          </a:pPr>
          <a:endParaRPr lang="lt-LT"/>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'[Microsoft Word diagrama]Sheet2'!$C$119</c:f>
              <c:strCache>
                <c:ptCount val="1"/>
                <c:pt idx="0">
                  <c:v>2016/2017 m. m.</c:v>
                </c:pt>
              </c:strCache>
            </c:strRef>
          </c:tx>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diagrama]Sheet2'!$B$120:$B$132</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diagrama]Sheet2'!$C$120:$C$132</c:f>
              <c:numCache>
                <c:formatCode>General</c:formatCode>
                <c:ptCount val="13"/>
                <c:pt idx="0">
                  <c:v>5</c:v>
                </c:pt>
                <c:pt idx="1">
                  <c:v>6.8</c:v>
                </c:pt>
                <c:pt idx="2">
                  <c:v>6.2</c:v>
                </c:pt>
                <c:pt idx="3">
                  <c:v>8.1999999999999993</c:v>
                </c:pt>
                <c:pt idx="4">
                  <c:v>5.8</c:v>
                </c:pt>
                <c:pt idx="5">
                  <c:v>6.3</c:v>
                </c:pt>
                <c:pt idx="6">
                  <c:v>8.9</c:v>
                </c:pt>
                <c:pt idx="7">
                  <c:v>7.3</c:v>
                </c:pt>
                <c:pt idx="8">
                  <c:v>7.2</c:v>
                </c:pt>
                <c:pt idx="9">
                  <c:v>11.1</c:v>
                </c:pt>
                <c:pt idx="10">
                  <c:v>10.1</c:v>
                </c:pt>
                <c:pt idx="11">
                  <c:v>11.5</c:v>
                </c:pt>
                <c:pt idx="12">
                  <c:v>8.9</c:v>
                </c:pt>
              </c:numCache>
            </c:numRef>
          </c:val>
        </c:ser>
        <c:ser>
          <c:idx val="1"/>
          <c:order val="1"/>
          <c:tx>
            <c:strRef>
              <c:f>'[Microsoft Word diagrama]Sheet2'!$D$119</c:f>
              <c:strCache>
                <c:ptCount val="1"/>
                <c:pt idx="0">
                  <c:v>2017/2018m. m.</c:v>
                </c:pt>
              </c:strCache>
            </c:strRef>
          </c:tx>
          <c:spPr>
            <a:solidFill>
              <a:srgbClr val="FFC000"/>
            </a:solidFill>
          </c:spPr>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diagrama]Sheet2'!$B$120:$B$132</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diagrama]Sheet2'!$D$120:$D$132</c:f>
              <c:numCache>
                <c:formatCode>General</c:formatCode>
                <c:ptCount val="13"/>
                <c:pt idx="0">
                  <c:v>14.3</c:v>
                </c:pt>
                <c:pt idx="1">
                  <c:v>6.4</c:v>
                </c:pt>
                <c:pt idx="2">
                  <c:v>5.6</c:v>
                </c:pt>
                <c:pt idx="3">
                  <c:v>7.6</c:v>
                </c:pt>
                <c:pt idx="4">
                  <c:v>8.5</c:v>
                </c:pt>
                <c:pt idx="5">
                  <c:v>8.4</c:v>
                </c:pt>
                <c:pt idx="6">
                  <c:v>8.3000000000000007</c:v>
                </c:pt>
                <c:pt idx="7">
                  <c:v>8.1999999999999993</c:v>
                </c:pt>
                <c:pt idx="8">
                  <c:v>5.6</c:v>
                </c:pt>
                <c:pt idx="9">
                  <c:v>8.1999999999999993</c:v>
                </c:pt>
                <c:pt idx="10">
                  <c:v>9.1</c:v>
                </c:pt>
                <c:pt idx="11">
                  <c:v>9.3000000000000007</c:v>
                </c:pt>
                <c:pt idx="12">
                  <c:v>7.3</c:v>
                </c:pt>
              </c:numCache>
            </c:numRef>
          </c:val>
        </c:ser>
        <c:ser>
          <c:idx val="2"/>
          <c:order val="2"/>
          <c:tx>
            <c:strRef>
              <c:f>'[Microsoft Word diagrama]Sheet2'!$E$119</c:f>
              <c:strCache>
                <c:ptCount val="1"/>
                <c:pt idx="0">
                  <c:v>2018/2019 m. m. </c:v>
                </c:pt>
              </c:strCache>
            </c:strRef>
          </c:tx>
          <c:invertIfNegative val="0"/>
          <c:dLbls>
            <c:txPr>
              <a:bodyPr/>
              <a:lstStyle/>
              <a:p>
                <a:pPr>
                  <a:defRPr b="1"/>
                </a:pPr>
                <a:endParaRPr lang="lt-LT"/>
              </a:p>
            </c:txPr>
            <c:showLegendKey val="0"/>
            <c:showVal val="1"/>
            <c:showCatName val="0"/>
            <c:showSerName val="0"/>
            <c:showPercent val="0"/>
            <c:showBubbleSize val="0"/>
            <c:showLeaderLines val="0"/>
          </c:dLbls>
          <c:cat>
            <c:strRef>
              <c:f>'[Microsoft Word diagrama]Sheet2'!$B$120:$B$132</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diagrama]Sheet2'!$E$120:$E$132</c:f>
              <c:numCache>
                <c:formatCode>General</c:formatCode>
                <c:ptCount val="13"/>
                <c:pt idx="0">
                  <c:v>10.8</c:v>
                </c:pt>
                <c:pt idx="1">
                  <c:v>5</c:v>
                </c:pt>
                <c:pt idx="2">
                  <c:v>5.7</c:v>
                </c:pt>
                <c:pt idx="3">
                  <c:v>6.8</c:v>
                </c:pt>
                <c:pt idx="4">
                  <c:v>6.3</c:v>
                </c:pt>
                <c:pt idx="5">
                  <c:v>9.4</c:v>
                </c:pt>
                <c:pt idx="6">
                  <c:v>9.1</c:v>
                </c:pt>
                <c:pt idx="7">
                  <c:v>7.9</c:v>
                </c:pt>
                <c:pt idx="8">
                  <c:v>10.9</c:v>
                </c:pt>
                <c:pt idx="9">
                  <c:v>8.1999999999999993</c:v>
                </c:pt>
                <c:pt idx="10">
                  <c:v>10</c:v>
                </c:pt>
                <c:pt idx="11">
                  <c:v>5.6</c:v>
                </c:pt>
                <c:pt idx="12">
                  <c:v>8.1999999999999993</c:v>
                </c:pt>
              </c:numCache>
            </c:numRef>
          </c:val>
        </c:ser>
        <c:ser>
          <c:idx val="3"/>
          <c:order val="3"/>
          <c:tx>
            <c:strRef>
              <c:f>'[Microsoft Word diagrama]Sheet2'!$F$119</c:f>
              <c:strCache>
                <c:ptCount val="1"/>
                <c:pt idx="0">
                  <c:v>2019/2020 m.m.</c:v>
                </c:pt>
              </c:strCache>
            </c:strRef>
          </c:tx>
          <c:spPr>
            <a:solidFill>
              <a:srgbClr val="FF0000"/>
            </a:solidFill>
          </c:spPr>
          <c:invertIfNegative val="0"/>
          <c:dLbls>
            <c:txPr>
              <a:bodyPr/>
              <a:lstStyle/>
              <a:p>
                <a:pPr>
                  <a:defRPr sz="1200" b="1"/>
                </a:pPr>
                <a:endParaRPr lang="lt-LT"/>
              </a:p>
            </c:txPr>
            <c:showLegendKey val="0"/>
            <c:showVal val="1"/>
            <c:showCatName val="0"/>
            <c:showSerName val="0"/>
            <c:showPercent val="0"/>
            <c:showBubbleSize val="0"/>
            <c:showLeaderLines val="0"/>
          </c:dLbls>
          <c:cat>
            <c:strRef>
              <c:f>'[Microsoft Word diagrama]Sheet2'!$B$120:$B$132</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diagrama]Sheet2'!$F$120:$F$132</c:f>
              <c:numCache>
                <c:formatCode>General</c:formatCode>
                <c:ptCount val="13"/>
                <c:pt idx="0">
                  <c:v>23.3</c:v>
                </c:pt>
                <c:pt idx="1">
                  <c:v>7.4</c:v>
                </c:pt>
                <c:pt idx="2">
                  <c:v>7</c:v>
                </c:pt>
                <c:pt idx="3">
                  <c:v>4.5</c:v>
                </c:pt>
                <c:pt idx="4">
                  <c:v>7.4</c:v>
                </c:pt>
                <c:pt idx="5">
                  <c:v>5.0999999999999996</c:v>
                </c:pt>
                <c:pt idx="6">
                  <c:v>8.8000000000000007</c:v>
                </c:pt>
                <c:pt idx="7">
                  <c:v>6.6</c:v>
                </c:pt>
                <c:pt idx="8">
                  <c:v>9.4</c:v>
                </c:pt>
                <c:pt idx="9">
                  <c:v>9.1999999999999993</c:v>
                </c:pt>
                <c:pt idx="10">
                  <c:v>6.9</c:v>
                </c:pt>
                <c:pt idx="11">
                  <c:v>7.2</c:v>
                </c:pt>
                <c:pt idx="12">
                  <c:v>7.6</c:v>
                </c:pt>
              </c:numCache>
            </c:numRef>
          </c:val>
        </c:ser>
        <c:dLbls>
          <c:showLegendKey val="0"/>
          <c:showVal val="1"/>
          <c:showCatName val="0"/>
          <c:showSerName val="0"/>
          <c:showPercent val="0"/>
          <c:showBubbleSize val="0"/>
        </c:dLbls>
        <c:gapWidth val="150"/>
        <c:shape val="cylinder"/>
        <c:axId val="231316864"/>
        <c:axId val="231326848"/>
        <c:axId val="0"/>
      </c:bar3DChart>
      <c:catAx>
        <c:axId val="231316864"/>
        <c:scaling>
          <c:orientation val="minMax"/>
        </c:scaling>
        <c:delete val="0"/>
        <c:axPos val="l"/>
        <c:majorTickMark val="none"/>
        <c:minorTickMark val="none"/>
        <c:tickLblPos val="nextTo"/>
        <c:txPr>
          <a:bodyPr/>
          <a:lstStyle/>
          <a:p>
            <a:pPr>
              <a:defRPr sz="1200" b="1"/>
            </a:pPr>
            <a:endParaRPr lang="lt-LT"/>
          </a:p>
        </c:txPr>
        <c:crossAx val="231326848"/>
        <c:crosses val="autoZero"/>
        <c:auto val="1"/>
        <c:lblAlgn val="ctr"/>
        <c:lblOffset val="100"/>
        <c:noMultiLvlLbl val="0"/>
      </c:catAx>
      <c:valAx>
        <c:axId val="231326848"/>
        <c:scaling>
          <c:orientation val="minMax"/>
        </c:scaling>
        <c:delete val="1"/>
        <c:axPos val="b"/>
        <c:numFmt formatCode="General" sourceLinked="1"/>
        <c:majorTickMark val="out"/>
        <c:minorTickMark val="none"/>
        <c:tickLblPos val="nextTo"/>
        <c:crossAx val="231316864"/>
        <c:crosses val="autoZero"/>
        <c:crossBetween val="between"/>
      </c:valAx>
    </c:plotArea>
    <c:legend>
      <c:legendPos val="t"/>
      <c:layout>
        <c:manualLayout>
          <c:xMode val="edge"/>
          <c:yMode val="edge"/>
          <c:x val="4.5527254721243846E-2"/>
          <c:y val="1.5625E-2"/>
          <c:w val="0.8999999295638984"/>
          <c:h val="3.5596429352580929E-2"/>
        </c:manualLayout>
      </c:layout>
      <c:overlay val="0"/>
      <c:txPr>
        <a:bodyPr/>
        <a:lstStyle/>
        <a:p>
          <a:pPr>
            <a:defRPr sz="1200" b="1"/>
          </a:pPr>
          <a:endParaRPr lang="lt-LT"/>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828958880139984E-2"/>
          <c:y val="7.5050762681215088E-3"/>
          <c:w val="0.89183981815931923"/>
          <c:h val="0.81991141055249184"/>
        </c:manualLayout>
      </c:layout>
      <c:barChart>
        <c:barDir val="bar"/>
        <c:grouping val="clustered"/>
        <c:varyColors val="0"/>
        <c:ser>
          <c:idx val="0"/>
          <c:order val="0"/>
          <c:tx>
            <c:strRef>
              <c:f>'[Microsoft Word diagrama]Sheet2'!$D$145:$D$146</c:f>
              <c:strCache>
                <c:ptCount val="1"/>
                <c:pt idx="0">
                  <c:v>2018/2019 m.m. Vaikai turintys nepažeistus ėduonies, neplombuotus ir neišrautus dantis, proc.</c:v>
                </c:pt>
              </c:strCache>
            </c:strRef>
          </c:tx>
          <c:spPr>
            <a:solidFill>
              <a:schemeClr val="accent5">
                <a:lumMod val="75000"/>
              </a:schemeClr>
            </a:solidFill>
          </c:spPr>
          <c:invertIfNegative val="0"/>
          <c:dLbls>
            <c:txPr>
              <a:bodyPr/>
              <a:lstStyle/>
              <a:p>
                <a:pPr>
                  <a:defRPr sz="1200" b="1"/>
                </a:pPr>
                <a:endParaRPr lang="lt-LT"/>
              </a:p>
            </c:txPr>
            <c:showLegendKey val="0"/>
            <c:showVal val="1"/>
            <c:showCatName val="0"/>
            <c:showSerName val="0"/>
            <c:showPercent val="0"/>
            <c:showBubbleSize val="0"/>
            <c:showLeaderLines val="0"/>
          </c:dLbls>
          <c:cat>
            <c:strRef>
              <c:f>'[Microsoft Word diagrama]Sheet2'!$C$147:$C$159</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diagrama]Sheet2'!$D$147:$D$159</c:f>
              <c:numCache>
                <c:formatCode>General</c:formatCode>
                <c:ptCount val="13"/>
                <c:pt idx="0">
                  <c:v>37.799999999999997</c:v>
                </c:pt>
                <c:pt idx="1">
                  <c:v>18.5</c:v>
                </c:pt>
                <c:pt idx="2">
                  <c:v>21</c:v>
                </c:pt>
                <c:pt idx="3">
                  <c:v>18.899999999999999</c:v>
                </c:pt>
                <c:pt idx="4">
                  <c:v>15.7</c:v>
                </c:pt>
                <c:pt idx="5">
                  <c:v>12.1</c:v>
                </c:pt>
                <c:pt idx="6">
                  <c:v>7.3</c:v>
                </c:pt>
                <c:pt idx="7">
                  <c:v>14.5</c:v>
                </c:pt>
                <c:pt idx="8">
                  <c:v>14</c:v>
                </c:pt>
                <c:pt idx="9">
                  <c:v>15.6</c:v>
                </c:pt>
                <c:pt idx="10">
                  <c:v>18.7</c:v>
                </c:pt>
                <c:pt idx="11">
                  <c:v>18.600000000000001</c:v>
                </c:pt>
                <c:pt idx="12">
                  <c:v>57.9</c:v>
                </c:pt>
              </c:numCache>
            </c:numRef>
          </c:val>
        </c:ser>
        <c:ser>
          <c:idx val="1"/>
          <c:order val="1"/>
          <c:tx>
            <c:strRef>
              <c:f>'[Microsoft Word diagrama]Sheet2'!$E$145:$E$146</c:f>
              <c:strCache>
                <c:ptCount val="1"/>
                <c:pt idx="0">
                  <c:v>2019/2020 m.m. Vaikai turintys nepažeistus ėduonies, neplombuotus ir neišrautus dantis, proc.</c:v>
                </c:pt>
              </c:strCache>
            </c:strRef>
          </c:tx>
          <c:spPr>
            <a:solidFill>
              <a:schemeClr val="accent5">
                <a:lumMod val="40000"/>
                <a:lumOff val="60000"/>
              </a:schemeClr>
            </a:solidFill>
            <a:ln>
              <a:solidFill>
                <a:schemeClr val="accent5">
                  <a:lumMod val="40000"/>
                  <a:lumOff val="60000"/>
                </a:schemeClr>
              </a:solidFill>
            </a:ln>
          </c:spPr>
          <c:invertIfNegative val="0"/>
          <c:dLbls>
            <c:dLbl>
              <c:idx val="12"/>
              <c:layout>
                <c:manualLayout>
                  <c:x val="8.3333333333333332E-3"/>
                  <c:y val="-4.5086597943018152E-3"/>
                </c:manualLayout>
              </c:layout>
              <c:showLegendKey val="0"/>
              <c:showVal val="1"/>
              <c:showCatName val="0"/>
              <c:showSerName val="0"/>
              <c:showPercent val="0"/>
              <c:showBubbleSize val="0"/>
            </c:dLbl>
            <c:txPr>
              <a:bodyPr/>
              <a:lstStyle/>
              <a:p>
                <a:pPr>
                  <a:defRPr sz="1200" b="1"/>
                </a:pPr>
                <a:endParaRPr lang="lt-LT"/>
              </a:p>
            </c:txPr>
            <c:showLegendKey val="0"/>
            <c:showVal val="1"/>
            <c:showCatName val="0"/>
            <c:showSerName val="0"/>
            <c:showPercent val="0"/>
            <c:showBubbleSize val="0"/>
            <c:showLeaderLines val="0"/>
          </c:dLbls>
          <c:cat>
            <c:strRef>
              <c:f>'[Microsoft Word diagrama]Sheet2'!$C$147:$C$159</c:f>
              <c:strCache>
                <c:ptCount val="13"/>
                <c:pt idx="0">
                  <c:v>PUG</c:v>
                </c:pt>
                <c:pt idx="1">
                  <c:v>1</c:v>
                </c:pt>
                <c:pt idx="2">
                  <c:v>2</c:v>
                </c:pt>
                <c:pt idx="3">
                  <c:v>3</c:v>
                </c:pt>
                <c:pt idx="4">
                  <c:v>4</c:v>
                </c:pt>
                <c:pt idx="5">
                  <c:v>5</c:v>
                </c:pt>
                <c:pt idx="6">
                  <c:v>6</c:v>
                </c:pt>
                <c:pt idx="7">
                  <c:v>7</c:v>
                </c:pt>
                <c:pt idx="8">
                  <c:v>8</c:v>
                </c:pt>
                <c:pt idx="9">
                  <c:v>9</c:v>
                </c:pt>
                <c:pt idx="10">
                  <c:v>10</c:v>
                </c:pt>
                <c:pt idx="11">
                  <c:v>11</c:v>
                </c:pt>
                <c:pt idx="12">
                  <c:v>12</c:v>
                </c:pt>
              </c:strCache>
            </c:strRef>
          </c:cat>
          <c:val>
            <c:numRef>
              <c:f>'[Microsoft Word diagrama]Sheet2'!$E$147:$E$159</c:f>
              <c:numCache>
                <c:formatCode>General</c:formatCode>
                <c:ptCount val="13"/>
                <c:pt idx="0">
                  <c:v>16.600000000000001</c:v>
                </c:pt>
                <c:pt idx="1">
                  <c:v>20.2</c:v>
                </c:pt>
                <c:pt idx="2">
                  <c:v>20.5</c:v>
                </c:pt>
                <c:pt idx="3">
                  <c:v>19.899999999999999</c:v>
                </c:pt>
                <c:pt idx="4">
                  <c:v>20.5</c:v>
                </c:pt>
                <c:pt idx="5">
                  <c:v>11.5</c:v>
                </c:pt>
                <c:pt idx="6">
                  <c:v>23.5</c:v>
                </c:pt>
                <c:pt idx="7">
                  <c:v>17.8</c:v>
                </c:pt>
                <c:pt idx="8">
                  <c:v>32.1</c:v>
                </c:pt>
                <c:pt idx="9">
                  <c:v>6.6</c:v>
                </c:pt>
                <c:pt idx="10">
                  <c:v>16.600000000000001</c:v>
                </c:pt>
                <c:pt idx="11">
                  <c:v>24.2</c:v>
                </c:pt>
                <c:pt idx="12">
                  <c:v>23.6</c:v>
                </c:pt>
              </c:numCache>
            </c:numRef>
          </c:val>
        </c:ser>
        <c:dLbls>
          <c:showLegendKey val="0"/>
          <c:showVal val="1"/>
          <c:showCatName val="0"/>
          <c:showSerName val="0"/>
          <c:showPercent val="0"/>
          <c:showBubbleSize val="0"/>
        </c:dLbls>
        <c:gapWidth val="75"/>
        <c:axId val="231368960"/>
        <c:axId val="231387136"/>
      </c:barChart>
      <c:catAx>
        <c:axId val="231368960"/>
        <c:scaling>
          <c:orientation val="minMax"/>
        </c:scaling>
        <c:delete val="0"/>
        <c:axPos val="l"/>
        <c:majorTickMark val="none"/>
        <c:minorTickMark val="none"/>
        <c:tickLblPos val="nextTo"/>
        <c:txPr>
          <a:bodyPr/>
          <a:lstStyle/>
          <a:p>
            <a:pPr>
              <a:defRPr sz="1600" b="1"/>
            </a:pPr>
            <a:endParaRPr lang="lt-LT"/>
          </a:p>
        </c:txPr>
        <c:crossAx val="231387136"/>
        <c:crosses val="autoZero"/>
        <c:auto val="1"/>
        <c:lblAlgn val="ctr"/>
        <c:lblOffset val="100"/>
        <c:noMultiLvlLbl val="0"/>
      </c:catAx>
      <c:valAx>
        <c:axId val="231387136"/>
        <c:scaling>
          <c:orientation val="minMax"/>
        </c:scaling>
        <c:delete val="0"/>
        <c:axPos val="b"/>
        <c:numFmt formatCode="General" sourceLinked="1"/>
        <c:majorTickMark val="none"/>
        <c:minorTickMark val="none"/>
        <c:tickLblPos val="nextTo"/>
        <c:txPr>
          <a:bodyPr/>
          <a:lstStyle/>
          <a:p>
            <a:pPr>
              <a:defRPr sz="1200" b="1"/>
            </a:pPr>
            <a:endParaRPr lang="lt-LT"/>
          </a:p>
        </c:txPr>
        <c:crossAx val="231368960"/>
        <c:crosses val="autoZero"/>
        <c:crossBetween val="between"/>
      </c:valAx>
    </c:plotArea>
    <c:legend>
      <c:legendPos val="b"/>
      <c:layout>
        <c:manualLayout>
          <c:xMode val="edge"/>
          <c:yMode val="edge"/>
          <c:x val="0.66257733658008855"/>
          <c:y val="0.29959259259259258"/>
          <c:w val="0.30370293555725136"/>
          <c:h val="0.43003703703703705"/>
        </c:manualLayout>
      </c:layout>
      <c:overlay val="0"/>
      <c:txPr>
        <a:bodyPr/>
        <a:lstStyle/>
        <a:p>
          <a:pPr>
            <a:defRPr sz="1100" b="1"/>
          </a:pPr>
          <a:endParaRPr lang="lt-L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'[Microsoft Word diagrama]Sheet2'!$C$186</c:f>
              <c:strCache>
                <c:ptCount val="1"/>
                <c:pt idx="0">
                  <c:v>2018/2019  m. m.</c:v>
                </c:pt>
              </c:strCache>
            </c:strRef>
          </c:tx>
          <c:spPr>
            <a:solidFill>
              <a:srgbClr val="92D050"/>
            </a:solidFill>
            <a:ln>
              <a:solidFill>
                <a:srgbClr val="92D050"/>
              </a:solidFill>
            </a:ln>
          </c:spPr>
          <c:invertIfNegative val="0"/>
          <c:dLbls>
            <c:numFmt formatCode="General" sourceLinked="0"/>
            <c:txPr>
              <a:bodyPr/>
              <a:lstStyle/>
              <a:p>
                <a:pPr>
                  <a:defRPr sz="1200" b="1"/>
                </a:pPr>
                <a:endParaRPr lang="lt-LT"/>
              </a:p>
            </c:txPr>
            <c:showLegendKey val="0"/>
            <c:showVal val="1"/>
            <c:showCatName val="0"/>
            <c:showSerName val="0"/>
            <c:showPercent val="0"/>
            <c:showBubbleSize val="0"/>
            <c:showLeaderLines val="0"/>
          </c:dLbls>
          <c:cat>
            <c:strRef>
              <c:f>'[Microsoft Word diagrama]Sheet2'!$D$185:$G$185</c:f>
              <c:strCache>
                <c:ptCount val="4"/>
                <c:pt idx="0">
                  <c:v>Pagrindinė k. k. gr.</c:v>
                </c:pt>
                <c:pt idx="1">
                  <c:v>Parengiamoji k. k. gr.</c:v>
                </c:pt>
                <c:pt idx="2">
                  <c:v>Specialioji k. k. gr.</c:v>
                </c:pt>
                <c:pt idx="3">
                  <c:v>Atleisti nuo k. k. </c:v>
                </c:pt>
              </c:strCache>
            </c:strRef>
          </c:cat>
          <c:val>
            <c:numRef>
              <c:f>'[Microsoft Word diagrama]Sheet2'!$D$186:$G$186</c:f>
              <c:numCache>
                <c:formatCode>General</c:formatCode>
                <c:ptCount val="4"/>
                <c:pt idx="0" formatCode="0%">
                  <c:v>95</c:v>
                </c:pt>
                <c:pt idx="1">
                  <c:v>3.1</c:v>
                </c:pt>
                <c:pt idx="2">
                  <c:v>1.1000000000000001</c:v>
                </c:pt>
                <c:pt idx="3">
                  <c:v>0.1</c:v>
                </c:pt>
              </c:numCache>
            </c:numRef>
          </c:val>
        </c:ser>
        <c:ser>
          <c:idx val="1"/>
          <c:order val="1"/>
          <c:tx>
            <c:strRef>
              <c:f>'[Microsoft Word diagrama]Sheet2'!$C$187</c:f>
              <c:strCache>
                <c:ptCount val="1"/>
                <c:pt idx="0">
                  <c:v>2019/2020 m.m.</c:v>
                </c:pt>
              </c:strCache>
            </c:strRef>
          </c:tx>
          <c:spPr>
            <a:solidFill>
              <a:srgbClr val="C00000"/>
            </a:solidFill>
          </c:spPr>
          <c:invertIfNegative val="0"/>
          <c:dLbls>
            <c:dLbl>
              <c:idx val="0"/>
              <c:layout>
                <c:manualLayout>
                  <c:x val="4.5264229942288108E-3"/>
                  <c:y val="-2.7777777777777783E-2"/>
                </c:manualLayout>
              </c:layout>
              <c:numFmt formatCode="General" sourceLinked="0"/>
              <c:spPr/>
              <c:txPr>
                <a:bodyPr/>
                <a:lstStyle/>
                <a:p>
                  <a:pPr>
                    <a:defRPr sz="1200" b="1">
                      <a:solidFill>
                        <a:schemeClr val="tx1"/>
                      </a:solidFill>
                    </a:defRPr>
                  </a:pPr>
                  <a:endParaRPr lang="lt-LT"/>
                </a:p>
              </c:txPr>
              <c:showLegendKey val="0"/>
              <c:showVal val="1"/>
              <c:showCatName val="0"/>
              <c:showSerName val="0"/>
              <c:showPercent val="0"/>
              <c:showBubbleSize val="0"/>
            </c:dLbl>
            <c:dLbl>
              <c:idx val="1"/>
              <c:layout>
                <c:manualLayout>
                  <c:x val="6.7895933532554137E-3"/>
                  <c:y val="-2.7777777777777776E-2"/>
                </c:manualLayout>
              </c:layout>
              <c:showLegendKey val="0"/>
              <c:showVal val="1"/>
              <c:showCatName val="0"/>
              <c:showSerName val="0"/>
              <c:showPercent val="0"/>
              <c:showBubbleSize val="0"/>
            </c:dLbl>
            <c:dLbl>
              <c:idx val="2"/>
              <c:layout>
                <c:manualLayout>
                  <c:x val="6.7895933532554137E-3"/>
                  <c:y val="-5.5555555555555552E-2"/>
                </c:manualLayout>
              </c:layout>
              <c:showLegendKey val="0"/>
              <c:showVal val="1"/>
              <c:showCatName val="0"/>
              <c:showSerName val="0"/>
              <c:showPercent val="0"/>
              <c:showBubbleSize val="0"/>
            </c:dLbl>
            <c:dLbl>
              <c:idx val="3"/>
              <c:layout>
                <c:manualLayout>
                  <c:x val="2.0368780059766244E-2"/>
                  <c:y val="-4.1666666666666755E-2"/>
                </c:manualLayout>
              </c:layout>
              <c:showLegendKey val="0"/>
              <c:showVal val="1"/>
              <c:showCatName val="0"/>
              <c:showSerName val="0"/>
              <c:showPercent val="0"/>
              <c:showBubbleSize val="0"/>
            </c:dLbl>
            <c:numFmt formatCode="General" sourceLinked="0"/>
            <c:txPr>
              <a:bodyPr/>
              <a:lstStyle/>
              <a:p>
                <a:pPr>
                  <a:defRPr sz="1200" b="1"/>
                </a:pPr>
                <a:endParaRPr lang="lt-LT"/>
              </a:p>
            </c:txPr>
            <c:showLegendKey val="0"/>
            <c:showVal val="1"/>
            <c:showCatName val="0"/>
            <c:showSerName val="0"/>
            <c:showPercent val="0"/>
            <c:showBubbleSize val="0"/>
            <c:showLeaderLines val="0"/>
          </c:dLbls>
          <c:cat>
            <c:strRef>
              <c:f>'[Microsoft Word diagrama]Sheet2'!$D$185:$G$185</c:f>
              <c:strCache>
                <c:ptCount val="4"/>
                <c:pt idx="0">
                  <c:v>Pagrindinė k. k. gr.</c:v>
                </c:pt>
                <c:pt idx="1">
                  <c:v>Parengiamoji k. k. gr.</c:v>
                </c:pt>
                <c:pt idx="2">
                  <c:v>Specialioji k. k. gr.</c:v>
                </c:pt>
                <c:pt idx="3">
                  <c:v>Atleisti nuo k. k. </c:v>
                </c:pt>
              </c:strCache>
            </c:strRef>
          </c:cat>
          <c:val>
            <c:numRef>
              <c:f>'[Microsoft Word diagrama]Sheet2'!$D$187:$G$187</c:f>
              <c:numCache>
                <c:formatCode>General</c:formatCode>
                <c:ptCount val="4"/>
                <c:pt idx="0">
                  <c:v>95.5</c:v>
                </c:pt>
                <c:pt idx="1">
                  <c:v>3.4</c:v>
                </c:pt>
                <c:pt idx="2">
                  <c:v>1.1000000000000001</c:v>
                </c:pt>
                <c:pt idx="3">
                  <c:v>0</c:v>
                </c:pt>
              </c:numCache>
            </c:numRef>
          </c:val>
        </c:ser>
        <c:dLbls>
          <c:showLegendKey val="0"/>
          <c:showVal val="1"/>
          <c:showCatName val="0"/>
          <c:showSerName val="0"/>
          <c:showPercent val="0"/>
          <c:showBubbleSize val="0"/>
        </c:dLbls>
        <c:gapWidth val="75"/>
        <c:shape val="cylinder"/>
        <c:axId val="231479168"/>
        <c:axId val="231480704"/>
        <c:axId val="0"/>
      </c:bar3DChart>
      <c:catAx>
        <c:axId val="231479168"/>
        <c:scaling>
          <c:orientation val="minMax"/>
        </c:scaling>
        <c:delete val="0"/>
        <c:axPos val="b"/>
        <c:majorTickMark val="none"/>
        <c:minorTickMark val="none"/>
        <c:tickLblPos val="nextTo"/>
        <c:txPr>
          <a:bodyPr/>
          <a:lstStyle/>
          <a:p>
            <a:pPr>
              <a:defRPr b="1"/>
            </a:pPr>
            <a:endParaRPr lang="lt-LT"/>
          </a:p>
        </c:txPr>
        <c:crossAx val="231480704"/>
        <c:crosses val="autoZero"/>
        <c:auto val="1"/>
        <c:lblAlgn val="ctr"/>
        <c:lblOffset val="100"/>
        <c:noMultiLvlLbl val="0"/>
      </c:catAx>
      <c:valAx>
        <c:axId val="231480704"/>
        <c:scaling>
          <c:orientation val="minMax"/>
        </c:scaling>
        <c:delete val="0"/>
        <c:axPos val="l"/>
        <c:numFmt formatCode="General" sourceLinked="0"/>
        <c:majorTickMark val="none"/>
        <c:minorTickMark val="none"/>
        <c:tickLblPos val="nextTo"/>
        <c:txPr>
          <a:bodyPr/>
          <a:lstStyle/>
          <a:p>
            <a:pPr>
              <a:defRPr b="1"/>
            </a:pPr>
            <a:endParaRPr lang="lt-LT"/>
          </a:p>
        </c:txPr>
        <c:crossAx val="231479168"/>
        <c:crosses val="autoZero"/>
        <c:crossBetween val="between"/>
      </c:valAx>
    </c:plotArea>
    <c:legend>
      <c:legendPos val="b"/>
      <c:overlay val="0"/>
      <c:txPr>
        <a:bodyPr/>
        <a:lstStyle/>
        <a:p>
          <a:pPr>
            <a:defRPr b="1"/>
          </a:pPr>
          <a:endParaRPr lang="lt-LT"/>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5">
                  <a:lumMod val="60000"/>
                  <a:lumOff val="40000"/>
                </a:schemeClr>
              </a:solidFill>
            </c:spPr>
          </c:dPt>
          <c:dPt>
            <c:idx val="1"/>
            <c:bubble3D val="0"/>
            <c:spPr>
              <a:solidFill>
                <a:srgbClr val="92D050"/>
              </a:solidFill>
            </c:spPr>
          </c:dPt>
          <c:dPt>
            <c:idx val="2"/>
            <c:bubble3D val="0"/>
            <c:spPr>
              <a:solidFill>
                <a:srgbClr val="FFC000"/>
              </a:solidFill>
            </c:spPr>
          </c:dPt>
          <c:dPt>
            <c:idx val="3"/>
            <c:bubble3D val="0"/>
            <c:spPr>
              <a:solidFill>
                <a:srgbClr val="FF0000"/>
              </a:solidFill>
            </c:spPr>
          </c:dPt>
          <c:dLbls>
            <c:numFmt formatCode="0.0%" sourceLinked="0"/>
            <c:txPr>
              <a:bodyPr/>
              <a:lstStyle/>
              <a:p>
                <a:pPr>
                  <a:defRPr sz="1600" b="1"/>
                </a:pPr>
                <a:endParaRPr lang="lt-LT"/>
              </a:p>
            </c:txPr>
            <c:showLegendKey val="0"/>
            <c:showVal val="0"/>
            <c:showCatName val="0"/>
            <c:showSerName val="0"/>
            <c:showPercent val="1"/>
            <c:showBubbleSize val="0"/>
            <c:showLeaderLines val="1"/>
          </c:dLbls>
          <c:cat>
            <c:strRef>
              <c:f>Sheet2!$C$189:$C$192</c:f>
              <c:strCache>
                <c:ptCount val="4"/>
                <c:pt idx="0">
                  <c:v>nenurodyta</c:v>
                </c:pt>
                <c:pt idx="1">
                  <c:v>nėra</c:v>
                </c:pt>
                <c:pt idx="2">
                  <c:v>pavienių dantų</c:v>
                </c:pt>
                <c:pt idx="3">
                  <c:v>žandikaulių </c:v>
                </c:pt>
              </c:strCache>
            </c:strRef>
          </c:cat>
          <c:val>
            <c:numRef>
              <c:f>Sheet2!$D$189:$D$192</c:f>
              <c:numCache>
                <c:formatCode>General</c:formatCode>
                <c:ptCount val="4"/>
                <c:pt idx="0">
                  <c:v>13.7</c:v>
                </c:pt>
                <c:pt idx="1">
                  <c:v>54.4</c:v>
                </c:pt>
                <c:pt idx="2">
                  <c:v>18.399999999999999</c:v>
                </c:pt>
                <c:pt idx="3">
                  <c:v>13.5</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1400" b="1"/>
          </a:pPr>
          <a:endParaRPr lang="lt-LT"/>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007D-B8EF-435C-8D5E-FA300F39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8303</Words>
  <Characters>4733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Sveikata</cp:lastModifiedBy>
  <cp:revision>16</cp:revision>
  <dcterms:created xsi:type="dcterms:W3CDTF">2020-01-16T16:45:00Z</dcterms:created>
  <dcterms:modified xsi:type="dcterms:W3CDTF">2020-02-05T10:18:00Z</dcterms:modified>
</cp:coreProperties>
</file>