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61" w:rsidRDefault="00AE2461"/>
    <w:tbl>
      <w:tblPr>
        <w:tblpPr w:leftFromText="180" w:rightFromText="180" w:vertAnchor="text" w:horzAnchor="margin" w:tblpXSpec="center" w:tblpY="-454"/>
        <w:tblW w:w="10260" w:type="dxa"/>
        <w:tblBorders>
          <w:bottom w:val="single" w:sz="4" w:space="0" w:color="auto"/>
        </w:tblBorders>
        <w:tblLayout w:type="fixed"/>
        <w:tblLook w:val="01E0" w:firstRow="1" w:lastRow="1" w:firstColumn="1" w:lastColumn="1" w:noHBand="0" w:noVBand="0"/>
      </w:tblPr>
      <w:tblGrid>
        <w:gridCol w:w="10260"/>
      </w:tblGrid>
      <w:tr w:rsidR="00AE2461" w:rsidRPr="004B4602" w:rsidTr="00932D82">
        <w:tc>
          <w:tcPr>
            <w:tcW w:w="10260" w:type="dxa"/>
          </w:tcPr>
          <w:p w:rsidR="00AE2461" w:rsidRPr="004B4602" w:rsidRDefault="00AE2461" w:rsidP="00932D82">
            <w:pPr>
              <w:spacing w:after="0" w:line="240" w:lineRule="auto"/>
              <w:jc w:val="center"/>
              <w:rPr>
                <w:rFonts w:ascii="Times New Roman" w:hAnsi="Times New Roman"/>
                <w:b/>
                <w:color w:val="000000"/>
                <w:sz w:val="28"/>
                <w:szCs w:val="28"/>
                <w:lang w:eastAsia="lt-LT"/>
              </w:rPr>
            </w:pPr>
            <w:r w:rsidRPr="004B4602">
              <w:rPr>
                <w:rFonts w:ascii="Times New Roman" w:hAnsi="Times New Roman"/>
                <w:b/>
                <w:sz w:val="28"/>
                <w:szCs w:val="28"/>
                <w:lang w:eastAsia="lt-LT"/>
              </w:rPr>
              <w:t xml:space="preserve">PLUNGĖS RAJONO </w:t>
            </w:r>
            <w:r w:rsidRPr="004B4602">
              <w:rPr>
                <w:rFonts w:ascii="Times New Roman" w:hAnsi="Times New Roman"/>
                <w:b/>
                <w:color w:val="000000"/>
                <w:sz w:val="28"/>
                <w:szCs w:val="28"/>
                <w:lang w:eastAsia="lt-LT"/>
              </w:rPr>
              <w:t>SAVIVALDYBĖS</w:t>
            </w:r>
          </w:p>
          <w:p w:rsidR="00AE2461" w:rsidRPr="004B4602" w:rsidRDefault="00AE2461" w:rsidP="00932D82">
            <w:pPr>
              <w:tabs>
                <w:tab w:val="left" w:pos="3420"/>
              </w:tabs>
              <w:spacing w:after="0" w:line="240" w:lineRule="auto"/>
              <w:jc w:val="center"/>
              <w:rPr>
                <w:rFonts w:ascii="Times New Roman" w:eastAsia="Times New Roman" w:hAnsi="Times New Roman"/>
                <w:b/>
                <w:bCs/>
                <w:sz w:val="28"/>
                <w:szCs w:val="28"/>
                <w:lang w:eastAsia="lt-LT"/>
              </w:rPr>
            </w:pPr>
            <w:r w:rsidRPr="004B4602">
              <w:rPr>
                <w:rFonts w:ascii="Times New Roman" w:eastAsia="Times New Roman" w:hAnsi="Times New Roman"/>
                <w:b/>
                <w:bCs/>
                <w:sz w:val="28"/>
                <w:szCs w:val="28"/>
                <w:lang w:eastAsia="lt-LT"/>
              </w:rPr>
              <w:t>VISUOMENĖS SVEIKATOS BIURAS</w:t>
            </w:r>
          </w:p>
          <w:p w:rsidR="00AE2461" w:rsidRPr="004B4602" w:rsidRDefault="00AE2461" w:rsidP="00932D82">
            <w:pPr>
              <w:tabs>
                <w:tab w:val="left" w:pos="3420"/>
              </w:tabs>
              <w:spacing w:after="0" w:line="240" w:lineRule="auto"/>
              <w:jc w:val="center"/>
              <w:rPr>
                <w:rFonts w:ascii="Times New Roman" w:eastAsia="Times New Roman" w:hAnsi="Times New Roman"/>
                <w:sz w:val="18"/>
                <w:szCs w:val="18"/>
                <w:lang w:val="de-DE"/>
              </w:rPr>
            </w:pPr>
          </w:p>
          <w:p w:rsidR="00AE2461" w:rsidRPr="004B4602" w:rsidRDefault="00AE2461" w:rsidP="00932D82">
            <w:pPr>
              <w:tabs>
                <w:tab w:val="left" w:pos="3420"/>
              </w:tabs>
              <w:spacing w:after="0" w:line="240" w:lineRule="auto"/>
              <w:jc w:val="center"/>
              <w:rPr>
                <w:rFonts w:ascii="Times New Roman" w:eastAsia="Times New Roman" w:hAnsi="Times New Roman"/>
                <w:sz w:val="18"/>
                <w:szCs w:val="18"/>
                <w:lang w:val="de-DE"/>
              </w:rPr>
            </w:pPr>
            <w:proofErr w:type="spellStart"/>
            <w:r w:rsidRPr="004B4602">
              <w:rPr>
                <w:rFonts w:ascii="Times New Roman" w:eastAsia="Times New Roman" w:hAnsi="Times New Roman"/>
                <w:sz w:val="18"/>
                <w:szCs w:val="18"/>
                <w:lang w:val="de-DE"/>
              </w:rPr>
              <w:t>Biudžetinė</w:t>
            </w:r>
            <w:proofErr w:type="spellEnd"/>
            <w:r w:rsidRPr="004B4602">
              <w:rPr>
                <w:rFonts w:ascii="Times New Roman" w:eastAsia="Times New Roman" w:hAnsi="Times New Roman"/>
                <w:sz w:val="18"/>
                <w:szCs w:val="18"/>
                <w:lang w:val="de-DE"/>
              </w:rPr>
              <w:t xml:space="preserve"> </w:t>
            </w:r>
            <w:proofErr w:type="spellStart"/>
            <w:r w:rsidRPr="004B4602">
              <w:rPr>
                <w:rFonts w:ascii="Times New Roman" w:eastAsia="Times New Roman" w:hAnsi="Times New Roman"/>
                <w:sz w:val="18"/>
                <w:szCs w:val="18"/>
                <w:lang w:val="de-DE"/>
              </w:rPr>
              <w:t>įstaiga</w:t>
            </w:r>
            <w:proofErr w:type="spellEnd"/>
            <w:r w:rsidRPr="004B4602">
              <w:rPr>
                <w:rFonts w:ascii="Times New Roman" w:eastAsia="Times New Roman" w:hAnsi="Times New Roman"/>
                <w:sz w:val="18"/>
                <w:szCs w:val="18"/>
                <w:lang w:val="de-DE"/>
              </w:rPr>
              <w:t>, J</w:t>
            </w:r>
            <w:r w:rsidRPr="004B4602">
              <w:rPr>
                <w:rFonts w:ascii="Times New Roman" w:eastAsia="Times New Roman" w:hAnsi="Times New Roman"/>
                <w:sz w:val="18"/>
                <w:szCs w:val="18"/>
              </w:rPr>
              <w:t>. Tumo-Vaižganto 93-2, 90143 Plungė,</w:t>
            </w:r>
            <w:r w:rsidRPr="004B4602">
              <w:rPr>
                <w:rFonts w:ascii="Times New Roman" w:eastAsia="Times New Roman" w:hAnsi="Times New Roman"/>
                <w:sz w:val="18"/>
                <w:szCs w:val="18"/>
                <w:lang w:val="de-DE"/>
              </w:rPr>
              <w:t xml:space="preserve"> tel. (8 448) 52034, </w:t>
            </w:r>
            <w:proofErr w:type="spellStart"/>
            <w:r w:rsidRPr="004B4602">
              <w:rPr>
                <w:rFonts w:ascii="Times New Roman" w:eastAsia="Times New Roman" w:hAnsi="Times New Roman"/>
                <w:sz w:val="18"/>
                <w:szCs w:val="18"/>
                <w:lang w:val="de-DE"/>
              </w:rPr>
              <w:t>el</w:t>
            </w:r>
            <w:proofErr w:type="spellEnd"/>
            <w:r w:rsidRPr="004B4602">
              <w:rPr>
                <w:rFonts w:ascii="Times New Roman" w:eastAsia="Times New Roman" w:hAnsi="Times New Roman"/>
                <w:sz w:val="18"/>
                <w:szCs w:val="18"/>
                <w:lang w:val="de-DE"/>
              </w:rPr>
              <w:t xml:space="preserve">. p. </w:t>
            </w:r>
            <w:hyperlink r:id="rId9" w:history="1">
              <w:r w:rsidRPr="004B4602">
                <w:rPr>
                  <w:rFonts w:ascii="Times New Roman" w:eastAsia="Times New Roman" w:hAnsi="Times New Roman"/>
                  <w:color w:val="0000FF"/>
                  <w:sz w:val="18"/>
                  <w:szCs w:val="18"/>
                  <w:u w:val="single"/>
                </w:rPr>
                <w:t>vsbiuras</w:t>
              </w:r>
            </w:hyperlink>
            <w:r w:rsidRPr="004B4602">
              <w:rPr>
                <w:rFonts w:ascii="Times New Roman" w:eastAsia="Times New Roman" w:hAnsi="Times New Roman"/>
                <w:color w:val="0000FF"/>
                <w:sz w:val="18"/>
                <w:szCs w:val="18"/>
                <w:u w:val="single"/>
              </w:rPr>
              <w:t>@plunge.lt</w:t>
            </w:r>
            <w:r w:rsidRPr="004B4602">
              <w:rPr>
                <w:rFonts w:ascii="Times New Roman" w:eastAsia="Times New Roman" w:hAnsi="Times New Roman"/>
                <w:sz w:val="18"/>
                <w:szCs w:val="18"/>
                <w:lang w:val="de-DE"/>
              </w:rPr>
              <w:t>.</w:t>
            </w:r>
          </w:p>
        </w:tc>
      </w:tr>
      <w:tr w:rsidR="00AE2461" w:rsidRPr="004B4602" w:rsidTr="00932D82">
        <w:tc>
          <w:tcPr>
            <w:tcW w:w="10260" w:type="dxa"/>
          </w:tcPr>
          <w:p w:rsidR="00AE2461" w:rsidRPr="004B4602" w:rsidRDefault="00AE2461" w:rsidP="00932D82">
            <w:pPr>
              <w:tabs>
                <w:tab w:val="left" w:pos="3420"/>
              </w:tabs>
              <w:spacing w:after="0" w:line="240" w:lineRule="auto"/>
              <w:jc w:val="center"/>
              <w:rPr>
                <w:rFonts w:ascii="Times New Roman" w:eastAsia="Times New Roman" w:hAnsi="Times New Roman"/>
                <w:sz w:val="18"/>
                <w:szCs w:val="18"/>
                <w:lang w:val="de-DE"/>
              </w:rPr>
            </w:pPr>
            <w:proofErr w:type="spellStart"/>
            <w:r w:rsidRPr="004B4602">
              <w:rPr>
                <w:rFonts w:ascii="Times New Roman" w:eastAsia="Times New Roman" w:hAnsi="Times New Roman"/>
                <w:sz w:val="18"/>
                <w:szCs w:val="18"/>
                <w:lang w:val="de-DE"/>
              </w:rPr>
              <w:t>Duomenys</w:t>
            </w:r>
            <w:proofErr w:type="spellEnd"/>
            <w:r w:rsidRPr="004B4602">
              <w:rPr>
                <w:rFonts w:ascii="Times New Roman" w:eastAsia="Times New Roman" w:hAnsi="Times New Roman"/>
                <w:sz w:val="18"/>
                <w:szCs w:val="18"/>
                <w:lang w:val="de-DE"/>
              </w:rPr>
              <w:t xml:space="preserve"> </w:t>
            </w:r>
            <w:proofErr w:type="spellStart"/>
            <w:r w:rsidRPr="004B4602">
              <w:rPr>
                <w:rFonts w:ascii="Times New Roman" w:eastAsia="Times New Roman" w:hAnsi="Times New Roman"/>
                <w:sz w:val="18"/>
                <w:szCs w:val="18"/>
                <w:lang w:val="de-DE"/>
              </w:rPr>
              <w:t>kaupiami</w:t>
            </w:r>
            <w:proofErr w:type="spellEnd"/>
            <w:r w:rsidRPr="004B4602">
              <w:rPr>
                <w:rFonts w:ascii="Times New Roman" w:eastAsia="Times New Roman" w:hAnsi="Times New Roman"/>
                <w:sz w:val="18"/>
                <w:szCs w:val="18"/>
                <w:lang w:val="de-DE"/>
              </w:rPr>
              <w:t xml:space="preserve"> </w:t>
            </w:r>
            <w:proofErr w:type="spellStart"/>
            <w:r w:rsidRPr="004B4602">
              <w:rPr>
                <w:rFonts w:ascii="Times New Roman" w:eastAsia="Times New Roman" w:hAnsi="Times New Roman"/>
                <w:sz w:val="18"/>
                <w:szCs w:val="18"/>
                <w:lang w:val="de-DE"/>
              </w:rPr>
              <w:t>ir</w:t>
            </w:r>
            <w:proofErr w:type="spellEnd"/>
            <w:r w:rsidRPr="004B4602">
              <w:rPr>
                <w:rFonts w:ascii="Times New Roman" w:eastAsia="Times New Roman" w:hAnsi="Times New Roman"/>
                <w:sz w:val="18"/>
                <w:szCs w:val="18"/>
                <w:lang w:val="de-DE"/>
              </w:rPr>
              <w:t xml:space="preserve"> </w:t>
            </w:r>
            <w:proofErr w:type="spellStart"/>
            <w:r w:rsidRPr="004B4602">
              <w:rPr>
                <w:rFonts w:ascii="Times New Roman" w:eastAsia="Times New Roman" w:hAnsi="Times New Roman"/>
                <w:sz w:val="18"/>
                <w:szCs w:val="18"/>
                <w:lang w:val="de-DE"/>
              </w:rPr>
              <w:t>saugomi</w:t>
            </w:r>
            <w:proofErr w:type="spellEnd"/>
            <w:r w:rsidRPr="004B4602">
              <w:rPr>
                <w:rFonts w:ascii="Times New Roman" w:eastAsia="Times New Roman" w:hAnsi="Times New Roman"/>
                <w:sz w:val="18"/>
                <w:szCs w:val="18"/>
                <w:lang w:val="de-DE"/>
              </w:rPr>
              <w:t xml:space="preserve"> </w:t>
            </w:r>
            <w:proofErr w:type="spellStart"/>
            <w:r w:rsidRPr="004B4602">
              <w:rPr>
                <w:rFonts w:ascii="Times New Roman" w:eastAsia="Times New Roman" w:hAnsi="Times New Roman"/>
                <w:sz w:val="18"/>
                <w:szCs w:val="18"/>
                <w:lang w:val="de-DE"/>
              </w:rPr>
              <w:t>Juridinių</w:t>
            </w:r>
            <w:proofErr w:type="spellEnd"/>
            <w:r w:rsidRPr="004B4602">
              <w:rPr>
                <w:rFonts w:ascii="Times New Roman" w:eastAsia="Times New Roman" w:hAnsi="Times New Roman"/>
                <w:sz w:val="18"/>
                <w:szCs w:val="18"/>
                <w:lang w:val="de-DE"/>
              </w:rPr>
              <w:t xml:space="preserve"> </w:t>
            </w:r>
            <w:proofErr w:type="spellStart"/>
            <w:r w:rsidRPr="004B4602">
              <w:rPr>
                <w:rFonts w:ascii="Times New Roman" w:eastAsia="Times New Roman" w:hAnsi="Times New Roman"/>
                <w:sz w:val="18"/>
                <w:szCs w:val="18"/>
                <w:lang w:val="de-DE"/>
              </w:rPr>
              <w:t>asmenų</w:t>
            </w:r>
            <w:proofErr w:type="spellEnd"/>
            <w:r w:rsidRPr="004B4602">
              <w:rPr>
                <w:rFonts w:ascii="Times New Roman" w:eastAsia="Times New Roman" w:hAnsi="Times New Roman"/>
                <w:sz w:val="18"/>
                <w:szCs w:val="18"/>
                <w:lang w:val="de-DE"/>
              </w:rPr>
              <w:t xml:space="preserve"> </w:t>
            </w:r>
            <w:proofErr w:type="spellStart"/>
            <w:r w:rsidRPr="004B4602">
              <w:rPr>
                <w:rFonts w:ascii="Times New Roman" w:eastAsia="Times New Roman" w:hAnsi="Times New Roman"/>
                <w:sz w:val="18"/>
                <w:szCs w:val="18"/>
                <w:lang w:val="de-DE"/>
              </w:rPr>
              <w:t>registre</w:t>
            </w:r>
            <w:proofErr w:type="spellEnd"/>
            <w:r w:rsidRPr="004B4602">
              <w:rPr>
                <w:rFonts w:ascii="Times New Roman" w:eastAsia="Times New Roman" w:hAnsi="Times New Roman"/>
                <w:sz w:val="18"/>
                <w:szCs w:val="18"/>
                <w:lang w:val="de-DE"/>
              </w:rPr>
              <w:t xml:space="preserve">, </w:t>
            </w:r>
            <w:proofErr w:type="spellStart"/>
            <w:r w:rsidRPr="004B4602">
              <w:rPr>
                <w:rFonts w:ascii="Times New Roman" w:eastAsia="Times New Roman" w:hAnsi="Times New Roman"/>
                <w:sz w:val="18"/>
                <w:szCs w:val="18"/>
                <w:lang w:val="de-DE"/>
              </w:rPr>
              <w:t>kodas</w:t>
            </w:r>
            <w:proofErr w:type="spellEnd"/>
            <w:r w:rsidRPr="004B4602">
              <w:rPr>
                <w:rFonts w:ascii="Times New Roman" w:eastAsia="Times New Roman" w:hAnsi="Times New Roman"/>
                <w:sz w:val="18"/>
                <w:szCs w:val="18"/>
                <w:lang w:val="de-DE"/>
              </w:rPr>
              <w:t xml:space="preserve"> 302415311</w:t>
            </w:r>
          </w:p>
          <w:p w:rsidR="00AE2461" w:rsidRPr="004B4602" w:rsidRDefault="00AE2461" w:rsidP="00932D82">
            <w:pPr>
              <w:tabs>
                <w:tab w:val="left" w:pos="3420"/>
              </w:tabs>
              <w:spacing w:after="0" w:line="240" w:lineRule="auto"/>
              <w:jc w:val="center"/>
              <w:rPr>
                <w:rFonts w:ascii="Times New Roman" w:eastAsia="Times New Roman" w:hAnsi="Times New Roman"/>
                <w:sz w:val="18"/>
                <w:szCs w:val="18"/>
                <w:lang w:val="de-DE"/>
              </w:rPr>
            </w:pPr>
          </w:p>
        </w:tc>
      </w:tr>
    </w:tbl>
    <w:p w:rsidR="00AE2461" w:rsidRDefault="00AE2461" w:rsidP="00AE2461">
      <w:pPr>
        <w:tabs>
          <w:tab w:val="left" w:pos="3420"/>
        </w:tabs>
        <w:spacing w:after="0" w:line="240" w:lineRule="auto"/>
        <w:rPr>
          <w:rFonts w:ascii="Times New Roman" w:eastAsia="Times New Roman" w:hAnsi="Times New Roman"/>
          <w:b/>
          <w:bCs/>
          <w:sz w:val="28"/>
          <w:szCs w:val="28"/>
          <w:lang w:eastAsia="lt-LT"/>
        </w:rPr>
      </w:pPr>
    </w:p>
    <w:p w:rsidR="00AE2461" w:rsidRPr="00EE3427" w:rsidRDefault="00AE2461" w:rsidP="00AE2461">
      <w:pPr>
        <w:tabs>
          <w:tab w:val="left" w:pos="3420"/>
        </w:tabs>
        <w:spacing w:after="0" w:line="240" w:lineRule="auto"/>
        <w:jc w:val="center"/>
        <w:rPr>
          <w:rFonts w:ascii="Times New Roman" w:eastAsia="Times New Roman" w:hAnsi="Times New Roman"/>
          <w:b/>
          <w:bCs/>
          <w:sz w:val="28"/>
          <w:szCs w:val="28"/>
          <w:lang w:eastAsia="lt-LT"/>
        </w:rPr>
      </w:pPr>
    </w:p>
    <w:p w:rsidR="00AE2461" w:rsidRDefault="00AE2461" w:rsidP="00AE2461"/>
    <w:p w:rsidR="00AE2461" w:rsidRDefault="00AE2461" w:rsidP="00AE2461"/>
    <w:p w:rsidR="00AE2461" w:rsidRDefault="00AE2461" w:rsidP="00AE2461"/>
    <w:p w:rsidR="00AE2461" w:rsidRDefault="00AE2461" w:rsidP="00AE2461"/>
    <w:p w:rsidR="00AE2461" w:rsidRDefault="00AE2461" w:rsidP="00AE2461"/>
    <w:p w:rsidR="00AE2461" w:rsidRDefault="00AE2461" w:rsidP="00AE2461"/>
    <w:p w:rsidR="00AE2461" w:rsidRDefault="00AE2461" w:rsidP="00AE2461"/>
    <w:p w:rsidR="00AE2461" w:rsidRDefault="00AE2461" w:rsidP="00AE2461"/>
    <w:p w:rsidR="00AE2461" w:rsidRPr="00231C3A" w:rsidRDefault="00AE2461" w:rsidP="00AE2461">
      <w:pPr>
        <w:spacing w:after="0" w:line="240" w:lineRule="auto"/>
        <w:jc w:val="center"/>
        <w:rPr>
          <w:rFonts w:ascii="Times New Roman" w:eastAsia="Times New Roman" w:hAnsi="Times New Roman"/>
          <w:b/>
          <w:bCs/>
          <w:sz w:val="32"/>
          <w:szCs w:val="32"/>
          <w:lang w:eastAsia="lt-LT"/>
        </w:rPr>
      </w:pPr>
      <w:r>
        <w:rPr>
          <w:rFonts w:ascii="Times New Roman" w:eastAsia="Times New Roman" w:hAnsi="Times New Roman"/>
          <w:b/>
          <w:bCs/>
          <w:sz w:val="32"/>
          <w:szCs w:val="32"/>
          <w:lang w:eastAsia="lt-LT"/>
        </w:rPr>
        <w:t>Plungės rajono ikimokyklines ugdymo įstaigas lankančių vaikų</w:t>
      </w:r>
      <w:r w:rsidRPr="00231C3A">
        <w:rPr>
          <w:rFonts w:ascii="Times New Roman" w:eastAsia="Times New Roman" w:hAnsi="Times New Roman"/>
          <w:b/>
          <w:bCs/>
          <w:sz w:val="32"/>
          <w:szCs w:val="32"/>
          <w:lang w:eastAsia="lt-LT"/>
        </w:rPr>
        <w:t xml:space="preserve"> profilaktinių sveikatos patikrinimų duomenų analizė</w:t>
      </w:r>
    </w:p>
    <w:p w:rsidR="00AE2461" w:rsidRPr="00231C3A" w:rsidRDefault="00677BDA" w:rsidP="00AE2461">
      <w:pPr>
        <w:spacing w:after="0" w:line="240" w:lineRule="auto"/>
        <w:jc w:val="center"/>
        <w:rPr>
          <w:rFonts w:ascii="Times New Roman" w:eastAsia="Times New Roman" w:hAnsi="Times New Roman"/>
          <w:b/>
          <w:bCs/>
          <w:sz w:val="32"/>
          <w:szCs w:val="32"/>
          <w:lang w:eastAsia="lt-LT"/>
        </w:rPr>
      </w:pPr>
      <w:r>
        <w:rPr>
          <w:rFonts w:ascii="Times New Roman" w:eastAsia="Times New Roman" w:hAnsi="Times New Roman"/>
          <w:b/>
          <w:bCs/>
          <w:sz w:val="32"/>
          <w:szCs w:val="32"/>
          <w:lang w:eastAsia="lt-LT"/>
        </w:rPr>
        <w:t>2019/2020</w:t>
      </w:r>
      <w:r w:rsidR="00AE2461" w:rsidRPr="00231C3A">
        <w:rPr>
          <w:rFonts w:ascii="Times New Roman" w:eastAsia="Times New Roman" w:hAnsi="Times New Roman"/>
          <w:b/>
          <w:bCs/>
          <w:sz w:val="32"/>
          <w:szCs w:val="32"/>
          <w:lang w:eastAsia="lt-LT"/>
        </w:rPr>
        <w:t xml:space="preserve"> m.</w:t>
      </w:r>
      <w:r w:rsidR="00AE2461">
        <w:rPr>
          <w:rFonts w:ascii="Times New Roman" w:eastAsia="Times New Roman" w:hAnsi="Times New Roman"/>
          <w:b/>
          <w:bCs/>
          <w:sz w:val="32"/>
          <w:szCs w:val="32"/>
          <w:lang w:eastAsia="lt-LT"/>
        </w:rPr>
        <w:t xml:space="preserve"> </w:t>
      </w:r>
      <w:r w:rsidR="00AE2461" w:rsidRPr="00231C3A">
        <w:rPr>
          <w:rFonts w:ascii="Times New Roman" w:eastAsia="Times New Roman" w:hAnsi="Times New Roman"/>
          <w:b/>
          <w:bCs/>
          <w:sz w:val="32"/>
          <w:szCs w:val="32"/>
          <w:lang w:eastAsia="lt-LT"/>
        </w:rPr>
        <w:t>m.</w:t>
      </w:r>
    </w:p>
    <w:p w:rsidR="00AE2461" w:rsidRDefault="00AE2461" w:rsidP="00AE2461">
      <w:pPr>
        <w:jc w:val="center"/>
      </w:pPr>
    </w:p>
    <w:p w:rsidR="00AE2461" w:rsidRPr="00231C3A" w:rsidRDefault="00AE2461" w:rsidP="00AE2461">
      <w:pPr>
        <w:spacing w:after="0" w:line="240" w:lineRule="auto"/>
        <w:jc w:val="center"/>
        <w:rPr>
          <w:rFonts w:ascii="Times New Roman" w:eastAsia="Times New Roman" w:hAnsi="Times New Roman"/>
          <w:b/>
          <w:sz w:val="24"/>
          <w:szCs w:val="24"/>
          <w:lang w:eastAsia="lt-LT"/>
        </w:rPr>
      </w:pPr>
      <w:r w:rsidRPr="00231C3A">
        <w:rPr>
          <w:rFonts w:ascii="Times New Roman" w:eastAsia="Times New Roman" w:hAnsi="Times New Roman"/>
          <w:b/>
          <w:sz w:val="24"/>
          <w:szCs w:val="24"/>
          <w:lang w:eastAsia="lt-LT"/>
        </w:rPr>
        <w:t xml:space="preserve">Nr. </w:t>
      </w:r>
      <w:r>
        <w:rPr>
          <w:rFonts w:ascii="Times New Roman" w:eastAsia="Times New Roman" w:hAnsi="Times New Roman"/>
          <w:b/>
          <w:sz w:val="24"/>
          <w:szCs w:val="24"/>
          <w:lang w:eastAsia="lt-LT"/>
        </w:rPr>
        <w:t>AT</w:t>
      </w:r>
      <w:r w:rsidR="00677BDA">
        <w:rPr>
          <w:rFonts w:ascii="Times New Roman" w:eastAsia="Times New Roman" w:hAnsi="Times New Roman"/>
          <w:b/>
          <w:sz w:val="24"/>
          <w:szCs w:val="24"/>
          <w:lang w:eastAsia="lt-LT"/>
        </w:rPr>
        <w:t xml:space="preserve"> 101138</w:t>
      </w:r>
    </w:p>
    <w:p w:rsidR="00AE2461" w:rsidRDefault="00AE2461" w:rsidP="00AE2461">
      <w:pPr>
        <w:jc w:val="center"/>
      </w:pPr>
    </w:p>
    <w:p w:rsidR="00AE2461" w:rsidRPr="00231C3A" w:rsidRDefault="00AE2461" w:rsidP="00AE2461"/>
    <w:p w:rsidR="00AE2461" w:rsidRPr="00231C3A" w:rsidRDefault="00AE2461" w:rsidP="00AE2461"/>
    <w:p w:rsidR="00AE2461" w:rsidRPr="00231C3A" w:rsidRDefault="00AE2461" w:rsidP="00AE2461"/>
    <w:p w:rsidR="00AE2461" w:rsidRPr="00231C3A" w:rsidRDefault="00AE2461" w:rsidP="00AE2461"/>
    <w:p w:rsidR="00AE2461" w:rsidRPr="00231C3A" w:rsidRDefault="00AE2461" w:rsidP="00AE2461"/>
    <w:p w:rsidR="00AE2461" w:rsidRPr="00231C3A" w:rsidRDefault="00AE2461" w:rsidP="00AE2461"/>
    <w:p w:rsidR="00AE2461" w:rsidRPr="00231C3A" w:rsidRDefault="00AE2461" w:rsidP="00AE2461"/>
    <w:p w:rsidR="00AE2461" w:rsidRDefault="00AE2461" w:rsidP="00AE2461"/>
    <w:p w:rsidR="00AE2461" w:rsidRPr="003837B7" w:rsidRDefault="00677BDA" w:rsidP="003837B7">
      <w:pPr>
        <w:jc w:val="center"/>
        <w:rPr>
          <w:rFonts w:ascii="Times New Roman" w:hAnsi="Times New Roman"/>
          <w:b/>
          <w:sz w:val="24"/>
          <w:szCs w:val="24"/>
        </w:rPr>
      </w:pPr>
      <w:r>
        <w:rPr>
          <w:rFonts w:ascii="Times New Roman" w:hAnsi="Times New Roman"/>
          <w:b/>
          <w:sz w:val="24"/>
          <w:szCs w:val="24"/>
        </w:rPr>
        <w:t>Plungė, 2019</w:t>
      </w:r>
    </w:p>
    <w:p w:rsidR="00AE2461" w:rsidRDefault="00AE2461" w:rsidP="00AE2461">
      <w:pPr>
        <w:spacing w:after="0" w:line="240" w:lineRule="auto"/>
        <w:jc w:val="center"/>
        <w:rPr>
          <w:rFonts w:ascii="Times New Roman" w:eastAsia="Times New Roman" w:hAnsi="Times New Roman"/>
          <w:b/>
          <w:sz w:val="24"/>
          <w:szCs w:val="24"/>
          <w:lang w:eastAsia="lt-LT"/>
        </w:rPr>
      </w:pPr>
    </w:p>
    <w:p w:rsidR="00AE2461" w:rsidRDefault="00AE2461" w:rsidP="003837B7">
      <w:pPr>
        <w:spacing w:after="0"/>
        <w:ind w:firstLine="1134"/>
        <w:jc w:val="both"/>
        <w:rPr>
          <w:rFonts w:ascii="Times New Roman" w:eastAsia="Times New Roman" w:hAnsi="Times New Roman"/>
          <w:sz w:val="24"/>
          <w:szCs w:val="24"/>
          <w:lang w:eastAsia="lt-LT"/>
        </w:rPr>
      </w:pPr>
      <w:r w:rsidRPr="00EA36D0">
        <w:rPr>
          <w:rFonts w:ascii="Times New Roman" w:eastAsia="Times New Roman" w:hAnsi="Times New Roman"/>
          <w:sz w:val="24"/>
          <w:szCs w:val="24"/>
          <w:lang w:eastAsia="lt-LT"/>
        </w:rPr>
        <w:t>Vaikystė – tai  gyvenimo  tarpsnis, kai  formuojasi  fiziniai  ir  intelektiniai  geb</w:t>
      </w:r>
      <w:r>
        <w:rPr>
          <w:rFonts w:ascii="Times New Roman" w:eastAsia="Times New Roman" w:hAnsi="Times New Roman"/>
          <w:sz w:val="24"/>
          <w:szCs w:val="24"/>
          <w:lang w:eastAsia="lt-LT"/>
        </w:rPr>
        <w:t>ėjimai, sveikos gyvensenos įgūdž</w:t>
      </w:r>
      <w:r w:rsidRPr="00EA36D0">
        <w:rPr>
          <w:rFonts w:ascii="Times New Roman" w:eastAsia="Times New Roman" w:hAnsi="Times New Roman"/>
          <w:sz w:val="24"/>
          <w:szCs w:val="24"/>
          <w:lang w:eastAsia="lt-LT"/>
        </w:rPr>
        <w:t xml:space="preserve">iai. Ikimokyklinio ugdymo įstaigos – vienos iš svarbiausių institucijų ugdant, saugant ir stiprinant vaikų sveikatą.  </w:t>
      </w:r>
    </w:p>
    <w:p w:rsidR="00AE2461" w:rsidRDefault="00AE2461" w:rsidP="003837B7">
      <w:pPr>
        <w:spacing w:after="0"/>
        <w:ind w:firstLine="1134"/>
        <w:jc w:val="both"/>
        <w:rPr>
          <w:rFonts w:ascii="Times New Roman" w:eastAsia="Times New Roman" w:hAnsi="Times New Roman"/>
          <w:sz w:val="24"/>
          <w:szCs w:val="24"/>
          <w:lang w:eastAsia="lt-LT"/>
        </w:rPr>
      </w:pPr>
      <w:r w:rsidRPr="00EA36D0">
        <w:rPr>
          <w:rFonts w:ascii="Times New Roman" w:eastAsia="Times New Roman" w:hAnsi="Times New Roman"/>
          <w:sz w:val="24"/>
          <w:szCs w:val="24"/>
          <w:lang w:eastAsia="lt-LT"/>
        </w:rPr>
        <w:t>Vadovaujantis Lietuvos Respublikos sveikatos apsaugos ministro 2010 m. balandžio 22 d. įsakymu, Nr. V-313 patvirtinta Lietuvos higienos norma HN 75:2010 ,,Įstaiga, vykdanti ikimokyklinio ir (ar) priešmokyklinio ugdymo programą. Bendrieji sveikatos saugos reikalavimai“  (TAR, 2014-06-13, Nr. 2014-07604), priimant vaiką į įstaigą ir vėliau kiekvienais metais turi būti pateiktas Vaiko sveikatos pažymėjimas (forma Nr. 027-1/a).</w:t>
      </w:r>
      <w:r>
        <w:rPr>
          <w:rFonts w:ascii="Times New Roman" w:eastAsia="Times New Roman" w:hAnsi="Times New Roman"/>
          <w:sz w:val="24"/>
          <w:szCs w:val="24"/>
          <w:lang w:eastAsia="lt-LT"/>
        </w:rPr>
        <w:t xml:space="preserve"> </w:t>
      </w:r>
      <w:r w:rsidRPr="00EA36D0">
        <w:rPr>
          <w:rFonts w:ascii="Times New Roman" w:eastAsia="Times New Roman" w:hAnsi="Times New Roman"/>
          <w:sz w:val="24"/>
          <w:szCs w:val="24"/>
          <w:lang w:eastAsia="lt-LT"/>
        </w:rPr>
        <w:t>Šioje apskaitos formoje privalo būti nurodyta vaiko  sveikatos  būklė:  kraujospūdis,  klausos,  regos,  kaulų  ir  raumenų,  kvėpavimo  ir  nervų sistemų  sutrikimus</w:t>
      </w:r>
      <w:r>
        <w:rPr>
          <w:rFonts w:ascii="Times New Roman" w:eastAsia="Times New Roman" w:hAnsi="Times New Roman"/>
          <w:sz w:val="24"/>
          <w:szCs w:val="24"/>
          <w:lang w:eastAsia="lt-LT"/>
        </w:rPr>
        <w:t>, burnos sveikatos būklę</w:t>
      </w:r>
      <w:r w:rsidRPr="00EA36D0">
        <w:rPr>
          <w:rFonts w:ascii="Times New Roman" w:eastAsia="Times New Roman" w:hAnsi="Times New Roman"/>
          <w:sz w:val="24"/>
          <w:szCs w:val="24"/>
          <w:lang w:eastAsia="lt-LT"/>
        </w:rPr>
        <w:t xml:space="preserve">.  Taip  pat  pateikiama  išvada  apie  moksleivio  fizinį  pasirengimą – jis priskiriamas  vienai  iš  trijų  fizinio  ugdymo  grupių.  Vykdant naują Lietuvos Respublikos sveikatos apsaugos ministro 2013 m. gegužės 16 d. įsakymą Nr. V-507 „Dėl  Lietuvos Respublikos sveikatos apsaugos ministro 2004 m. gruodžio 24 d. įsakymo Nr. V-951 „Dėl statistinės apskaitos formos Nr. 027-1/a  „Vaiko sveikatos pažymėjimas“ pakeitimo, vaiko sveikatos pažymėjimą taip pat turi užpildyti </w:t>
      </w:r>
      <w:proofErr w:type="spellStart"/>
      <w:r w:rsidRPr="00EA36D0">
        <w:rPr>
          <w:rFonts w:ascii="Times New Roman" w:eastAsia="Times New Roman" w:hAnsi="Times New Roman"/>
          <w:sz w:val="24"/>
          <w:szCs w:val="24"/>
          <w:lang w:eastAsia="lt-LT"/>
        </w:rPr>
        <w:t>odontologas</w:t>
      </w:r>
      <w:proofErr w:type="spellEnd"/>
      <w:r w:rsidRPr="00EA36D0">
        <w:rPr>
          <w:rFonts w:ascii="Times New Roman" w:eastAsia="Times New Roman" w:hAnsi="Times New Roman"/>
          <w:sz w:val="24"/>
          <w:szCs w:val="24"/>
          <w:lang w:eastAsia="lt-LT"/>
        </w:rPr>
        <w:t>, kuris privalo įrašyti vaiko dantų ir žandikaulio būklę.</w:t>
      </w:r>
    </w:p>
    <w:p w:rsidR="00AE2461" w:rsidRDefault="00AE2461" w:rsidP="003837B7">
      <w:pPr>
        <w:spacing w:after="0"/>
        <w:ind w:firstLine="1134"/>
        <w:jc w:val="both"/>
        <w:rPr>
          <w:rFonts w:ascii="Times New Roman" w:eastAsia="Times New Roman" w:hAnsi="Times New Roman"/>
          <w:sz w:val="24"/>
          <w:szCs w:val="24"/>
          <w:lang w:eastAsia="lt-LT"/>
        </w:rPr>
      </w:pPr>
      <w:r w:rsidRPr="00A8503B">
        <w:rPr>
          <w:rFonts w:ascii="Times New Roman" w:eastAsia="Times New Roman" w:hAnsi="Times New Roman"/>
          <w:sz w:val="24"/>
          <w:szCs w:val="24"/>
          <w:lang w:eastAsia="lt-LT"/>
        </w:rPr>
        <w:t xml:space="preserve">Duomenys apie vaikų vystymosi sutrikimus ir sergamumą yra teikiami  Plungės rajono savivaldybės visuomenės sveikatos biurui, kuris vykdo vieną iš savo funkcijų – visuomenės sveikatos </w:t>
      </w:r>
      <w:proofErr w:type="spellStart"/>
      <w:r w:rsidRPr="00A8503B">
        <w:rPr>
          <w:rFonts w:ascii="Times New Roman" w:eastAsia="Times New Roman" w:hAnsi="Times New Roman"/>
          <w:sz w:val="24"/>
          <w:szCs w:val="24"/>
          <w:lang w:eastAsia="lt-LT"/>
        </w:rPr>
        <w:t>stebėseną</w:t>
      </w:r>
      <w:proofErr w:type="spellEnd"/>
      <w:r w:rsidRPr="00A8503B">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Pagal visuomenės sveikatos priež</w:t>
      </w:r>
      <w:r w:rsidRPr="00A8503B">
        <w:rPr>
          <w:rFonts w:ascii="Times New Roman" w:eastAsia="Times New Roman" w:hAnsi="Times New Roman"/>
          <w:sz w:val="24"/>
          <w:szCs w:val="24"/>
          <w:lang w:eastAsia="lt-LT"/>
        </w:rPr>
        <w:t>iūros specialisčių pateiktus  duomenis  yra atliekama vaikų sergamumo analizė, kuri padeda kryptingai planuot</w:t>
      </w:r>
      <w:r>
        <w:rPr>
          <w:rFonts w:ascii="Times New Roman" w:eastAsia="Times New Roman" w:hAnsi="Times New Roman"/>
          <w:sz w:val="24"/>
          <w:szCs w:val="24"/>
          <w:lang w:eastAsia="lt-LT"/>
        </w:rPr>
        <w:t>i ir įgyvendinti sveikatos priež</w:t>
      </w:r>
      <w:r w:rsidRPr="00A8503B">
        <w:rPr>
          <w:rFonts w:ascii="Times New Roman" w:eastAsia="Times New Roman" w:hAnsi="Times New Roman"/>
          <w:sz w:val="24"/>
          <w:szCs w:val="24"/>
          <w:lang w:eastAsia="lt-LT"/>
        </w:rPr>
        <w:t xml:space="preserve">iūrą įstaigoje, organizuoti ir įgyvendinti priemones, susijusias su ligų ir traumų profilaktika. Visuomenės sveikatos specialistams ir administracijos darbuotojams informacija apie moksleivių sveikatą parodo, kokios mokinių sveikatos problemos vyrauja jų ugdymo įstaigoje, o tai gali tapti svariu motyvu inicijuoti sveikatos stiprinimo priemonių jų ugdymo įstaigoje įgyvendinimą. Privalomas mokinių sveikatos patikrinimas yra labai svarbus, nes padeda laiku nustatyti sveikatos  sutrikimus  ir  ligas,  taip  pat  padeda  išvengti  didesnių  mokinių sveikatos  sutrikimų ugdymo proceso metu. </w:t>
      </w:r>
    </w:p>
    <w:p w:rsidR="00AE2461" w:rsidRDefault="00AE2461" w:rsidP="003837B7">
      <w:pPr>
        <w:spacing w:after="0"/>
        <w:ind w:firstLine="1134"/>
        <w:jc w:val="both"/>
        <w:rPr>
          <w:rFonts w:ascii="Times New Roman" w:eastAsia="Times New Roman" w:hAnsi="Times New Roman"/>
          <w:sz w:val="24"/>
          <w:szCs w:val="24"/>
          <w:lang w:eastAsia="lt-LT"/>
        </w:rPr>
      </w:pPr>
      <w:r w:rsidRPr="00A8503B">
        <w:rPr>
          <w:rFonts w:ascii="Times New Roman" w:eastAsia="Times New Roman" w:hAnsi="Times New Roman"/>
          <w:sz w:val="24"/>
          <w:szCs w:val="24"/>
          <w:lang w:eastAsia="lt-LT"/>
        </w:rPr>
        <w:t>Ikimokyklines ugdymo įstaigas lankančių vaikų profilaktinių sveikatos patikrinimų duomenys nuo 2015 m. bus saugomi Plungės rajono savivaldybės visuomenės sveikatos biure.</w:t>
      </w:r>
      <w:r>
        <w:rPr>
          <w:rFonts w:ascii="Times New Roman" w:eastAsia="Times New Roman" w:hAnsi="Times New Roman"/>
          <w:sz w:val="24"/>
          <w:szCs w:val="24"/>
          <w:lang w:eastAsia="lt-LT"/>
        </w:rPr>
        <w:t xml:space="preserve"> </w:t>
      </w:r>
      <w:r w:rsidRPr="00A8503B">
        <w:rPr>
          <w:rFonts w:ascii="Times New Roman" w:eastAsia="Times New Roman" w:hAnsi="Times New Roman"/>
          <w:sz w:val="24"/>
          <w:szCs w:val="24"/>
          <w:lang w:eastAsia="lt-LT"/>
        </w:rPr>
        <w:t xml:space="preserve">Šie duomenys kasmet analizuojami, vertinami, lyginami, stebima jų kitimo tendencija, o gauti rezultatai pateikiami bendruomenei, </w:t>
      </w:r>
      <w:r>
        <w:rPr>
          <w:rFonts w:ascii="Times New Roman" w:eastAsia="Times New Roman" w:hAnsi="Times New Roman"/>
          <w:sz w:val="24"/>
          <w:szCs w:val="24"/>
          <w:lang w:eastAsia="lt-LT"/>
        </w:rPr>
        <w:t>Plungės</w:t>
      </w:r>
      <w:r w:rsidRPr="00A8503B">
        <w:rPr>
          <w:rFonts w:ascii="Times New Roman" w:eastAsia="Times New Roman" w:hAnsi="Times New Roman"/>
          <w:sz w:val="24"/>
          <w:szCs w:val="24"/>
          <w:lang w:eastAsia="lt-LT"/>
        </w:rPr>
        <w:t xml:space="preserve"> rajono savivaldybės gydytojui bei kitoms suinteresuotoms institucijoms.</w:t>
      </w:r>
    </w:p>
    <w:p w:rsidR="00AE2461" w:rsidRDefault="00454C48" w:rsidP="003837B7">
      <w:pPr>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201</w:t>
      </w:r>
      <w:r w:rsidR="00677BDA">
        <w:rPr>
          <w:rFonts w:ascii="Times New Roman" w:eastAsia="Times New Roman" w:hAnsi="Times New Roman"/>
          <w:sz w:val="24"/>
          <w:szCs w:val="24"/>
          <w:lang w:eastAsia="lt-LT"/>
        </w:rPr>
        <w:t>9</w:t>
      </w:r>
      <w:r w:rsidR="00AE2461">
        <w:rPr>
          <w:rFonts w:ascii="Times New Roman" w:eastAsia="Times New Roman" w:hAnsi="Times New Roman"/>
          <w:sz w:val="24"/>
          <w:szCs w:val="24"/>
          <w:lang w:eastAsia="lt-LT"/>
        </w:rPr>
        <w:t xml:space="preserve"> m. Plungės rajono savivaldybėje veikė </w:t>
      </w:r>
      <w:r w:rsidR="00AE2461" w:rsidRPr="009F0F16">
        <w:rPr>
          <w:rFonts w:ascii="Times New Roman" w:eastAsia="Times New Roman" w:hAnsi="Times New Roman"/>
          <w:sz w:val="24"/>
          <w:szCs w:val="24"/>
          <w:lang w:eastAsia="lt-LT"/>
        </w:rPr>
        <w:t>1</w:t>
      </w:r>
      <w:r w:rsidR="00D656C5">
        <w:rPr>
          <w:rFonts w:ascii="Times New Roman" w:eastAsia="Times New Roman" w:hAnsi="Times New Roman"/>
          <w:sz w:val="24"/>
          <w:szCs w:val="24"/>
          <w:lang w:eastAsia="lt-LT"/>
        </w:rPr>
        <w:t>4</w:t>
      </w:r>
      <w:r w:rsidR="00AE2461" w:rsidRPr="005A304A">
        <w:rPr>
          <w:rFonts w:ascii="Times New Roman" w:eastAsia="Times New Roman" w:hAnsi="Times New Roman"/>
          <w:color w:val="FF0000"/>
          <w:sz w:val="24"/>
          <w:szCs w:val="24"/>
          <w:lang w:eastAsia="lt-LT"/>
        </w:rPr>
        <w:t xml:space="preserve"> </w:t>
      </w:r>
      <w:r w:rsidR="00AE2461">
        <w:rPr>
          <w:rFonts w:ascii="Times New Roman" w:eastAsia="Times New Roman" w:hAnsi="Times New Roman"/>
          <w:sz w:val="24"/>
          <w:szCs w:val="24"/>
          <w:lang w:eastAsia="lt-LT"/>
        </w:rPr>
        <w:t>ikimokyklinių ugdymo įstaigų.</w:t>
      </w:r>
      <w:r w:rsidR="00932D82">
        <w:rPr>
          <w:rFonts w:ascii="Times New Roman" w:eastAsia="Times New Roman" w:hAnsi="Times New Roman"/>
          <w:sz w:val="24"/>
          <w:szCs w:val="24"/>
          <w:lang w:eastAsia="lt-LT"/>
        </w:rPr>
        <w:t xml:space="preserve"> </w:t>
      </w:r>
      <w:r w:rsidR="00AE2461" w:rsidRPr="000501D7">
        <w:rPr>
          <w:rFonts w:ascii="Times New Roman" w:eastAsia="Times New Roman" w:hAnsi="Times New Roman"/>
          <w:sz w:val="24"/>
          <w:szCs w:val="24"/>
          <w:lang w:eastAsia="lt-LT"/>
        </w:rPr>
        <w:t>Pagal ikimokyklinio ugdymo įs</w:t>
      </w:r>
      <w:r w:rsidR="00AE2461">
        <w:rPr>
          <w:rFonts w:ascii="Times New Roman" w:eastAsia="Times New Roman" w:hAnsi="Times New Roman"/>
          <w:sz w:val="24"/>
          <w:szCs w:val="24"/>
          <w:lang w:eastAsia="lt-LT"/>
        </w:rPr>
        <w:t>taigų visuomenės sveikatos priež</w:t>
      </w:r>
      <w:r w:rsidR="00AE2461" w:rsidRPr="000501D7">
        <w:rPr>
          <w:rFonts w:ascii="Times New Roman" w:eastAsia="Times New Roman" w:hAnsi="Times New Roman"/>
          <w:sz w:val="24"/>
          <w:szCs w:val="24"/>
          <w:lang w:eastAsia="lt-LT"/>
        </w:rPr>
        <w:t>iūros specialistų pateiktus duomenis, Plungės rajono ik</w:t>
      </w:r>
      <w:r w:rsidR="00D656C5">
        <w:rPr>
          <w:rFonts w:ascii="Times New Roman" w:eastAsia="Times New Roman" w:hAnsi="Times New Roman"/>
          <w:sz w:val="24"/>
          <w:szCs w:val="24"/>
          <w:lang w:eastAsia="lt-LT"/>
        </w:rPr>
        <w:t>imokyklines ugdymo įstaigas 2019 - 2020</w:t>
      </w:r>
      <w:r w:rsidR="00AE2461" w:rsidRPr="000501D7">
        <w:rPr>
          <w:rFonts w:ascii="Times New Roman" w:eastAsia="Times New Roman" w:hAnsi="Times New Roman"/>
          <w:sz w:val="24"/>
          <w:szCs w:val="24"/>
          <w:lang w:eastAsia="lt-LT"/>
        </w:rPr>
        <w:t xml:space="preserve"> mokslo metai</w:t>
      </w:r>
      <w:r w:rsidR="00AE2461">
        <w:rPr>
          <w:rFonts w:ascii="Times New Roman" w:eastAsia="Times New Roman" w:hAnsi="Times New Roman"/>
          <w:sz w:val="24"/>
          <w:szCs w:val="24"/>
          <w:lang w:eastAsia="lt-LT"/>
        </w:rPr>
        <w:t xml:space="preserve">s lankė </w:t>
      </w:r>
      <w:r w:rsidR="00D656C5">
        <w:rPr>
          <w:rFonts w:ascii="Times New Roman" w:eastAsia="Times New Roman" w:hAnsi="Times New Roman"/>
          <w:sz w:val="24"/>
          <w:szCs w:val="24"/>
          <w:lang w:eastAsia="lt-LT"/>
        </w:rPr>
        <w:t>1 446</w:t>
      </w:r>
      <w:r w:rsidR="00AE2461" w:rsidRPr="00AE2461">
        <w:rPr>
          <w:rFonts w:ascii="Times New Roman" w:eastAsia="Times New Roman" w:hAnsi="Times New Roman"/>
          <w:color w:val="FF0000"/>
          <w:sz w:val="24"/>
          <w:szCs w:val="24"/>
          <w:lang w:eastAsia="lt-LT"/>
        </w:rPr>
        <w:t xml:space="preserve"> </w:t>
      </w:r>
      <w:r w:rsidR="00AE2461">
        <w:rPr>
          <w:rFonts w:ascii="Times New Roman" w:eastAsia="Times New Roman" w:hAnsi="Times New Roman"/>
          <w:sz w:val="24"/>
          <w:szCs w:val="24"/>
          <w:lang w:eastAsia="lt-LT"/>
        </w:rPr>
        <w:t>vaikai</w:t>
      </w:r>
      <w:r w:rsidR="00AE2461" w:rsidRPr="000501D7">
        <w:rPr>
          <w:rFonts w:ascii="Times New Roman" w:eastAsia="Times New Roman" w:hAnsi="Times New Roman"/>
          <w:sz w:val="24"/>
          <w:szCs w:val="24"/>
          <w:lang w:eastAsia="lt-LT"/>
        </w:rPr>
        <w:t>, iš jų profilakt</w:t>
      </w:r>
      <w:r w:rsidR="00AE2461">
        <w:rPr>
          <w:rFonts w:ascii="Times New Roman" w:eastAsia="Times New Roman" w:hAnsi="Times New Roman"/>
          <w:sz w:val="24"/>
          <w:szCs w:val="24"/>
          <w:lang w:eastAsia="lt-LT"/>
        </w:rPr>
        <w:t xml:space="preserve">iškai sveikatą pasitikrino </w:t>
      </w:r>
      <w:r w:rsidR="00D656C5">
        <w:rPr>
          <w:rFonts w:ascii="Times New Roman" w:eastAsia="Times New Roman" w:hAnsi="Times New Roman"/>
          <w:sz w:val="24"/>
          <w:szCs w:val="24"/>
          <w:lang w:eastAsia="lt-LT"/>
        </w:rPr>
        <w:t>1 421</w:t>
      </w:r>
      <w:r w:rsidR="00AE2461" w:rsidRPr="00AE2461">
        <w:rPr>
          <w:rFonts w:ascii="Times New Roman" w:eastAsia="Times New Roman" w:hAnsi="Times New Roman"/>
          <w:color w:val="FF0000"/>
          <w:sz w:val="24"/>
          <w:szCs w:val="24"/>
          <w:lang w:eastAsia="lt-LT"/>
        </w:rPr>
        <w:t xml:space="preserve"> </w:t>
      </w:r>
      <w:r w:rsidR="00D656C5">
        <w:rPr>
          <w:rFonts w:ascii="Times New Roman" w:eastAsia="Times New Roman" w:hAnsi="Times New Roman"/>
          <w:sz w:val="24"/>
          <w:szCs w:val="24"/>
          <w:lang w:eastAsia="lt-LT"/>
        </w:rPr>
        <w:t>vaikai, tai sudarė 98,3</w:t>
      </w:r>
      <w:r>
        <w:rPr>
          <w:rFonts w:ascii="Times New Roman" w:eastAsia="Times New Roman" w:hAnsi="Times New Roman"/>
          <w:sz w:val="24"/>
          <w:szCs w:val="24"/>
          <w:lang w:eastAsia="lt-LT"/>
        </w:rPr>
        <w:t xml:space="preserve"> proc. visų lankančių ugdymo įstaigas</w:t>
      </w:r>
      <w:r w:rsidR="00AE2461">
        <w:rPr>
          <w:rFonts w:ascii="Times New Roman" w:eastAsia="Times New Roman" w:hAnsi="Times New Roman"/>
          <w:sz w:val="24"/>
          <w:szCs w:val="24"/>
          <w:lang w:eastAsia="lt-LT"/>
        </w:rPr>
        <w:t xml:space="preserve"> </w:t>
      </w:r>
      <w:r w:rsidR="00D656C5">
        <w:rPr>
          <w:rFonts w:ascii="Times New Roman" w:eastAsia="Times New Roman" w:hAnsi="Times New Roman"/>
          <w:sz w:val="24"/>
          <w:szCs w:val="24"/>
          <w:lang w:eastAsia="lt-LT"/>
        </w:rPr>
        <w:t>(rugsėjo</w:t>
      </w:r>
      <w:r w:rsidR="009F0F16">
        <w:rPr>
          <w:rFonts w:ascii="Times New Roman" w:eastAsia="Times New Roman" w:hAnsi="Times New Roman"/>
          <w:sz w:val="24"/>
          <w:szCs w:val="24"/>
          <w:lang w:eastAsia="lt-LT"/>
        </w:rPr>
        <w:t xml:space="preserve"> </w:t>
      </w:r>
      <w:r w:rsidR="00D656C5">
        <w:rPr>
          <w:rFonts w:ascii="Times New Roman" w:eastAsia="Times New Roman" w:hAnsi="Times New Roman"/>
          <w:sz w:val="24"/>
          <w:szCs w:val="24"/>
          <w:lang w:eastAsia="lt-LT"/>
        </w:rPr>
        <w:t>2</w:t>
      </w:r>
      <w:r w:rsidR="009F0F16">
        <w:rPr>
          <w:rFonts w:ascii="Times New Roman" w:eastAsia="Times New Roman" w:hAnsi="Times New Roman"/>
          <w:sz w:val="24"/>
          <w:szCs w:val="24"/>
          <w:lang w:eastAsia="lt-LT"/>
        </w:rPr>
        <w:t xml:space="preserve">5 d. duomenys) </w:t>
      </w:r>
      <w:r w:rsidR="002F62B0">
        <w:rPr>
          <w:rFonts w:ascii="Times New Roman" w:eastAsia="Times New Roman" w:hAnsi="Times New Roman"/>
          <w:sz w:val="24"/>
          <w:szCs w:val="24"/>
          <w:lang w:eastAsia="lt-LT"/>
        </w:rPr>
        <w:t>(</w:t>
      </w:r>
      <w:r w:rsidR="009F0F16">
        <w:rPr>
          <w:rFonts w:ascii="Times New Roman" w:eastAsia="Times New Roman" w:hAnsi="Times New Roman"/>
          <w:sz w:val="24"/>
          <w:szCs w:val="24"/>
          <w:lang w:eastAsia="lt-LT"/>
        </w:rPr>
        <w:t>1</w:t>
      </w:r>
      <w:r w:rsidR="00AB3CB7">
        <w:rPr>
          <w:rFonts w:ascii="Times New Roman" w:eastAsia="Times New Roman" w:hAnsi="Times New Roman"/>
          <w:sz w:val="24"/>
          <w:szCs w:val="24"/>
          <w:lang w:eastAsia="lt-LT"/>
        </w:rPr>
        <w:t xml:space="preserve"> pav</w:t>
      </w:r>
      <w:r>
        <w:rPr>
          <w:rFonts w:ascii="Times New Roman" w:eastAsia="Times New Roman" w:hAnsi="Times New Roman"/>
          <w:sz w:val="24"/>
          <w:szCs w:val="24"/>
          <w:lang w:eastAsia="lt-LT"/>
        </w:rPr>
        <w:t>.</w:t>
      </w:r>
      <w:r w:rsidR="002F62B0">
        <w:rPr>
          <w:rFonts w:ascii="Times New Roman" w:eastAsia="Times New Roman" w:hAnsi="Times New Roman"/>
          <w:sz w:val="24"/>
          <w:szCs w:val="24"/>
          <w:lang w:eastAsia="lt-LT"/>
        </w:rPr>
        <w:t>)</w:t>
      </w:r>
    </w:p>
    <w:p w:rsidR="00454C48" w:rsidRDefault="00F345B6" w:rsidP="00F345B6">
      <w:pPr>
        <w:spacing w:after="0"/>
        <w:jc w:val="center"/>
        <w:rPr>
          <w:rFonts w:ascii="Times New Roman" w:eastAsia="Times New Roman" w:hAnsi="Times New Roman"/>
          <w:sz w:val="24"/>
          <w:szCs w:val="24"/>
          <w:lang w:eastAsia="lt-LT"/>
        </w:rPr>
      </w:pPr>
      <w:r>
        <w:rPr>
          <w:noProof/>
          <w:lang w:eastAsia="lt-LT"/>
        </w:rPr>
        <w:lastRenderedPageBreak/>
        <w:drawing>
          <wp:inline distT="0" distB="0" distL="0" distR="0" wp14:anchorId="2B927877" wp14:editId="2D242594">
            <wp:extent cx="5640404" cy="2435192"/>
            <wp:effectExtent l="0" t="0" r="0" b="381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2461" w:rsidRPr="00AB3CB7" w:rsidRDefault="00AB3CB7" w:rsidP="00AB3CB7">
      <w:pPr>
        <w:autoSpaceDE w:val="0"/>
        <w:autoSpaceDN w:val="0"/>
        <w:adjustRightInd w:val="0"/>
        <w:spacing w:after="0" w:line="240" w:lineRule="auto"/>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1 pav. Profilaktiškai sveikatą pasitikrinusių vaikų dalis proc. 201</w:t>
      </w:r>
      <w:r w:rsidR="00F345B6">
        <w:rPr>
          <w:rFonts w:ascii="Times New Roman" w:eastAsia="Times New Roman" w:hAnsi="Times New Roman"/>
          <w:b/>
          <w:bCs/>
          <w:sz w:val="24"/>
          <w:szCs w:val="24"/>
          <w:lang w:eastAsia="lt-LT"/>
        </w:rPr>
        <w:t>9/2020</w:t>
      </w:r>
      <w:r>
        <w:rPr>
          <w:rFonts w:ascii="Times New Roman" w:eastAsia="Times New Roman" w:hAnsi="Times New Roman"/>
          <w:b/>
          <w:bCs/>
          <w:sz w:val="24"/>
          <w:szCs w:val="24"/>
          <w:lang w:eastAsia="lt-LT"/>
        </w:rPr>
        <w:t xml:space="preserve"> m. m.</w:t>
      </w:r>
    </w:p>
    <w:p w:rsidR="00AE2461" w:rsidRDefault="00AE2461" w:rsidP="00AE2461">
      <w:pPr>
        <w:autoSpaceDE w:val="0"/>
        <w:autoSpaceDN w:val="0"/>
        <w:adjustRightInd w:val="0"/>
        <w:spacing w:after="0" w:line="240" w:lineRule="auto"/>
        <w:jc w:val="both"/>
        <w:rPr>
          <w:rFonts w:ascii="Times New Roman" w:eastAsia="Times New Roman" w:hAnsi="Times New Roman"/>
          <w:b/>
          <w:bCs/>
          <w:i/>
          <w:sz w:val="24"/>
          <w:szCs w:val="24"/>
          <w:lang w:eastAsia="lt-LT"/>
        </w:rPr>
      </w:pPr>
    </w:p>
    <w:p w:rsidR="00AE2461" w:rsidRDefault="00AE2461" w:rsidP="00AE2461">
      <w:pPr>
        <w:autoSpaceDE w:val="0"/>
        <w:autoSpaceDN w:val="0"/>
        <w:adjustRightInd w:val="0"/>
        <w:spacing w:after="0" w:line="240" w:lineRule="auto"/>
        <w:jc w:val="both"/>
        <w:rPr>
          <w:rFonts w:ascii="Times New Roman" w:eastAsia="Times New Roman" w:hAnsi="Times New Roman"/>
          <w:b/>
          <w:bCs/>
          <w:i/>
          <w:sz w:val="24"/>
          <w:szCs w:val="24"/>
          <w:lang w:eastAsia="lt-LT"/>
        </w:rPr>
      </w:pPr>
    </w:p>
    <w:p w:rsidR="00AE2461" w:rsidRPr="005E0DA1" w:rsidRDefault="00AE2461" w:rsidP="003837B7">
      <w:pPr>
        <w:autoSpaceDE w:val="0"/>
        <w:autoSpaceDN w:val="0"/>
        <w:adjustRightInd w:val="0"/>
        <w:spacing w:after="0" w:line="240" w:lineRule="auto"/>
        <w:ind w:firstLine="1134"/>
        <w:jc w:val="both"/>
        <w:rPr>
          <w:rFonts w:ascii="Times New Roman" w:eastAsia="Times New Roman" w:hAnsi="Times New Roman"/>
          <w:b/>
          <w:bCs/>
          <w:i/>
          <w:sz w:val="24"/>
          <w:szCs w:val="24"/>
          <w:lang w:eastAsia="lt-LT"/>
        </w:rPr>
      </w:pPr>
      <w:r w:rsidRPr="005E0DA1">
        <w:rPr>
          <w:rFonts w:ascii="Times New Roman" w:eastAsia="Times New Roman" w:hAnsi="Times New Roman"/>
          <w:b/>
          <w:bCs/>
          <w:i/>
          <w:sz w:val="24"/>
          <w:szCs w:val="24"/>
          <w:lang w:eastAsia="lt-LT"/>
        </w:rPr>
        <w:t>1 lentelė. Profilaktiškai sveikatą pasitikrinusių vaikų dalis pagal ik</w:t>
      </w:r>
      <w:r w:rsidR="005E75D0">
        <w:rPr>
          <w:rFonts w:ascii="Times New Roman" w:eastAsia="Times New Roman" w:hAnsi="Times New Roman"/>
          <w:b/>
          <w:bCs/>
          <w:i/>
          <w:sz w:val="24"/>
          <w:szCs w:val="24"/>
          <w:lang w:eastAsia="lt-LT"/>
        </w:rPr>
        <w:t>imokyklines ugdymo įstaigas 2019-2020</w:t>
      </w:r>
      <w:r w:rsidRPr="005E0DA1">
        <w:rPr>
          <w:rFonts w:ascii="Times New Roman" w:eastAsia="Times New Roman" w:hAnsi="Times New Roman"/>
          <w:b/>
          <w:bCs/>
          <w:i/>
          <w:sz w:val="24"/>
          <w:szCs w:val="24"/>
          <w:lang w:eastAsia="lt-LT"/>
        </w:rPr>
        <w:t xml:space="preserve"> m. m. (proc.)</w:t>
      </w:r>
    </w:p>
    <w:tbl>
      <w:tblPr>
        <w:tblW w:w="9835" w:type="dxa"/>
        <w:tblInd w:w="93" w:type="dxa"/>
        <w:tblLook w:val="04A0" w:firstRow="1" w:lastRow="0" w:firstColumn="1" w:lastColumn="0" w:noHBand="0" w:noVBand="1"/>
      </w:tblPr>
      <w:tblGrid>
        <w:gridCol w:w="867"/>
        <w:gridCol w:w="3560"/>
        <w:gridCol w:w="1391"/>
        <w:gridCol w:w="1934"/>
        <w:gridCol w:w="2083"/>
      </w:tblGrid>
      <w:tr w:rsidR="00AE2461" w:rsidRPr="00273C0D" w:rsidTr="00932D82">
        <w:trPr>
          <w:trHeight w:val="44"/>
        </w:trPr>
        <w:tc>
          <w:tcPr>
            <w:tcW w:w="8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2461" w:rsidRPr="00273C0D" w:rsidRDefault="00AE2461" w:rsidP="00932D82">
            <w:pPr>
              <w:spacing w:after="0" w:line="240" w:lineRule="auto"/>
              <w:jc w:val="center"/>
              <w:rPr>
                <w:rFonts w:ascii="Times New Roman" w:eastAsia="Times New Roman" w:hAnsi="Times New Roman"/>
                <w:b/>
                <w:bCs/>
                <w:color w:val="000000"/>
                <w:lang w:eastAsia="lt-LT"/>
              </w:rPr>
            </w:pPr>
            <w:r w:rsidRPr="00273C0D">
              <w:rPr>
                <w:rFonts w:ascii="Times New Roman" w:eastAsia="Times New Roman" w:hAnsi="Times New Roman"/>
                <w:b/>
                <w:bCs/>
                <w:color w:val="000000"/>
                <w:lang w:eastAsia="lt-LT"/>
              </w:rPr>
              <w:t>Eil. Nr.</w:t>
            </w:r>
          </w:p>
        </w:tc>
        <w:tc>
          <w:tcPr>
            <w:tcW w:w="3560" w:type="dxa"/>
            <w:tcBorders>
              <w:top w:val="single" w:sz="8" w:space="0" w:color="auto"/>
              <w:left w:val="nil"/>
              <w:bottom w:val="nil"/>
              <w:right w:val="single" w:sz="8" w:space="0" w:color="auto"/>
            </w:tcBorders>
            <w:shd w:val="clear" w:color="auto" w:fill="auto"/>
            <w:vAlign w:val="center"/>
            <w:hideMark/>
          </w:tcPr>
          <w:p w:rsidR="00AE2461" w:rsidRPr="00273C0D" w:rsidRDefault="00AE2461" w:rsidP="00932D82">
            <w:pPr>
              <w:spacing w:after="0" w:line="240" w:lineRule="auto"/>
              <w:jc w:val="center"/>
              <w:rPr>
                <w:rFonts w:ascii="Times New Roman" w:eastAsia="Times New Roman" w:hAnsi="Times New Roman"/>
                <w:b/>
                <w:bCs/>
                <w:color w:val="000000"/>
                <w:lang w:eastAsia="lt-LT"/>
              </w:rPr>
            </w:pPr>
            <w:r w:rsidRPr="00273C0D">
              <w:rPr>
                <w:rFonts w:ascii="Times New Roman" w:eastAsia="Times New Roman" w:hAnsi="Times New Roman"/>
                <w:b/>
                <w:bCs/>
                <w:color w:val="000000"/>
                <w:lang w:eastAsia="lt-LT"/>
              </w:rPr>
              <w:t> </w:t>
            </w:r>
          </w:p>
        </w:tc>
        <w:tc>
          <w:tcPr>
            <w:tcW w:w="1391" w:type="dxa"/>
            <w:tcBorders>
              <w:top w:val="single" w:sz="8" w:space="0" w:color="auto"/>
              <w:left w:val="nil"/>
              <w:bottom w:val="nil"/>
              <w:right w:val="single" w:sz="8" w:space="0" w:color="auto"/>
            </w:tcBorders>
            <w:shd w:val="clear" w:color="auto" w:fill="auto"/>
            <w:vAlign w:val="center"/>
            <w:hideMark/>
          </w:tcPr>
          <w:p w:rsidR="00AE2461" w:rsidRPr="00273C0D" w:rsidRDefault="00AE2461" w:rsidP="00932D82">
            <w:pPr>
              <w:spacing w:after="0" w:line="240" w:lineRule="auto"/>
              <w:jc w:val="center"/>
              <w:rPr>
                <w:rFonts w:ascii="Times New Roman" w:eastAsia="Times New Roman" w:hAnsi="Times New Roman"/>
                <w:b/>
                <w:bCs/>
                <w:color w:val="000000"/>
                <w:lang w:eastAsia="lt-LT"/>
              </w:rPr>
            </w:pPr>
            <w:r w:rsidRPr="00273C0D">
              <w:rPr>
                <w:rFonts w:ascii="Times New Roman" w:eastAsia="Times New Roman" w:hAnsi="Times New Roman"/>
                <w:b/>
                <w:bCs/>
                <w:color w:val="000000"/>
                <w:lang w:eastAsia="lt-LT"/>
              </w:rPr>
              <w:t> </w:t>
            </w:r>
          </w:p>
        </w:tc>
        <w:tc>
          <w:tcPr>
            <w:tcW w:w="19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2461" w:rsidRPr="00273C0D" w:rsidRDefault="00AE2461" w:rsidP="00932D82">
            <w:pPr>
              <w:spacing w:after="0" w:line="240" w:lineRule="auto"/>
              <w:jc w:val="center"/>
              <w:rPr>
                <w:rFonts w:ascii="Times New Roman" w:eastAsia="Times New Roman" w:hAnsi="Times New Roman"/>
                <w:b/>
                <w:bCs/>
                <w:color w:val="000000"/>
                <w:lang w:eastAsia="lt-LT"/>
              </w:rPr>
            </w:pPr>
            <w:r w:rsidRPr="00273C0D">
              <w:rPr>
                <w:rFonts w:ascii="Times New Roman" w:eastAsia="Times New Roman" w:hAnsi="Times New Roman"/>
                <w:b/>
                <w:bCs/>
                <w:color w:val="000000"/>
                <w:lang w:eastAsia="lt-LT"/>
              </w:rPr>
              <w:t>Profilaktiškai sveikatą pasitikrinusių vaikų skaičius</w:t>
            </w:r>
          </w:p>
        </w:tc>
        <w:tc>
          <w:tcPr>
            <w:tcW w:w="20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2461" w:rsidRPr="00273C0D" w:rsidRDefault="00AE2461" w:rsidP="00932D82">
            <w:pPr>
              <w:spacing w:after="0" w:line="240" w:lineRule="auto"/>
              <w:jc w:val="center"/>
              <w:rPr>
                <w:rFonts w:ascii="Times New Roman" w:eastAsia="Times New Roman" w:hAnsi="Times New Roman"/>
                <w:b/>
                <w:bCs/>
                <w:color w:val="000000"/>
                <w:lang w:eastAsia="lt-LT"/>
              </w:rPr>
            </w:pPr>
            <w:r w:rsidRPr="00273C0D">
              <w:rPr>
                <w:rFonts w:ascii="Times New Roman" w:eastAsia="Times New Roman" w:hAnsi="Times New Roman"/>
                <w:b/>
                <w:bCs/>
                <w:color w:val="000000"/>
                <w:lang w:eastAsia="lt-LT"/>
              </w:rPr>
              <w:t>Profilaktiškai sveikatą pasitikrinusių vaikų dalis, proc.</w:t>
            </w:r>
          </w:p>
        </w:tc>
      </w:tr>
      <w:tr w:rsidR="00AE2461" w:rsidRPr="00273C0D" w:rsidTr="00932D82">
        <w:trPr>
          <w:trHeight w:val="573"/>
        </w:trPr>
        <w:tc>
          <w:tcPr>
            <w:tcW w:w="867" w:type="dxa"/>
            <w:vMerge/>
            <w:tcBorders>
              <w:top w:val="single" w:sz="8" w:space="0" w:color="auto"/>
              <w:left w:val="single" w:sz="8" w:space="0" w:color="auto"/>
              <w:bottom w:val="single" w:sz="8" w:space="0" w:color="000000"/>
              <w:right w:val="single" w:sz="8" w:space="0" w:color="auto"/>
            </w:tcBorders>
            <w:vAlign w:val="center"/>
            <w:hideMark/>
          </w:tcPr>
          <w:p w:rsidR="00AE2461" w:rsidRPr="00273C0D" w:rsidRDefault="00AE2461" w:rsidP="00932D82">
            <w:pPr>
              <w:spacing w:after="0" w:line="240" w:lineRule="auto"/>
              <w:rPr>
                <w:rFonts w:ascii="Times New Roman" w:eastAsia="Times New Roman" w:hAnsi="Times New Roman"/>
                <w:b/>
                <w:bCs/>
                <w:color w:val="000000"/>
                <w:lang w:eastAsia="lt-LT"/>
              </w:rPr>
            </w:pPr>
          </w:p>
        </w:tc>
        <w:tc>
          <w:tcPr>
            <w:tcW w:w="3560" w:type="dxa"/>
            <w:tcBorders>
              <w:top w:val="nil"/>
              <w:left w:val="nil"/>
              <w:bottom w:val="nil"/>
              <w:right w:val="single" w:sz="8" w:space="0" w:color="auto"/>
            </w:tcBorders>
            <w:shd w:val="clear" w:color="auto" w:fill="auto"/>
            <w:vAlign w:val="center"/>
            <w:hideMark/>
          </w:tcPr>
          <w:p w:rsidR="00AE2461" w:rsidRPr="00273C0D" w:rsidRDefault="00AE2461" w:rsidP="00932D82">
            <w:pPr>
              <w:spacing w:after="0" w:line="240" w:lineRule="auto"/>
              <w:jc w:val="center"/>
              <w:rPr>
                <w:rFonts w:ascii="Times New Roman" w:eastAsia="Times New Roman" w:hAnsi="Times New Roman"/>
                <w:b/>
                <w:bCs/>
                <w:color w:val="000000"/>
                <w:lang w:eastAsia="lt-LT"/>
              </w:rPr>
            </w:pPr>
            <w:r w:rsidRPr="00273C0D">
              <w:rPr>
                <w:rFonts w:ascii="Times New Roman" w:eastAsia="Times New Roman" w:hAnsi="Times New Roman"/>
                <w:b/>
                <w:bCs/>
                <w:color w:val="000000"/>
                <w:lang w:eastAsia="lt-LT"/>
              </w:rPr>
              <w:t>Ikimokyklinio ugdymo įstaigos pavadinimas</w:t>
            </w:r>
          </w:p>
        </w:tc>
        <w:tc>
          <w:tcPr>
            <w:tcW w:w="1391" w:type="dxa"/>
            <w:tcBorders>
              <w:top w:val="nil"/>
              <w:left w:val="nil"/>
              <w:bottom w:val="nil"/>
              <w:right w:val="single" w:sz="8" w:space="0" w:color="auto"/>
            </w:tcBorders>
            <w:shd w:val="clear" w:color="auto" w:fill="auto"/>
            <w:vAlign w:val="center"/>
            <w:hideMark/>
          </w:tcPr>
          <w:p w:rsidR="00AE2461" w:rsidRPr="00273C0D" w:rsidRDefault="00AE2461" w:rsidP="00932D82">
            <w:pPr>
              <w:spacing w:after="0" w:line="240" w:lineRule="auto"/>
              <w:rPr>
                <w:rFonts w:ascii="Times New Roman" w:eastAsia="Times New Roman" w:hAnsi="Times New Roman"/>
                <w:b/>
                <w:bCs/>
                <w:color w:val="000000"/>
                <w:lang w:eastAsia="lt-LT"/>
              </w:rPr>
            </w:pPr>
            <w:r w:rsidRPr="00273C0D">
              <w:rPr>
                <w:rFonts w:ascii="Times New Roman" w:eastAsia="Times New Roman" w:hAnsi="Times New Roman"/>
                <w:b/>
                <w:bCs/>
                <w:color w:val="000000"/>
                <w:lang w:eastAsia="lt-LT"/>
              </w:rPr>
              <w:t xml:space="preserve">Vaikų </w:t>
            </w:r>
          </w:p>
        </w:tc>
        <w:tc>
          <w:tcPr>
            <w:tcW w:w="1934" w:type="dxa"/>
            <w:vMerge/>
            <w:tcBorders>
              <w:top w:val="single" w:sz="8" w:space="0" w:color="auto"/>
              <w:left w:val="single" w:sz="8" w:space="0" w:color="auto"/>
              <w:bottom w:val="single" w:sz="8" w:space="0" w:color="000000"/>
              <w:right w:val="single" w:sz="8" w:space="0" w:color="auto"/>
            </w:tcBorders>
            <w:vAlign w:val="center"/>
            <w:hideMark/>
          </w:tcPr>
          <w:p w:rsidR="00AE2461" w:rsidRPr="00273C0D" w:rsidRDefault="00AE2461" w:rsidP="00932D82">
            <w:pPr>
              <w:spacing w:after="0" w:line="240" w:lineRule="auto"/>
              <w:rPr>
                <w:rFonts w:ascii="Times New Roman" w:eastAsia="Times New Roman" w:hAnsi="Times New Roman"/>
                <w:b/>
                <w:bCs/>
                <w:color w:val="000000"/>
                <w:lang w:eastAsia="lt-LT"/>
              </w:rPr>
            </w:pPr>
          </w:p>
        </w:tc>
        <w:tc>
          <w:tcPr>
            <w:tcW w:w="2083" w:type="dxa"/>
            <w:vMerge/>
            <w:tcBorders>
              <w:top w:val="single" w:sz="8" w:space="0" w:color="auto"/>
              <w:left w:val="single" w:sz="8" w:space="0" w:color="auto"/>
              <w:bottom w:val="single" w:sz="8" w:space="0" w:color="000000"/>
              <w:right w:val="single" w:sz="8" w:space="0" w:color="auto"/>
            </w:tcBorders>
            <w:vAlign w:val="center"/>
            <w:hideMark/>
          </w:tcPr>
          <w:p w:rsidR="00AE2461" w:rsidRPr="00273C0D" w:rsidRDefault="00AE2461" w:rsidP="00932D82">
            <w:pPr>
              <w:spacing w:after="0" w:line="240" w:lineRule="auto"/>
              <w:rPr>
                <w:rFonts w:ascii="Times New Roman" w:eastAsia="Times New Roman" w:hAnsi="Times New Roman"/>
                <w:b/>
                <w:bCs/>
                <w:color w:val="000000"/>
                <w:lang w:eastAsia="lt-LT"/>
              </w:rPr>
            </w:pPr>
          </w:p>
        </w:tc>
      </w:tr>
      <w:tr w:rsidR="00AE2461" w:rsidRPr="00273C0D" w:rsidTr="00932D82">
        <w:trPr>
          <w:trHeight w:val="44"/>
        </w:trPr>
        <w:tc>
          <w:tcPr>
            <w:tcW w:w="867" w:type="dxa"/>
            <w:vMerge/>
            <w:tcBorders>
              <w:top w:val="single" w:sz="8" w:space="0" w:color="auto"/>
              <w:left w:val="single" w:sz="8" w:space="0" w:color="auto"/>
              <w:bottom w:val="single" w:sz="8" w:space="0" w:color="000000"/>
              <w:right w:val="single" w:sz="8" w:space="0" w:color="auto"/>
            </w:tcBorders>
            <w:vAlign w:val="center"/>
            <w:hideMark/>
          </w:tcPr>
          <w:p w:rsidR="00AE2461" w:rsidRPr="00273C0D" w:rsidRDefault="00AE2461" w:rsidP="00932D82">
            <w:pPr>
              <w:spacing w:after="0" w:line="240" w:lineRule="auto"/>
              <w:rPr>
                <w:rFonts w:ascii="Times New Roman" w:eastAsia="Times New Roman" w:hAnsi="Times New Roman"/>
                <w:b/>
                <w:bCs/>
                <w:color w:val="000000"/>
                <w:lang w:eastAsia="lt-LT"/>
              </w:rPr>
            </w:pPr>
          </w:p>
        </w:tc>
        <w:tc>
          <w:tcPr>
            <w:tcW w:w="3560" w:type="dxa"/>
            <w:tcBorders>
              <w:top w:val="nil"/>
              <w:left w:val="nil"/>
              <w:bottom w:val="single" w:sz="8" w:space="0" w:color="auto"/>
              <w:right w:val="single" w:sz="8" w:space="0" w:color="auto"/>
            </w:tcBorders>
            <w:shd w:val="clear" w:color="auto" w:fill="auto"/>
            <w:hideMark/>
          </w:tcPr>
          <w:p w:rsidR="00AE2461" w:rsidRPr="00273C0D" w:rsidRDefault="00AE2461" w:rsidP="00932D82">
            <w:pPr>
              <w:spacing w:after="0" w:line="240" w:lineRule="auto"/>
              <w:rPr>
                <w:rFonts w:eastAsia="Times New Roman" w:cs="Calibri"/>
                <w:color w:val="000000"/>
                <w:lang w:eastAsia="lt-LT"/>
              </w:rPr>
            </w:pPr>
            <w:r w:rsidRPr="00273C0D">
              <w:rPr>
                <w:rFonts w:eastAsia="Times New Roman" w:cs="Calibri"/>
                <w:color w:val="000000"/>
                <w:lang w:eastAsia="lt-LT"/>
              </w:rPr>
              <w:t> </w:t>
            </w:r>
          </w:p>
        </w:tc>
        <w:tc>
          <w:tcPr>
            <w:tcW w:w="1391" w:type="dxa"/>
            <w:tcBorders>
              <w:top w:val="nil"/>
              <w:left w:val="nil"/>
              <w:bottom w:val="single" w:sz="8" w:space="0" w:color="auto"/>
              <w:right w:val="single" w:sz="8" w:space="0" w:color="auto"/>
            </w:tcBorders>
            <w:shd w:val="clear" w:color="auto" w:fill="auto"/>
            <w:vAlign w:val="center"/>
            <w:hideMark/>
          </w:tcPr>
          <w:p w:rsidR="00AE2461" w:rsidRPr="00273C0D" w:rsidRDefault="00AE2461" w:rsidP="00932D82">
            <w:pPr>
              <w:spacing w:after="0" w:line="240" w:lineRule="auto"/>
              <w:rPr>
                <w:rFonts w:ascii="Times New Roman" w:eastAsia="Times New Roman" w:hAnsi="Times New Roman"/>
                <w:b/>
                <w:bCs/>
                <w:color w:val="000000"/>
                <w:lang w:eastAsia="lt-LT"/>
              </w:rPr>
            </w:pPr>
            <w:r w:rsidRPr="00273C0D">
              <w:rPr>
                <w:rFonts w:ascii="Times New Roman" w:eastAsia="Times New Roman" w:hAnsi="Times New Roman"/>
                <w:b/>
                <w:bCs/>
                <w:color w:val="000000"/>
                <w:lang w:eastAsia="lt-LT"/>
              </w:rPr>
              <w:t>skaičius</w:t>
            </w:r>
          </w:p>
        </w:tc>
        <w:tc>
          <w:tcPr>
            <w:tcW w:w="1934" w:type="dxa"/>
            <w:vMerge/>
            <w:tcBorders>
              <w:top w:val="single" w:sz="8" w:space="0" w:color="auto"/>
              <w:left w:val="single" w:sz="8" w:space="0" w:color="auto"/>
              <w:bottom w:val="single" w:sz="8" w:space="0" w:color="000000"/>
              <w:right w:val="single" w:sz="8" w:space="0" w:color="auto"/>
            </w:tcBorders>
            <w:vAlign w:val="center"/>
            <w:hideMark/>
          </w:tcPr>
          <w:p w:rsidR="00AE2461" w:rsidRPr="00273C0D" w:rsidRDefault="00AE2461" w:rsidP="00932D82">
            <w:pPr>
              <w:spacing w:after="0" w:line="240" w:lineRule="auto"/>
              <w:rPr>
                <w:rFonts w:ascii="Times New Roman" w:eastAsia="Times New Roman" w:hAnsi="Times New Roman"/>
                <w:b/>
                <w:bCs/>
                <w:color w:val="000000"/>
                <w:lang w:eastAsia="lt-LT"/>
              </w:rPr>
            </w:pPr>
          </w:p>
        </w:tc>
        <w:tc>
          <w:tcPr>
            <w:tcW w:w="2083" w:type="dxa"/>
            <w:vMerge/>
            <w:tcBorders>
              <w:top w:val="single" w:sz="8" w:space="0" w:color="auto"/>
              <w:left w:val="single" w:sz="8" w:space="0" w:color="auto"/>
              <w:bottom w:val="single" w:sz="8" w:space="0" w:color="000000"/>
              <w:right w:val="single" w:sz="8" w:space="0" w:color="auto"/>
            </w:tcBorders>
            <w:vAlign w:val="center"/>
            <w:hideMark/>
          </w:tcPr>
          <w:p w:rsidR="00AE2461" w:rsidRPr="00273C0D" w:rsidRDefault="00AE2461" w:rsidP="00932D82">
            <w:pPr>
              <w:spacing w:after="0" w:line="240" w:lineRule="auto"/>
              <w:rPr>
                <w:rFonts w:ascii="Times New Roman" w:eastAsia="Times New Roman" w:hAnsi="Times New Roman"/>
                <w:b/>
                <w:bCs/>
                <w:color w:val="000000"/>
                <w:lang w:eastAsia="lt-LT"/>
              </w:rPr>
            </w:pPr>
          </w:p>
        </w:tc>
      </w:tr>
      <w:tr w:rsidR="00AE2461" w:rsidRPr="00273C0D" w:rsidTr="005E75D0">
        <w:trPr>
          <w:trHeight w:val="374"/>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AE2461" w:rsidRPr="00273C0D" w:rsidRDefault="00AE2461" w:rsidP="00932D82">
            <w:pPr>
              <w:spacing w:after="0" w:line="240" w:lineRule="auto"/>
              <w:jc w:val="center"/>
              <w:rPr>
                <w:rFonts w:ascii="Times New Roman" w:eastAsia="Times New Roman" w:hAnsi="Times New Roman"/>
                <w:color w:val="000000"/>
                <w:lang w:eastAsia="lt-LT"/>
              </w:rPr>
            </w:pPr>
            <w:r w:rsidRPr="00273C0D">
              <w:rPr>
                <w:rFonts w:ascii="Times New Roman" w:eastAsia="Times New Roman" w:hAnsi="Times New Roman"/>
                <w:color w:val="000000"/>
                <w:lang w:eastAsia="lt-LT"/>
              </w:rPr>
              <w:t>1.</w:t>
            </w:r>
          </w:p>
        </w:tc>
        <w:tc>
          <w:tcPr>
            <w:tcW w:w="3560" w:type="dxa"/>
            <w:tcBorders>
              <w:top w:val="nil"/>
              <w:left w:val="nil"/>
              <w:bottom w:val="single" w:sz="8" w:space="0" w:color="auto"/>
              <w:right w:val="single" w:sz="8" w:space="0" w:color="auto"/>
            </w:tcBorders>
            <w:shd w:val="clear" w:color="auto" w:fill="auto"/>
            <w:vAlign w:val="center"/>
            <w:hideMark/>
          </w:tcPr>
          <w:p w:rsidR="00AE2461" w:rsidRPr="00273C0D" w:rsidRDefault="00AE2461" w:rsidP="00932D82">
            <w:pPr>
              <w:spacing w:after="0" w:line="240" w:lineRule="auto"/>
              <w:rPr>
                <w:rFonts w:ascii="Times New Roman" w:eastAsia="Times New Roman" w:hAnsi="Times New Roman"/>
                <w:color w:val="000000"/>
                <w:lang w:eastAsia="lt-LT"/>
              </w:rPr>
            </w:pPr>
            <w:r w:rsidRPr="00273C0D">
              <w:rPr>
                <w:rFonts w:ascii="Times New Roman" w:eastAsia="Times New Roman" w:hAnsi="Times New Roman"/>
                <w:color w:val="000000"/>
                <w:lang w:eastAsia="lt-LT"/>
              </w:rPr>
              <w:t>L-D Nykštukas</w:t>
            </w:r>
          </w:p>
        </w:tc>
        <w:tc>
          <w:tcPr>
            <w:tcW w:w="1391" w:type="dxa"/>
            <w:tcBorders>
              <w:top w:val="nil"/>
              <w:left w:val="nil"/>
              <w:bottom w:val="single" w:sz="8" w:space="0" w:color="auto"/>
              <w:right w:val="single" w:sz="8" w:space="0" w:color="auto"/>
            </w:tcBorders>
            <w:shd w:val="clear" w:color="auto" w:fill="auto"/>
            <w:vAlign w:val="center"/>
          </w:tcPr>
          <w:p w:rsidR="00AE2461" w:rsidRPr="00273C0D" w:rsidRDefault="005E75D0"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134</w:t>
            </w:r>
          </w:p>
        </w:tc>
        <w:tc>
          <w:tcPr>
            <w:tcW w:w="1934" w:type="dxa"/>
            <w:tcBorders>
              <w:top w:val="nil"/>
              <w:left w:val="nil"/>
              <w:bottom w:val="single" w:sz="8" w:space="0" w:color="auto"/>
              <w:right w:val="single" w:sz="8" w:space="0" w:color="auto"/>
            </w:tcBorders>
            <w:shd w:val="clear" w:color="auto" w:fill="auto"/>
            <w:vAlign w:val="center"/>
          </w:tcPr>
          <w:p w:rsidR="00AE2461" w:rsidRPr="00273C0D" w:rsidRDefault="005E75D0"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134</w:t>
            </w:r>
          </w:p>
        </w:tc>
        <w:tc>
          <w:tcPr>
            <w:tcW w:w="2083" w:type="dxa"/>
            <w:tcBorders>
              <w:top w:val="nil"/>
              <w:left w:val="nil"/>
              <w:bottom w:val="single" w:sz="8" w:space="0" w:color="auto"/>
              <w:right w:val="single" w:sz="8" w:space="0" w:color="auto"/>
            </w:tcBorders>
            <w:shd w:val="clear" w:color="auto" w:fill="auto"/>
            <w:vAlign w:val="center"/>
          </w:tcPr>
          <w:p w:rsidR="00AE2461" w:rsidRPr="00273C0D" w:rsidRDefault="005E75D0"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100</w:t>
            </w:r>
          </w:p>
        </w:tc>
      </w:tr>
      <w:tr w:rsidR="00AE2461" w:rsidRPr="00273C0D" w:rsidTr="005E75D0">
        <w:trPr>
          <w:trHeight w:val="407"/>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AE2461" w:rsidRPr="00273C0D" w:rsidRDefault="00AE2461" w:rsidP="00932D82">
            <w:pPr>
              <w:spacing w:after="0" w:line="240" w:lineRule="auto"/>
              <w:jc w:val="center"/>
              <w:rPr>
                <w:rFonts w:ascii="Times New Roman" w:eastAsia="Times New Roman" w:hAnsi="Times New Roman"/>
                <w:color w:val="000000"/>
                <w:lang w:eastAsia="lt-LT"/>
              </w:rPr>
            </w:pPr>
            <w:r w:rsidRPr="00273C0D">
              <w:rPr>
                <w:rFonts w:ascii="Times New Roman" w:eastAsia="Times New Roman" w:hAnsi="Times New Roman"/>
                <w:color w:val="000000"/>
                <w:lang w:eastAsia="lt-LT"/>
              </w:rPr>
              <w:t>2.</w:t>
            </w:r>
          </w:p>
        </w:tc>
        <w:tc>
          <w:tcPr>
            <w:tcW w:w="3560" w:type="dxa"/>
            <w:tcBorders>
              <w:top w:val="nil"/>
              <w:left w:val="nil"/>
              <w:bottom w:val="single" w:sz="8" w:space="0" w:color="auto"/>
              <w:right w:val="single" w:sz="8" w:space="0" w:color="auto"/>
            </w:tcBorders>
            <w:shd w:val="clear" w:color="auto" w:fill="auto"/>
            <w:vAlign w:val="center"/>
            <w:hideMark/>
          </w:tcPr>
          <w:p w:rsidR="00AE2461" w:rsidRPr="00273C0D" w:rsidRDefault="00AE2461" w:rsidP="00932D82">
            <w:pPr>
              <w:spacing w:after="0" w:line="240" w:lineRule="auto"/>
              <w:rPr>
                <w:rFonts w:ascii="Times New Roman" w:eastAsia="Times New Roman" w:hAnsi="Times New Roman"/>
                <w:color w:val="000000"/>
                <w:lang w:eastAsia="lt-LT"/>
              </w:rPr>
            </w:pPr>
            <w:r w:rsidRPr="00273C0D">
              <w:rPr>
                <w:rFonts w:ascii="Times New Roman" w:eastAsia="Times New Roman" w:hAnsi="Times New Roman"/>
                <w:color w:val="000000"/>
                <w:lang w:eastAsia="lt-LT"/>
              </w:rPr>
              <w:t>L-D Pasaka</w:t>
            </w:r>
          </w:p>
        </w:tc>
        <w:tc>
          <w:tcPr>
            <w:tcW w:w="1391" w:type="dxa"/>
            <w:tcBorders>
              <w:top w:val="nil"/>
              <w:left w:val="nil"/>
              <w:bottom w:val="single" w:sz="8" w:space="0" w:color="auto"/>
              <w:right w:val="single" w:sz="8" w:space="0" w:color="auto"/>
            </w:tcBorders>
            <w:shd w:val="clear" w:color="auto" w:fill="auto"/>
            <w:vAlign w:val="center"/>
          </w:tcPr>
          <w:p w:rsidR="00AE2461" w:rsidRPr="00273C0D" w:rsidRDefault="005E75D0"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213</w:t>
            </w:r>
          </w:p>
        </w:tc>
        <w:tc>
          <w:tcPr>
            <w:tcW w:w="1934" w:type="dxa"/>
            <w:tcBorders>
              <w:top w:val="nil"/>
              <w:left w:val="nil"/>
              <w:bottom w:val="single" w:sz="8" w:space="0" w:color="auto"/>
              <w:right w:val="single" w:sz="8" w:space="0" w:color="auto"/>
            </w:tcBorders>
            <w:shd w:val="clear" w:color="auto" w:fill="auto"/>
            <w:vAlign w:val="center"/>
          </w:tcPr>
          <w:p w:rsidR="00AE2461" w:rsidRPr="00273C0D" w:rsidRDefault="005E75D0"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213</w:t>
            </w:r>
          </w:p>
        </w:tc>
        <w:tc>
          <w:tcPr>
            <w:tcW w:w="2083" w:type="dxa"/>
            <w:tcBorders>
              <w:top w:val="nil"/>
              <w:left w:val="nil"/>
              <w:bottom w:val="single" w:sz="8" w:space="0" w:color="auto"/>
              <w:right w:val="single" w:sz="8" w:space="0" w:color="auto"/>
            </w:tcBorders>
            <w:shd w:val="clear" w:color="auto" w:fill="auto"/>
            <w:vAlign w:val="center"/>
          </w:tcPr>
          <w:p w:rsidR="00AE2461" w:rsidRPr="00273C0D" w:rsidRDefault="005E75D0"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100</w:t>
            </w:r>
          </w:p>
        </w:tc>
      </w:tr>
      <w:tr w:rsidR="00AE2461" w:rsidRPr="00273C0D" w:rsidTr="005E75D0">
        <w:trPr>
          <w:trHeight w:val="399"/>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AE2461" w:rsidRPr="00273C0D" w:rsidRDefault="00AE2461" w:rsidP="00932D82">
            <w:pPr>
              <w:spacing w:after="0" w:line="240" w:lineRule="auto"/>
              <w:jc w:val="center"/>
              <w:rPr>
                <w:rFonts w:ascii="Times New Roman" w:eastAsia="Times New Roman" w:hAnsi="Times New Roman"/>
                <w:color w:val="000000"/>
                <w:lang w:eastAsia="lt-LT"/>
              </w:rPr>
            </w:pPr>
            <w:r w:rsidRPr="00273C0D">
              <w:rPr>
                <w:rFonts w:ascii="Times New Roman" w:eastAsia="Times New Roman" w:hAnsi="Times New Roman"/>
                <w:color w:val="000000"/>
                <w:lang w:eastAsia="lt-LT"/>
              </w:rPr>
              <w:t>3.</w:t>
            </w:r>
          </w:p>
        </w:tc>
        <w:tc>
          <w:tcPr>
            <w:tcW w:w="3560" w:type="dxa"/>
            <w:tcBorders>
              <w:top w:val="nil"/>
              <w:left w:val="nil"/>
              <w:bottom w:val="single" w:sz="8" w:space="0" w:color="auto"/>
              <w:right w:val="single" w:sz="8" w:space="0" w:color="auto"/>
            </w:tcBorders>
            <w:shd w:val="clear" w:color="auto" w:fill="auto"/>
            <w:vAlign w:val="center"/>
            <w:hideMark/>
          </w:tcPr>
          <w:p w:rsidR="00AE2461" w:rsidRPr="00273C0D" w:rsidRDefault="00AE2461" w:rsidP="00932D82">
            <w:pPr>
              <w:spacing w:after="0" w:line="240" w:lineRule="auto"/>
              <w:rPr>
                <w:rFonts w:ascii="Times New Roman" w:eastAsia="Times New Roman" w:hAnsi="Times New Roman"/>
                <w:color w:val="000000"/>
                <w:lang w:eastAsia="lt-LT"/>
              </w:rPr>
            </w:pPr>
            <w:r w:rsidRPr="00273C0D">
              <w:rPr>
                <w:rFonts w:ascii="Times New Roman" w:eastAsia="Times New Roman" w:hAnsi="Times New Roman"/>
                <w:color w:val="000000"/>
                <w:lang w:eastAsia="lt-LT"/>
              </w:rPr>
              <w:t>L-D Raudonkepuraitė</w:t>
            </w:r>
          </w:p>
        </w:tc>
        <w:tc>
          <w:tcPr>
            <w:tcW w:w="1391" w:type="dxa"/>
            <w:tcBorders>
              <w:top w:val="nil"/>
              <w:left w:val="nil"/>
              <w:bottom w:val="single" w:sz="8" w:space="0" w:color="auto"/>
              <w:right w:val="single" w:sz="8" w:space="0" w:color="auto"/>
            </w:tcBorders>
            <w:shd w:val="clear" w:color="auto" w:fill="auto"/>
            <w:vAlign w:val="center"/>
          </w:tcPr>
          <w:p w:rsidR="00AE2461" w:rsidRPr="00273C0D" w:rsidRDefault="005E75D0"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195</w:t>
            </w:r>
          </w:p>
        </w:tc>
        <w:tc>
          <w:tcPr>
            <w:tcW w:w="1934" w:type="dxa"/>
            <w:tcBorders>
              <w:top w:val="nil"/>
              <w:left w:val="nil"/>
              <w:bottom w:val="single" w:sz="8" w:space="0" w:color="auto"/>
              <w:right w:val="single" w:sz="8" w:space="0" w:color="auto"/>
            </w:tcBorders>
            <w:shd w:val="clear" w:color="auto" w:fill="auto"/>
            <w:vAlign w:val="center"/>
          </w:tcPr>
          <w:p w:rsidR="00AE2461" w:rsidRPr="00273C0D" w:rsidRDefault="005E75D0"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195</w:t>
            </w:r>
          </w:p>
        </w:tc>
        <w:tc>
          <w:tcPr>
            <w:tcW w:w="2083" w:type="dxa"/>
            <w:tcBorders>
              <w:top w:val="nil"/>
              <w:left w:val="nil"/>
              <w:bottom w:val="single" w:sz="8" w:space="0" w:color="auto"/>
              <w:right w:val="single" w:sz="8" w:space="0" w:color="auto"/>
            </w:tcBorders>
            <w:shd w:val="clear" w:color="auto" w:fill="auto"/>
            <w:vAlign w:val="center"/>
          </w:tcPr>
          <w:p w:rsidR="00AE2461" w:rsidRPr="00273C0D" w:rsidRDefault="005E75D0"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100</w:t>
            </w:r>
          </w:p>
        </w:tc>
      </w:tr>
      <w:tr w:rsidR="00AE2461" w:rsidRPr="00273C0D" w:rsidTr="005E75D0">
        <w:trPr>
          <w:trHeight w:val="405"/>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AE2461" w:rsidRPr="00273C0D" w:rsidRDefault="00AE2461" w:rsidP="00932D82">
            <w:pPr>
              <w:spacing w:after="0" w:line="240" w:lineRule="auto"/>
              <w:jc w:val="center"/>
              <w:rPr>
                <w:rFonts w:ascii="Times New Roman" w:eastAsia="Times New Roman" w:hAnsi="Times New Roman"/>
                <w:color w:val="000000"/>
                <w:lang w:eastAsia="lt-LT"/>
              </w:rPr>
            </w:pPr>
            <w:r w:rsidRPr="00273C0D">
              <w:rPr>
                <w:rFonts w:ascii="Times New Roman" w:eastAsia="Times New Roman" w:hAnsi="Times New Roman"/>
                <w:color w:val="000000"/>
                <w:lang w:eastAsia="lt-LT"/>
              </w:rPr>
              <w:t>4.</w:t>
            </w:r>
          </w:p>
        </w:tc>
        <w:tc>
          <w:tcPr>
            <w:tcW w:w="3560" w:type="dxa"/>
            <w:tcBorders>
              <w:top w:val="nil"/>
              <w:left w:val="nil"/>
              <w:bottom w:val="single" w:sz="8" w:space="0" w:color="auto"/>
              <w:right w:val="single" w:sz="8" w:space="0" w:color="auto"/>
            </w:tcBorders>
            <w:shd w:val="clear" w:color="auto" w:fill="auto"/>
            <w:vAlign w:val="center"/>
            <w:hideMark/>
          </w:tcPr>
          <w:p w:rsidR="00AE2461" w:rsidRPr="00273C0D" w:rsidRDefault="00AE2461" w:rsidP="00932D82">
            <w:pPr>
              <w:spacing w:after="0" w:line="240" w:lineRule="auto"/>
              <w:rPr>
                <w:rFonts w:ascii="Times New Roman" w:eastAsia="Times New Roman" w:hAnsi="Times New Roman"/>
                <w:color w:val="000000"/>
                <w:lang w:eastAsia="lt-LT"/>
              </w:rPr>
            </w:pPr>
            <w:r w:rsidRPr="00273C0D">
              <w:rPr>
                <w:rFonts w:ascii="Times New Roman" w:eastAsia="Times New Roman" w:hAnsi="Times New Roman"/>
                <w:color w:val="000000"/>
                <w:lang w:eastAsia="lt-LT"/>
              </w:rPr>
              <w:t>L-D Rūtelė</w:t>
            </w:r>
          </w:p>
        </w:tc>
        <w:tc>
          <w:tcPr>
            <w:tcW w:w="1391" w:type="dxa"/>
            <w:tcBorders>
              <w:top w:val="nil"/>
              <w:left w:val="nil"/>
              <w:bottom w:val="single" w:sz="8" w:space="0" w:color="auto"/>
              <w:right w:val="single" w:sz="8" w:space="0" w:color="auto"/>
            </w:tcBorders>
            <w:shd w:val="clear" w:color="auto" w:fill="auto"/>
            <w:vAlign w:val="center"/>
          </w:tcPr>
          <w:p w:rsidR="00AE2461" w:rsidRPr="00273C0D" w:rsidRDefault="0029077C"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222</w:t>
            </w:r>
          </w:p>
        </w:tc>
        <w:tc>
          <w:tcPr>
            <w:tcW w:w="1934" w:type="dxa"/>
            <w:tcBorders>
              <w:top w:val="nil"/>
              <w:left w:val="nil"/>
              <w:bottom w:val="single" w:sz="8" w:space="0" w:color="auto"/>
              <w:right w:val="single" w:sz="8" w:space="0" w:color="auto"/>
            </w:tcBorders>
            <w:shd w:val="clear" w:color="auto" w:fill="auto"/>
            <w:vAlign w:val="center"/>
          </w:tcPr>
          <w:p w:rsidR="00AE2461" w:rsidRPr="00273C0D" w:rsidRDefault="0029077C"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219</w:t>
            </w:r>
          </w:p>
        </w:tc>
        <w:tc>
          <w:tcPr>
            <w:tcW w:w="2083" w:type="dxa"/>
            <w:tcBorders>
              <w:top w:val="nil"/>
              <w:left w:val="nil"/>
              <w:bottom w:val="single" w:sz="8" w:space="0" w:color="auto"/>
              <w:right w:val="single" w:sz="8" w:space="0" w:color="auto"/>
            </w:tcBorders>
            <w:shd w:val="clear" w:color="auto" w:fill="auto"/>
            <w:vAlign w:val="center"/>
          </w:tcPr>
          <w:p w:rsidR="00AE2461" w:rsidRPr="00273C0D" w:rsidRDefault="0029077C"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98,6</w:t>
            </w:r>
          </w:p>
        </w:tc>
      </w:tr>
      <w:tr w:rsidR="00AE2461" w:rsidRPr="00273C0D" w:rsidTr="005E75D0">
        <w:trPr>
          <w:trHeight w:val="412"/>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AE2461" w:rsidRPr="00273C0D" w:rsidRDefault="00AE2461" w:rsidP="00932D82">
            <w:pPr>
              <w:spacing w:after="0" w:line="240" w:lineRule="auto"/>
              <w:jc w:val="center"/>
              <w:rPr>
                <w:rFonts w:ascii="Times New Roman" w:eastAsia="Times New Roman" w:hAnsi="Times New Roman"/>
                <w:color w:val="000000"/>
                <w:lang w:eastAsia="lt-LT"/>
              </w:rPr>
            </w:pPr>
            <w:r w:rsidRPr="00273C0D">
              <w:rPr>
                <w:rFonts w:ascii="Times New Roman" w:eastAsia="Times New Roman" w:hAnsi="Times New Roman"/>
                <w:color w:val="000000"/>
                <w:lang w:eastAsia="lt-LT"/>
              </w:rPr>
              <w:t>5.</w:t>
            </w:r>
          </w:p>
        </w:tc>
        <w:tc>
          <w:tcPr>
            <w:tcW w:w="3560" w:type="dxa"/>
            <w:tcBorders>
              <w:top w:val="nil"/>
              <w:left w:val="nil"/>
              <w:bottom w:val="single" w:sz="8" w:space="0" w:color="auto"/>
              <w:right w:val="single" w:sz="8" w:space="0" w:color="auto"/>
            </w:tcBorders>
            <w:shd w:val="clear" w:color="auto" w:fill="auto"/>
            <w:vAlign w:val="center"/>
            <w:hideMark/>
          </w:tcPr>
          <w:p w:rsidR="00AE2461" w:rsidRPr="00273C0D" w:rsidRDefault="00AE2461" w:rsidP="00932D82">
            <w:pPr>
              <w:spacing w:after="0" w:line="240" w:lineRule="auto"/>
              <w:rPr>
                <w:rFonts w:ascii="Times New Roman" w:eastAsia="Times New Roman" w:hAnsi="Times New Roman"/>
                <w:color w:val="000000"/>
                <w:lang w:eastAsia="lt-LT"/>
              </w:rPr>
            </w:pPr>
            <w:r w:rsidRPr="00273C0D">
              <w:rPr>
                <w:rFonts w:ascii="Times New Roman" w:eastAsia="Times New Roman" w:hAnsi="Times New Roman"/>
                <w:color w:val="000000"/>
                <w:lang w:eastAsia="lt-LT"/>
              </w:rPr>
              <w:t>L-D Saulutė</w:t>
            </w:r>
          </w:p>
        </w:tc>
        <w:tc>
          <w:tcPr>
            <w:tcW w:w="1391" w:type="dxa"/>
            <w:tcBorders>
              <w:top w:val="nil"/>
              <w:left w:val="nil"/>
              <w:bottom w:val="single" w:sz="8" w:space="0" w:color="auto"/>
              <w:right w:val="single" w:sz="8" w:space="0" w:color="auto"/>
            </w:tcBorders>
            <w:shd w:val="clear" w:color="auto" w:fill="auto"/>
            <w:vAlign w:val="center"/>
          </w:tcPr>
          <w:p w:rsidR="00AE2461" w:rsidRPr="00273C0D" w:rsidRDefault="0029077C"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219</w:t>
            </w:r>
          </w:p>
        </w:tc>
        <w:tc>
          <w:tcPr>
            <w:tcW w:w="1934" w:type="dxa"/>
            <w:tcBorders>
              <w:top w:val="nil"/>
              <w:left w:val="nil"/>
              <w:bottom w:val="single" w:sz="8" w:space="0" w:color="auto"/>
              <w:right w:val="single" w:sz="8" w:space="0" w:color="auto"/>
            </w:tcBorders>
            <w:shd w:val="clear" w:color="auto" w:fill="auto"/>
            <w:vAlign w:val="center"/>
          </w:tcPr>
          <w:p w:rsidR="00AE2461" w:rsidRPr="00273C0D" w:rsidRDefault="0029077C"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219</w:t>
            </w:r>
          </w:p>
        </w:tc>
        <w:tc>
          <w:tcPr>
            <w:tcW w:w="2083" w:type="dxa"/>
            <w:tcBorders>
              <w:top w:val="nil"/>
              <w:left w:val="nil"/>
              <w:bottom w:val="single" w:sz="8" w:space="0" w:color="auto"/>
              <w:right w:val="single" w:sz="8" w:space="0" w:color="auto"/>
            </w:tcBorders>
            <w:shd w:val="clear" w:color="auto" w:fill="auto"/>
            <w:vAlign w:val="center"/>
          </w:tcPr>
          <w:p w:rsidR="00AE2461" w:rsidRPr="00273C0D" w:rsidRDefault="0029077C"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100</w:t>
            </w:r>
          </w:p>
        </w:tc>
      </w:tr>
      <w:tr w:rsidR="00AE2461" w:rsidRPr="00273C0D" w:rsidTr="005E75D0">
        <w:trPr>
          <w:trHeight w:val="390"/>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AE2461" w:rsidRPr="00273C0D" w:rsidRDefault="00AE2461" w:rsidP="00932D82">
            <w:pPr>
              <w:spacing w:after="0" w:line="240" w:lineRule="auto"/>
              <w:jc w:val="center"/>
              <w:rPr>
                <w:rFonts w:ascii="Times New Roman" w:eastAsia="Times New Roman" w:hAnsi="Times New Roman"/>
                <w:color w:val="000000"/>
                <w:lang w:eastAsia="lt-LT"/>
              </w:rPr>
            </w:pPr>
            <w:r w:rsidRPr="00273C0D">
              <w:rPr>
                <w:rFonts w:ascii="Times New Roman" w:eastAsia="Times New Roman" w:hAnsi="Times New Roman"/>
                <w:color w:val="000000"/>
                <w:lang w:eastAsia="lt-LT"/>
              </w:rPr>
              <w:t>6.</w:t>
            </w:r>
          </w:p>
        </w:tc>
        <w:tc>
          <w:tcPr>
            <w:tcW w:w="3560" w:type="dxa"/>
            <w:tcBorders>
              <w:top w:val="nil"/>
              <w:left w:val="nil"/>
              <w:bottom w:val="single" w:sz="8" w:space="0" w:color="auto"/>
              <w:right w:val="single" w:sz="8" w:space="0" w:color="auto"/>
            </w:tcBorders>
            <w:shd w:val="clear" w:color="auto" w:fill="auto"/>
            <w:vAlign w:val="center"/>
            <w:hideMark/>
          </w:tcPr>
          <w:p w:rsidR="00AE2461" w:rsidRPr="00273C0D" w:rsidRDefault="00AE2461" w:rsidP="00932D82">
            <w:pPr>
              <w:spacing w:after="0" w:line="240" w:lineRule="auto"/>
              <w:rPr>
                <w:rFonts w:ascii="Times New Roman" w:eastAsia="Times New Roman" w:hAnsi="Times New Roman"/>
                <w:color w:val="000000"/>
                <w:lang w:eastAsia="lt-LT"/>
              </w:rPr>
            </w:pPr>
            <w:r w:rsidRPr="00273C0D">
              <w:rPr>
                <w:rFonts w:ascii="Times New Roman" w:eastAsia="Times New Roman" w:hAnsi="Times New Roman"/>
                <w:color w:val="000000"/>
                <w:lang w:eastAsia="lt-LT"/>
              </w:rPr>
              <w:t>L-D Vyturėlis</w:t>
            </w:r>
          </w:p>
        </w:tc>
        <w:tc>
          <w:tcPr>
            <w:tcW w:w="1391" w:type="dxa"/>
            <w:tcBorders>
              <w:top w:val="nil"/>
              <w:left w:val="nil"/>
              <w:bottom w:val="single" w:sz="8" w:space="0" w:color="auto"/>
              <w:right w:val="single" w:sz="8" w:space="0" w:color="auto"/>
            </w:tcBorders>
            <w:shd w:val="clear" w:color="auto" w:fill="auto"/>
            <w:vAlign w:val="center"/>
          </w:tcPr>
          <w:p w:rsidR="00AE2461" w:rsidRPr="00273C0D" w:rsidRDefault="0029077C"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214</w:t>
            </w:r>
          </w:p>
        </w:tc>
        <w:tc>
          <w:tcPr>
            <w:tcW w:w="1934" w:type="dxa"/>
            <w:tcBorders>
              <w:top w:val="nil"/>
              <w:left w:val="nil"/>
              <w:bottom w:val="single" w:sz="8" w:space="0" w:color="auto"/>
              <w:right w:val="single" w:sz="8" w:space="0" w:color="auto"/>
            </w:tcBorders>
            <w:shd w:val="clear" w:color="auto" w:fill="auto"/>
            <w:vAlign w:val="center"/>
          </w:tcPr>
          <w:p w:rsidR="00AE2461" w:rsidRPr="00273C0D" w:rsidRDefault="0029077C"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212</w:t>
            </w:r>
          </w:p>
        </w:tc>
        <w:tc>
          <w:tcPr>
            <w:tcW w:w="2083" w:type="dxa"/>
            <w:tcBorders>
              <w:top w:val="nil"/>
              <w:left w:val="nil"/>
              <w:bottom w:val="single" w:sz="8" w:space="0" w:color="auto"/>
              <w:right w:val="single" w:sz="8" w:space="0" w:color="auto"/>
            </w:tcBorders>
            <w:shd w:val="clear" w:color="auto" w:fill="auto"/>
            <w:vAlign w:val="center"/>
          </w:tcPr>
          <w:p w:rsidR="00AE2461" w:rsidRPr="00273C0D" w:rsidRDefault="0029077C"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99</w:t>
            </w:r>
          </w:p>
        </w:tc>
      </w:tr>
      <w:tr w:rsidR="00AE2461" w:rsidRPr="00273C0D" w:rsidTr="005E75D0">
        <w:trPr>
          <w:trHeight w:val="409"/>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AE2461" w:rsidRPr="00273C0D" w:rsidRDefault="00AE2461" w:rsidP="00932D82">
            <w:pPr>
              <w:spacing w:after="0" w:line="240" w:lineRule="auto"/>
              <w:jc w:val="center"/>
              <w:rPr>
                <w:rFonts w:ascii="Times New Roman" w:eastAsia="Times New Roman" w:hAnsi="Times New Roman"/>
                <w:color w:val="000000"/>
                <w:lang w:eastAsia="lt-LT"/>
              </w:rPr>
            </w:pPr>
            <w:r w:rsidRPr="00273C0D">
              <w:rPr>
                <w:rFonts w:ascii="Times New Roman" w:eastAsia="Times New Roman" w:hAnsi="Times New Roman"/>
                <w:color w:val="000000"/>
                <w:lang w:eastAsia="lt-LT"/>
              </w:rPr>
              <w:t>7.</w:t>
            </w:r>
          </w:p>
        </w:tc>
        <w:tc>
          <w:tcPr>
            <w:tcW w:w="3560" w:type="dxa"/>
            <w:tcBorders>
              <w:top w:val="nil"/>
              <w:left w:val="nil"/>
              <w:bottom w:val="single" w:sz="8" w:space="0" w:color="auto"/>
              <w:right w:val="single" w:sz="8" w:space="0" w:color="auto"/>
            </w:tcBorders>
            <w:shd w:val="clear" w:color="auto" w:fill="auto"/>
            <w:vAlign w:val="center"/>
            <w:hideMark/>
          </w:tcPr>
          <w:p w:rsidR="00AE2461" w:rsidRPr="00273C0D" w:rsidRDefault="00AE2461" w:rsidP="00932D82">
            <w:pPr>
              <w:spacing w:after="0" w:line="240" w:lineRule="auto"/>
              <w:rPr>
                <w:rFonts w:ascii="Times New Roman" w:eastAsia="Times New Roman" w:hAnsi="Times New Roman"/>
                <w:color w:val="000000"/>
                <w:lang w:eastAsia="lt-LT"/>
              </w:rPr>
            </w:pPr>
            <w:proofErr w:type="spellStart"/>
            <w:r w:rsidRPr="00273C0D">
              <w:rPr>
                <w:rFonts w:ascii="Times New Roman" w:eastAsia="Times New Roman" w:hAnsi="Times New Roman"/>
                <w:color w:val="000000"/>
                <w:lang w:eastAsia="lt-LT"/>
              </w:rPr>
              <w:t>Prūsalių</w:t>
            </w:r>
            <w:proofErr w:type="spellEnd"/>
            <w:r w:rsidRPr="00273C0D">
              <w:rPr>
                <w:rFonts w:ascii="Times New Roman" w:eastAsia="Times New Roman" w:hAnsi="Times New Roman"/>
                <w:color w:val="000000"/>
                <w:lang w:eastAsia="lt-LT"/>
              </w:rPr>
              <w:t xml:space="preserve"> mokykla-darželis</w:t>
            </w:r>
          </w:p>
        </w:tc>
        <w:tc>
          <w:tcPr>
            <w:tcW w:w="1391" w:type="dxa"/>
            <w:tcBorders>
              <w:top w:val="nil"/>
              <w:left w:val="nil"/>
              <w:bottom w:val="single" w:sz="8" w:space="0" w:color="auto"/>
              <w:right w:val="single" w:sz="8" w:space="0" w:color="auto"/>
            </w:tcBorders>
            <w:shd w:val="clear" w:color="auto" w:fill="auto"/>
            <w:vAlign w:val="center"/>
          </w:tcPr>
          <w:p w:rsidR="00AE2461" w:rsidRPr="00273C0D" w:rsidRDefault="0029077C"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26</w:t>
            </w:r>
          </w:p>
        </w:tc>
        <w:tc>
          <w:tcPr>
            <w:tcW w:w="1934" w:type="dxa"/>
            <w:tcBorders>
              <w:top w:val="nil"/>
              <w:left w:val="nil"/>
              <w:bottom w:val="single" w:sz="8" w:space="0" w:color="auto"/>
              <w:right w:val="single" w:sz="8" w:space="0" w:color="auto"/>
            </w:tcBorders>
            <w:shd w:val="clear" w:color="auto" w:fill="auto"/>
            <w:vAlign w:val="center"/>
          </w:tcPr>
          <w:p w:rsidR="00AE2461" w:rsidRPr="00273C0D" w:rsidRDefault="0029077C"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26</w:t>
            </w:r>
          </w:p>
        </w:tc>
        <w:tc>
          <w:tcPr>
            <w:tcW w:w="2083" w:type="dxa"/>
            <w:tcBorders>
              <w:top w:val="nil"/>
              <w:left w:val="nil"/>
              <w:bottom w:val="single" w:sz="8" w:space="0" w:color="auto"/>
              <w:right w:val="single" w:sz="8" w:space="0" w:color="auto"/>
            </w:tcBorders>
            <w:shd w:val="clear" w:color="auto" w:fill="auto"/>
            <w:vAlign w:val="center"/>
          </w:tcPr>
          <w:p w:rsidR="00AE2461" w:rsidRPr="00273C0D" w:rsidRDefault="0029077C"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100</w:t>
            </w:r>
          </w:p>
        </w:tc>
      </w:tr>
      <w:tr w:rsidR="00AE2461" w:rsidRPr="00273C0D" w:rsidTr="005E75D0">
        <w:trPr>
          <w:trHeight w:val="415"/>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AE2461" w:rsidRPr="00273C0D" w:rsidRDefault="00AE2461" w:rsidP="00932D82">
            <w:pPr>
              <w:spacing w:after="0" w:line="240" w:lineRule="auto"/>
              <w:jc w:val="center"/>
              <w:rPr>
                <w:rFonts w:ascii="Times New Roman" w:eastAsia="Times New Roman" w:hAnsi="Times New Roman"/>
                <w:color w:val="000000"/>
                <w:lang w:eastAsia="lt-LT"/>
              </w:rPr>
            </w:pPr>
            <w:r w:rsidRPr="00273C0D">
              <w:rPr>
                <w:rFonts w:ascii="Times New Roman" w:eastAsia="Times New Roman" w:hAnsi="Times New Roman"/>
                <w:color w:val="000000"/>
                <w:lang w:eastAsia="lt-LT"/>
              </w:rPr>
              <w:t>8.</w:t>
            </w:r>
          </w:p>
        </w:tc>
        <w:tc>
          <w:tcPr>
            <w:tcW w:w="3560" w:type="dxa"/>
            <w:tcBorders>
              <w:top w:val="nil"/>
              <w:left w:val="nil"/>
              <w:bottom w:val="single" w:sz="8" w:space="0" w:color="auto"/>
              <w:right w:val="single" w:sz="8" w:space="0" w:color="auto"/>
            </w:tcBorders>
            <w:shd w:val="clear" w:color="auto" w:fill="auto"/>
            <w:vAlign w:val="center"/>
            <w:hideMark/>
          </w:tcPr>
          <w:p w:rsidR="00AE2461" w:rsidRPr="00273C0D" w:rsidRDefault="00AE2461" w:rsidP="00932D82">
            <w:pPr>
              <w:spacing w:after="0" w:line="240" w:lineRule="auto"/>
              <w:rPr>
                <w:rFonts w:ascii="Times New Roman" w:eastAsia="Times New Roman" w:hAnsi="Times New Roman"/>
                <w:color w:val="000000"/>
                <w:lang w:eastAsia="lt-LT"/>
              </w:rPr>
            </w:pPr>
            <w:r w:rsidRPr="00273C0D">
              <w:rPr>
                <w:rFonts w:ascii="Times New Roman" w:eastAsia="Times New Roman" w:hAnsi="Times New Roman"/>
                <w:color w:val="000000"/>
                <w:lang w:eastAsia="lt-LT"/>
              </w:rPr>
              <w:t>Alsėdžių L-D</w:t>
            </w:r>
          </w:p>
        </w:tc>
        <w:tc>
          <w:tcPr>
            <w:tcW w:w="1391" w:type="dxa"/>
            <w:tcBorders>
              <w:top w:val="nil"/>
              <w:left w:val="nil"/>
              <w:bottom w:val="single" w:sz="8" w:space="0" w:color="auto"/>
              <w:right w:val="single" w:sz="8" w:space="0" w:color="auto"/>
            </w:tcBorders>
            <w:shd w:val="clear" w:color="auto" w:fill="auto"/>
            <w:vAlign w:val="center"/>
          </w:tcPr>
          <w:p w:rsidR="00AE2461" w:rsidRPr="00273C0D" w:rsidRDefault="0029077C"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44</w:t>
            </w:r>
          </w:p>
        </w:tc>
        <w:tc>
          <w:tcPr>
            <w:tcW w:w="1934" w:type="dxa"/>
            <w:tcBorders>
              <w:top w:val="nil"/>
              <w:left w:val="nil"/>
              <w:bottom w:val="single" w:sz="8" w:space="0" w:color="auto"/>
              <w:right w:val="single" w:sz="8" w:space="0" w:color="auto"/>
            </w:tcBorders>
            <w:shd w:val="clear" w:color="auto" w:fill="auto"/>
            <w:vAlign w:val="center"/>
          </w:tcPr>
          <w:p w:rsidR="00AE2461" w:rsidRPr="00273C0D" w:rsidRDefault="0029077C"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42</w:t>
            </w:r>
          </w:p>
        </w:tc>
        <w:tc>
          <w:tcPr>
            <w:tcW w:w="2083" w:type="dxa"/>
            <w:tcBorders>
              <w:top w:val="nil"/>
              <w:left w:val="nil"/>
              <w:bottom w:val="single" w:sz="8" w:space="0" w:color="auto"/>
              <w:right w:val="single" w:sz="8" w:space="0" w:color="auto"/>
            </w:tcBorders>
            <w:shd w:val="clear" w:color="auto" w:fill="auto"/>
            <w:vAlign w:val="center"/>
          </w:tcPr>
          <w:p w:rsidR="00AE2461" w:rsidRPr="00273C0D" w:rsidRDefault="0029077C"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95,5</w:t>
            </w:r>
          </w:p>
        </w:tc>
      </w:tr>
      <w:tr w:rsidR="00AE2461" w:rsidRPr="00273C0D" w:rsidTr="005E75D0">
        <w:trPr>
          <w:trHeight w:val="393"/>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AE2461" w:rsidRPr="006E0EC1" w:rsidRDefault="00AE2461" w:rsidP="00932D82">
            <w:pPr>
              <w:spacing w:after="0" w:line="240" w:lineRule="auto"/>
              <w:jc w:val="center"/>
              <w:rPr>
                <w:rFonts w:ascii="Times New Roman" w:eastAsia="Times New Roman" w:hAnsi="Times New Roman"/>
                <w:lang w:eastAsia="lt-LT"/>
              </w:rPr>
            </w:pPr>
            <w:r w:rsidRPr="006E0EC1">
              <w:rPr>
                <w:rFonts w:ascii="Times New Roman" w:eastAsia="Times New Roman" w:hAnsi="Times New Roman"/>
                <w:lang w:eastAsia="lt-LT"/>
              </w:rPr>
              <w:t>9.</w:t>
            </w:r>
          </w:p>
        </w:tc>
        <w:tc>
          <w:tcPr>
            <w:tcW w:w="3560" w:type="dxa"/>
            <w:tcBorders>
              <w:top w:val="nil"/>
              <w:left w:val="nil"/>
              <w:bottom w:val="single" w:sz="8" w:space="0" w:color="auto"/>
              <w:right w:val="single" w:sz="8" w:space="0" w:color="auto"/>
            </w:tcBorders>
            <w:shd w:val="clear" w:color="auto" w:fill="auto"/>
            <w:vAlign w:val="center"/>
            <w:hideMark/>
          </w:tcPr>
          <w:p w:rsidR="00AE2461" w:rsidRPr="006E0EC1" w:rsidRDefault="00DA773F" w:rsidP="00932D82">
            <w:pPr>
              <w:spacing w:after="0" w:line="240" w:lineRule="auto"/>
              <w:rPr>
                <w:rFonts w:ascii="Times New Roman" w:eastAsia="Times New Roman" w:hAnsi="Times New Roman"/>
                <w:lang w:eastAsia="lt-LT"/>
              </w:rPr>
            </w:pPr>
            <w:proofErr w:type="spellStart"/>
            <w:r w:rsidRPr="006E0EC1">
              <w:rPr>
                <w:rFonts w:ascii="Times New Roman" w:eastAsia="Times New Roman" w:hAnsi="Times New Roman"/>
                <w:lang w:eastAsia="lt-LT"/>
              </w:rPr>
              <w:t>Šateikių</w:t>
            </w:r>
            <w:proofErr w:type="spellEnd"/>
            <w:r w:rsidRPr="006E0EC1">
              <w:rPr>
                <w:rFonts w:ascii="Times New Roman" w:eastAsia="Times New Roman" w:hAnsi="Times New Roman"/>
                <w:lang w:eastAsia="lt-LT"/>
              </w:rPr>
              <w:t xml:space="preserve"> L-D</w:t>
            </w:r>
          </w:p>
        </w:tc>
        <w:tc>
          <w:tcPr>
            <w:tcW w:w="1391" w:type="dxa"/>
            <w:tcBorders>
              <w:top w:val="nil"/>
              <w:left w:val="nil"/>
              <w:bottom w:val="single" w:sz="8" w:space="0" w:color="auto"/>
              <w:right w:val="single" w:sz="8" w:space="0" w:color="auto"/>
            </w:tcBorders>
            <w:shd w:val="clear" w:color="auto" w:fill="auto"/>
            <w:vAlign w:val="center"/>
          </w:tcPr>
          <w:p w:rsidR="00AE2461" w:rsidRPr="006E0EC1" w:rsidRDefault="0029077C" w:rsidP="00932D82">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19</w:t>
            </w:r>
          </w:p>
        </w:tc>
        <w:tc>
          <w:tcPr>
            <w:tcW w:w="1934" w:type="dxa"/>
            <w:tcBorders>
              <w:top w:val="nil"/>
              <w:left w:val="nil"/>
              <w:bottom w:val="single" w:sz="8" w:space="0" w:color="auto"/>
              <w:right w:val="single" w:sz="8" w:space="0" w:color="auto"/>
            </w:tcBorders>
            <w:shd w:val="clear" w:color="auto" w:fill="auto"/>
            <w:vAlign w:val="center"/>
          </w:tcPr>
          <w:p w:rsidR="00AE2461" w:rsidRPr="006E0EC1" w:rsidRDefault="0029077C" w:rsidP="00932D82">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16</w:t>
            </w:r>
          </w:p>
        </w:tc>
        <w:tc>
          <w:tcPr>
            <w:tcW w:w="2083" w:type="dxa"/>
            <w:tcBorders>
              <w:top w:val="nil"/>
              <w:left w:val="nil"/>
              <w:bottom w:val="single" w:sz="8" w:space="0" w:color="auto"/>
              <w:right w:val="single" w:sz="8" w:space="0" w:color="auto"/>
            </w:tcBorders>
            <w:shd w:val="clear" w:color="auto" w:fill="auto"/>
            <w:vAlign w:val="center"/>
          </w:tcPr>
          <w:p w:rsidR="00AE2461" w:rsidRPr="006E0EC1" w:rsidRDefault="0029077C" w:rsidP="00932D82">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84</w:t>
            </w:r>
          </w:p>
        </w:tc>
      </w:tr>
      <w:tr w:rsidR="00AE2461" w:rsidRPr="00273C0D" w:rsidTr="005E75D0">
        <w:trPr>
          <w:trHeight w:val="413"/>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AE2461" w:rsidRPr="00273C0D" w:rsidRDefault="00AE2461" w:rsidP="00932D82">
            <w:pPr>
              <w:spacing w:after="0" w:line="240" w:lineRule="auto"/>
              <w:jc w:val="center"/>
              <w:rPr>
                <w:rFonts w:ascii="Times New Roman" w:eastAsia="Times New Roman" w:hAnsi="Times New Roman"/>
                <w:color w:val="000000"/>
                <w:lang w:eastAsia="lt-LT"/>
              </w:rPr>
            </w:pPr>
            <w:r w:rsidRPr="00273C0D">
              <w:rPr>
                <w:rFonts w:ascii="Times New Roman" w:eastAsia="Times New Roman" w:hAnsi="Times New Roman"/>
                <w:color w:val="000000"/>
                <w:lang w:eastAsia="lt-LT"/>
              </w:rPr>
              <w:t>10.</w:t>
            </w:r>
          </w:p>
        </w:tc>
        <w:tc>
          <w:tcPr>
            <w:tcW w:w="3560" w:type="dxa"/>
            <w:tcBorders>
              <w:top w:val="nil"/>
              <w:left w:val="nil"/>
              <w:bottom w:val="single" w:sz="8" w:space="0" w:color="auto"/>
              <w:right w:val="single" w:sz="8" w:space="0" w:color="auto"/>
            </w:tcBorders>
            <w:shd w:val="clear" w:color="auto" w:fill="auto"/>
            <w:vAlign w:val="center"/>
            <w:hideMark/>
          </w:tcPr>
          <w:p w:rsidR="00AE2461" w:rsidRPr="00273C0D" w:rsidRDefault="00DA773F" w:rsidP="00932D82">
            <w:pPr>
              <w:spacing w:after="0" w:line="240" w:lineRule="auto"/>
              <w:rPr>
                <w:rFonts w:ascii="Times New Roman" w:eastAsia="Times New Roman" w:hAnsi="Times New Roman"/>
                <w:color w:val="000000"/>
                <w:lang w:eastAsia="lt-LT"/>
              </w:rPr>
            </w:pPr>
            <w:proofErr w:type="spellStart"/>
            <w:r>
              <w:rPr>
                <w:rFonts w:ascii="Times New Roman" w:eastAsia="Times New Roman" w:hAnsi="Times New Roman"/>
                <w:color w:val="000000"/>
                <w:lang w:eastAsia="lt-LT"/>
              </w:rPr>
              <w:t>Didvyčių</w:t>
            </w:r>
            <w:proofErr w:type="spellEnd"/>
            <w:r>
              <w:rPr>
                <w:rFonts w:ascii="Times New Roman" w:eastAsia="Times New Roman" w:hAnsi="Times New Roman"/>
                <w:color w:val="000000"/>
                <w:lang w:eastAsia="lt-LT"/>
              </w:rPr>
              <w:t xml:space="preserve"> D</w:t>
            </w:r>
            <w:r w:rsidR="00AE2461" w:rsidRPr="00273C0D">
              <w:rPr>
                <w:rFonts w:ascii="Times New Roman" w:eastAsia="Times New Roman" w:hAnsi="Times New Roman"/>
                <w:color w:val="000000"/>
                <w:lang w:eastAsia="lt-LT"/>
              </w:rPr>
              <w:t>C</w:t>
            </w:r>
          </w:p>
        </w:tc>
        <w:tc>
          <w:tcPr>
            <w:tcW w:w="1391" w:type="dxa"/>
            <w:tcBorders>
              <w:top w:val="nil"/>
              <w:left w:val="nil"/>
              <w:bottom w:val="single" w:sz="8" w:space="0" w:color="auto"/>
              <w:right w:val="single" w:sz="8" w:space="0" w:color="auto"/>
            </w:tcBorders>
            <w:shd w:val="clear" w:color="auto" w:fill="auto"/>
            <w:vAlign w:val="center"/>
          </w:tcPr>
          <w:p w:rsidR="00AE2461" w:rsidRPr="00273C0D" w:rsidRDefault="0029077C"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24</w:t>
            </w:r>
          </w:p>
        </w:tc>
        <w:tc>
          <w:tcPr>
            <w:tcW w:w="1934" w:type="dxa"/>
            <w:tcBorders>
              <w:top w:val="nil"/>
              <w:left w:val="nil"/>
              <w:bottom w:val="single" w:sz="8" w:space="0" w:color="auto"/>
              <w:right w:val="single" w:sz="8" w:space="0" w:color="auto"/>
            </w:tcBorders>
            <w:shd w:val="clear" w:color="auto" w:fill="auto"/>
            <w:vAlign w:val="center"/>
          </w:tcPr>
          <w:p w:rsidR="00AE2461" w:rsidRPr="00273C0D" w:rsidRDefault="0029077C"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24</w:t>
            </w:r>
          </w:p>
        </w:tc>
        <w:tc>
          <w:tcPr>
            <w:tcW w:w="2083" w:type="dxa"/>
            <w:tcBorders>
              <w:top w:val="nil"/>
              <w:left w:val="nil"/>
              <w:bottom w:val="single" w:sz="8" w:space="0" w:color="auto"/>
              <w:right w:val="single" w:sz="8" w:space="0" w:color="auto"/>
            </w:tcBorders>
            <w:shd w:val="clear" w:color="auto" w:fill="auto"/>
            <w:vAlign w:val="center"/>
          </w:tcPr>
          <w:p w:rsidR="00AE2461" w:rsidRPr="00273C0D" w:rsidRDefault="0029077C"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100</w:t>
            </w:r>
          </w:p>
        </w:tc>
      </w:tr>
      <w:tr w:rsidR="00AE2461" w:rsidRPr="00273C0D" w:rsidTr="005E75D0">
        <w:trPr>
          <w:trHeight w:val="405"/>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AE2461" w:rsidRPr="00273C0D" w:rsidRDefault="00AE2461" w:rsidP="00932D82">
            <w:pPr>
              <w:spacing w:after="0" w:line="240" w:lineRule="auto"/>
              <w:jc w:val="center"/>
              <w:rPr>
                <w:rFonts w:ascii="Times New Roman" w:eastAsia="Times New Roman" w:hAnsi="Times New Roman"/>
                <w:color w:val="000000"/>
                <w:lang w:eastAsia="lt-LT"/>
              </w:rPr>
            </w:pPr>
            <w:r w:rsidRPr="00273C0D">
              <w:rPr>
                <w:rFonts w:ascii="Times New Roman" w:eastAsia="Times New Roman" w:hAnsi="Times New Roman"/>
                <w:color w:val="000000"/>
                <w:lang w:eastAsia="lt-LT"/>
              </w:rPr>
              <w:t>11.</w:t>
            </w:r>
          </w:p>
        </w:tc>
        <w:tc>
          <w:tcPr>
            <w:tcW w:w="3560" w:type="dxa"/>
            <w:tcBorders>
              <w:top w:val="nil"/>
              <w:left w:val="nil"/>
              <w:bottom w:val="single" w:sz="8" w:space="0" w:color="auto"/>
              <w:right w:val="single" w:sz="8" w:space="0" w:color="auto"/>
            </w:tcBorders>
            <w:shd w:val="clear" w:color="auto" w:fill="auto"/>
            <w:vAlign w:val="center"/>
            <w:hideMark/>
          </w:tcPr>
          <w:p w:rsidR="00AE2461" w:rsidRPr="00273C0D" w:rsidRDefault="00AE2461" w:rsidP="00932D82">
            <w:pPr>
              <w:spacing w:after="0" w:line="240" w:lineRule="auto"/>
              <w:rPr>
                <w:rFonts w:ascii="Times New Roman" w:eastAsia="Times New Roman" w:hAnsi="Times New Roman"/>
                <w:color w:val="000000"/>
                <w:lang w:eastAsia="lt-LT"/>
              </w:rPr>
            </w:pPr>
            <w:r w:rsidRPr="00273C0D">
              <w:rPr>
                <w:rFonts w:ascii="Times New Roman" w:eastAsia="Times New Roman" w:hAnsi="Times New Roman"/>
                <w:color w:val="000000"/>
                <w:lang w:eastAsia="lt-LT"/>
              </w:rPr>
              <w:t>Platelių UDC</w:t>
            </w:r>
          </w:p>
        </w:tc>
        <w:tc>
          <w:tcPr>
            <w:tcW w:w="1391" w:type="dxa"/>
            <w:tcBorders>
              <w:top w:val="nil"/>
              <w:left w:val="nil"/>
              <w:bottom w:val="single" w:sz="8" w:space="0" w:color="auto"/>
              <w:right w:val="single" w:sz="8" w:space="0" w:color="auto"/>
            </w:tcBorders>
            <w:shd w:val="clear" w:color="auto" w:fill="auto"/>
            <w:vAlign w:val="center"/>
          </w:tcPr>
          <w:p w:rsidR="00AE2461" w:rsidRPr="00273C0D" w:rsidRDefault="0029077C"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47</w:t>
            </w:r>
          </w:p>
        </w:tc>
        <w:tc>
          <w:tcPr>
            <w:tcW w:w="1934" w:type="dxa"/>
            <w:tcBorders>
              <w:top w:val="nil"/>
              <w:left w:val="nil"/>
              <w:bottom w:val="single" w:sz="8" w:space="0" w:color="auto"/>
              <w:right w:val="single" w:sz="8" w:space="0" w:color="auto"/>
            </w:tcBorders>
            <w:shd w:val="clear" w:color="auto" w:fill="auto"/>
            <w:vAlign w:val="center"/>
          </w:tcPr>
          <w:p w:rsidR="00AE2461" w:rsidRPr="00273C0D" w:rsidRDefault="0029077C"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32</w:t>
            </w:r>
          </w:p>
        </w:tc>
        <w:tc>
          <w:tcPr>
            <w:tcW w:w="2083" w:type="dxa"/>
            <w:tcBorders>
              <w:top w:val="nil"/>
              <w:left w:val="nil"/>
              <w:bottom w:val="single" w:sz="8" w:space="0" w:color="auto"/>
              <w:right w:val="single" w:sz="8" w:space="0" w:color="auto"/>
            </w:tcBorders>
            <w:shd w:val="clear" w:color="auto" w:fill="auto"/>
            <w:vAlign w:val="center"/>
          </w:tcPr>
          <w:p w:rsidR="00AE2461" w:rsidRPr="00273C0D" w:rsidRDefault="0029077C"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68,1</w:t>
            </w:r>
          </w:p>
        </w:tc>
      </w:tr>
      <w:tr w:rsidR="00DA773F" w:rsidRPr="00273C0D" w:rsidTr="00932D82">
        <w:trPr>
          <w:trHeight w:val="377"/>
        </w:trPr>
        <w:tc>
          <w:tcPr>
            <w:tcW w:w="867" w:type="dxa"/>
            <w:tcBorders>
              <w:top w:val="nil"/>
              <w:left w:val="single" w:sz="8" w:space="0" w:color="auto"/>
              <w:bottom w:val="single" w:sz="8" w:space="0" w:color="auto"/>
              <w:right w:val="single" w:sz="8" w:space="0" w:color="auto"/>
            </w:tcBorders>
            <w:shd w:val="clear" w:color="auto" w:fill="auto"/>
            <w:vAlign w:val="center"/>
          </w:tcPr>
          <w:p w:rsidR="00DA773F" w:rsidRPr="00273C0D" w:rsidRDefault="00DA773F"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12.</w:t>
            </w:r>
          </w:p>
        </w:tc>
        <w:tc>
          <w:tcPr>
            <w:tcW w:w="3560" w:type="dxa"/>
            <w:tcBorders>
              <w:top w:val="nil"/>
              <w:left w:val="nil"/>
              <w:bottom w:val="single" w:sz="8" w:space="0" w:color="auto"/>
              <w:right w:val="single" w:sz="8" w:space="0" w:color="auto"/>
            </w:tcBorders>
            <w:shd w:val="clear" w:color="auto" w:fill="auto"/>
            <w:vAlign w:val="center"/>
          </w:tcPr>
          <w:p w:rsidR="00DA773F" w:rsidRPr="006E0EC1" w:rsidRDefault="00DA773F" w:rsidP="00932D82">
            <w:pPr>
              <w:spacing w:after="0" w:line="240" w:lineRule="auto"/>
              <w:rPr>
                <w:rFonts w:ascii="Times New Roman" w:eastAsia="Times New Roman" w:hAnsi="Times New Roman"/>
                <w:lang w:eastAsia="lt-LT"/>
              </w:rPr>
            </w:pPr>
            <w:proofErr w:type="spellStart"/>
            <w:r w:rsidRPr="006E0EC1">
              <w:rPr>
                <w:rFonts w:ascii="Times New Roman" w:eastAsia="Times New Roman" w:hAnsi="Times New Roman"/>
                <w:lang w:eastAsia="lt-LT"/>
              </w:rPr>
              <w:t>Žem</w:t>
            </w:r>
            <w:proofErr w:type="spellEnd"/>
            <w:r w:rsidRPr="006E0EC1">
              <w:rPr>
                <w:rFonts w:ascii="Times New Roman" w:eastAsia="Times New Roman" w:hAnsi="Times New Roman"/>
                <w:lang w:eastAsia="lt-LT"/>
              </w:rPr>
              <w:t xml:space="preserve">. Kalvarijos L-D </w:t>
            </w:r>
          </w:p>
        </w:tc>
        <w:tc>
          <w:tcPr>
            <w:tcW w:w="1391" w:type="dxa"/>
            <w:tcBorders>
              <w:top w:val="nil"/>
              <w:left w:val="nil"/>
              <w:bottom w:val="single" w:sz="8" w:space="0" w:color="auto"/>
              <w:right w:val="single" w:sz="8" w:space="0" w:color="auto"/>
            </w:tcBorders>
            <w:shd w:val="clear" w:color="auto" w:fill="auto"/>
            <w:vAlign w:val="center"/>
          </w:tcPr>
          <w:p w:rsidR="00DA773F" w:rsidRPr="006E0EC1" w:rsidRDefault="0029077C" w:rsidP="00932D82">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45</w:t>
            </w:r>
          </w:p>
        </w:tc>
        <w:tc>
          <w:tcPr>
            <w:tcW w:w="1934" w:type="dxa"/>
            <w:tcBorders>
              <w:top w:val="nil"/>
              <w:left w:val="nil"/>
              <w:bottom w:val="single" w:sz="8" w:space="0" w:color="auto"/>
              <w:right w:val="single" w:sz="8" w:space="0" w:color="auto"/>
            </w:tcBorders>
            <w:shd w:val="clear" w:color="auto" w:fill="auto"/>
            <w:vAlign w:val="center"/>
          </w:tcPr>
          <w:p w:rsidR="00DA773F" w:rsidRPr="006E0EC1" w:rsidRDefault="0029077C" w:rsidP="00932D82">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45</w:t>
            </w:r>
          </w:p>
        </w:tc>
        <w:tc>
          <w:tcPr>
            <w:tcW w:w="2083" w:type="dxa"/>
            <w:tcBorders>
              <w:top w:val="nil"/>
              <w:left w:val="nil"/>
              <w:bottom w:val="single" w:sz="8" w:space="0" w:color="auto"/>
              <w:right w:val="single" w:sz="8" w:space="0" w:color="auto"/>
            </w:tcBorders>
            <w:shd w:val="clear" w:color="auto" w:fill="auto"/>
            <w:vAlign w:val="center"/>
          </w:tcPr>
          <w:p w:rsidR="00DA773F" w:rsidRPr="006E0EC1" w:rsidRDefault="0029077C" w:rsidP="00932D82">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100</w:t>
            </w:r>
          </w:p>
        </w:tc>
      </w:tr>
      <w:tr w:rsidR="006E0EC1" w:rsidRPr="00273C0D" w:rsidTr="00932D82">
        <w:trPr>
          <w:trHeight w:val="377"/>
        </w:trPr>
        <w:tc>
          <w:tcPr>
            <w:tcW w:w="867" w:type="dxa"/>
            <w:tcBorders>
              <w:top w:val="nil"/>
              <w:left w:val="single" w:sz="8" w:space="0" w:color="auto"/>
              <w:bottom w:val="single" w:sz="8" w:space="0" w:color="auto"/>
              <w:right w:val="single" w:sz="8" w:space="0" w:color="auto"/>
            </w:tcBorders>
            <w:shd w:val="clear" w:color="auto" w:fill="auto"/>
            <w:vAlign w:val="center"/>
          </w:tcPr>
          <w:p w:rsidR="006E0EC1" w:rsidRDefault="006E0EC1"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13.</w:t>
            </w:r>
          </w:p>
        </w:tc>
        <w:tc>
          <w:tcPr>
            <w:tcW w:w="3560" w:type="dxa"/>
            <w:tcBorders>
              <w:top w:val="nil"/>
              <w:left w:val="nil"/>
              <w:bottom w:val="single" w:sz="8" w:space="0" w:color="auto"/>
              <w:right w:val="single" w:sz="8" w:space="0" w:color="auto"/>
            </w:tcBorders>
            <w:shd w:val="clear" w:color="auto" w:fill="auto"/>
            <w:vAlign w:val="center"/>
          </w:tcPr>
          <w:p w:rsidR="006E0EC1" w:rsidRPr="006E0EC1" w:rsidRDefault="006E0EC1" w:rsidP="00932D82">
            <w:pPr>
              <w:spacing w:after="0" w:line="240" w:lineRule="auto"/>
              <w:rPr>
                <w:rFonts w:ascii="Times New Roman" w:eastAsia="Times New Roman" w:hAnsi="Times New Roman"/>
                <w:lang w:eastAsia="lt-LT"/>
              </w:rPr>
            </w:pPr>
            <w:r>
              <w:rPr>
                <w:rFonts w:ascii="Times New Roman" w:eastAsia="Times New Roman" w:hAnsi="Times New Roman"/>
                <w:lang w:eastAsia="lt-LT"/>
              </w:rPr>
              <w:t>Kantaučių DC</w:t>
            </w:r>
          </w:p>
        </w:tc>
        <w:tc>
          <w:tcPr>
            <w:tcW w:w="1391" w:type="dxa"/>
            <w:tcBorders>
              <w:top w:val="nil"/>
              <w:left w:val="nil"/>
              <w:bottom w:val="single" w:sz="8" w:space="0" w:color="auto"/>
              <w:right w:val="single" w:sz="8" w:space="0" w:color="auto"/>
            </w:tcBorders>
            <w:shd w:val="clear" w:color="auto" w:fill="auto"/>
            <w:vAlign w:val="center"/>
          </w:tcPr>
          <w:p w:rsidR="006E0EC1" w:rsidRPr="006E0EC1" w:rsidRDefault="0029077C" w:rsidP="00932D82">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14</w:t>
            </w:r>
          </w:p>
        </w:tc>
        <w:tc>
          <w:tcPr>
            <w:tcW w:w="1934" w:type="dxa"/>
            <w:tcBorders>
              <w:top w:val="nil"/>
              <w:left w:val="nil"/>
              <w:bottom w:val="single" w:sz="8" w:space="0" w:color="auto"/>
              <w:right w:val="single" w:sz="8" w:space="0" w:color="auto"/>
            </w:tcBorders>
            <w:shd w:val="clear" w:color="auto" w:fill="auto"/>
            <w:vAlign w:val="center"/>
          </w:tcPr>
          <w:p w:rsidR="006E0EC1" w:rsidRPr="006E0EC1" w:rsidRDefault="0029077C" w:rsidP="00932D82">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14</w:t>
            </w:r>
          </w:p>
        </w:tc>
        <w:tc>
          <w:tcPr>
            <w:tcW w:w="2083" w:type="dxa"/>
            <w:tcBorders>
              <w:top w:val="nil"/>
              <w:left w:val="nil"/>
              <w:bottom w:val="single" w:sz="8" w:space="0" w:color="auto"/>
              <w:right w:val="single" w:sz="8" w:space="0" w:color="auto"/>
            </w:tcBorders>
            <w:shd w:val="clear" w:color="auto" w:fill="auto"/>
            <w:vAlign w:val="center"/>
          </w:tcPr>
          <w:p w:rsidR="006E0EC1" w:rsidRPr="006E0EC1" w:rsidRDefault="0029077C" w:rsidP="00932D82">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100</w:t>
            </w:r>
          </w:p>
        </w:tc>
      </w:tr>
      <w:tr w:rsidR="005E75D0" w:rsidRPr="00273C0D" w:rsidTr="00932D82">
        <w:trPr>
          <w:trHeight w:val="377"/>
        </w:trPr>
        <w:tc>
          <w:tcPr>
            <w:tcW w:w="867" w:type="dxa"/>
            <w:tcBorders>
              <w:top w:val="nil"/>
              <w:left w:val="single" w:sz="8" w:space="0" w:color="auto"/>
              <w:bottom w:val="single" w:sz="8" w:space="0" w:color="auto"/>
              <w:right w:val="single" w:sz="8" w:space="0" w:color="auto"/>
            </w:tcBorders>
            <w:shd w:val="clear" w:color="auto" w:fill="auto"/>
            <w:vAlign w:val="center"/>
          </w:tcPr>
          <w:p w:rsidR="005E75D0" w:rsidRDefault="005E75D0" w:rsidP="00932D82">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14.</w:t>
            </w:r>
          </w:p>
        </w:tc>
        <w:tc>
          <w:tcPr>
            <w:tcW w:w="3560" w:type="dxa"/>
            <w:tcBorders>
              <w:top w:val="nil"/>
              <w:left w:val="nil"/>
              <w:bottom w:val="single" w:sz="8" w:space="0" w:color="auto"/>
              <w:right w:val="single" w:sz="8" w:space="0" w:color="auto"/>
            </w:tcBorders>
            <w:shd w:val="clear" w:color="auto" w:fill="auto"/>
            <w:vAlign w:val="center"/>
          </w:tcPr>
          <w:p w:rsidR="005E75D0" w:rsidRDefault="005E75D0" w:rsidP="00932D82">
            <w:pPr>
              <w:spacing w:after="0" w:line="240" w:lineRule="auto"/>
              <w:rPr>
                <w:rFonts w:ascii="Times New Roman" w:eastAsia="Times New Roman" w:hAnsi="Times New Roman"/>
                <w:lang w:eastAsia="lt-LT"/>
              </w:rPr>
            </w:pPr>
            <w:r>
              <w:rPr>
                <w:rFonts w:ascii="Times New Roman" w:eastAsia="Times New Roman" w:hAnsi="Times New Roman"/>
                <w:lang w:eastAsia="lt-LT"/>
              </w:rPr>
              <w:t xml:space="preserve">Kulių L – D </w:t>
            </w:r>
          </w:p>
        </w:tc>
        <w:tc>
          <w:tcPr>
            <w:tcW w:w="1391" w:type="dxa"/>
            <w:tcBorders>
              <w:top w:val="nil"/>
              <w:left w:val="nil"/>
              <w:bottom w:val="single" w:sz="8" w:space="0" w:color="auto"/>
              <w:right w:val="single" w:sz="8" w:space="0" w:color="auto"/>
            </w:tcBorders>
            <w:shd w:val="clear" w:color="auto" w:fill="auto"/>
            <w:vAlign w:val="center"/>
          </w:tcPr>
          <w:p w:rsidR="005E75D0" w:rsidRPr="006E0EC1" w:rsidRDefault="0029077C" w:rsidP="00932D82">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30</w:t>
            </w:r>
          </w:p>
        </w:tc>
        <w:tc>
          <w:tcPr>
            <w:tcW w:w="1934" w:type="dxa"/>
            <w:tcBorders>
              <w:top w:val="nil"/>
              <w:left w:val="nil"/>
              <w:bottom w:val="single" w:sz="8" w:space="0" w:color="auto"/>
              <w:right w:val="single" w:sz="8" w:space="0" w:color="auto"/>
            </w:tcBorders>
            <w:shd w:val="clear" w:color="auto" w:fill="auto"/>
            <w:vAlign w:val="center"/>
          </w:tcPr>
          <w:p w:rsidR="005E75D0" w:rsidRPr="006E0EC1" w:rsidRDefault="0029077C" w:rsidP="00932D82">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30</w:t>
            </w:r>
          </w:p>
        </w:tc>
        <w:tc>
          <w:tcPr>
            <w:tcW w:w="2083" w:type="dxa"/>
            <w:tcBorders>
              <w:top w:val="nil"/>
              <w:left w:val="nil"/>
              <w:bottom w:val="single" w:sz="8" w:space="0" w:color="auto"/>
              <w:right w:val="single" w:sz="8" w:space="0" w:color="auto"/>
            </w:tcBorders>
            <w:shd w:val="clear" w:color="auto" w:fill="auto"/>
            <w:vAlign w:val="center"/>
          </w:tcPr>
          <w:p w:rsidR="005E75D0" w:rsidRPr="006E0EC1" w:rsidRDefault="0029077C" w:rsidP="00932D82">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100</w:t>
            </w:r>
          </w:p>
        </w:tc>
      </w:tr>
      <w:tr w:rsidR="00AE2461" w:rsidRPr="00273C0D" w:rsidTr="006E0EC1">
        <w:trPr>
          <w:trHeight w:val="191"/>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AE2461" w:rsidRPr="00273C0D" w:rsidRDefault="00AE2461" w:rsidP="00932D82">
            <w:pPr>
              <w:spacing w:after="0" w:line="240" w:lineRule="auto"/>
              <w:jc w:val="center"/>
              <w:rPr>
                <w:rFonts w:ascii="Times New Roman" w:eastAsia="Times New Roman" w:hAnsi="Times New Roman"/>
                <w:color w:val="000000"/>
                <w:lang w:eastAsia="lt-LT"/>
              </w:rPr>
            </w:pPr>
            <w:r w:rsidRPr="00273C0D">
              <w:rPr>
                <w:rFonts w:ascii="Times New Roman" w:eastAsia="Times New Roman" w:hAnsi="Times New Roman"/>
                <w:color w:val="000000"/>
                <w:lang w:eastAsia="lt-LT"/>
              </w:rPr>
              <w:t> </w:t>
            </w:r>
          </w:p>
          <w:p w:rsidR="00AE2461" w:rsidRPr="00273C0D" w:rsidRDefault="00AE2461" w:rsidP="00932D82">
            <w:pPr>
              <w:spacing w:after="0" w:line="240" w:lineRule="auto"/>
              <w:jc w:val="center"/>
              <w:rPr>
                <w:rFonts w:ascii="Times New Roman" w:eastAsia="Times New Roman" w:hAnsi="Times New Roman"/>
                <w:color w:val="000000"/>
                <w:lang w:eastAsia="lt-LT"/>
              </w:rPr>
            </w:pPr>
            <w:r w:rsidRPr="00273C0D">
              <w:rPr>
                <w:rFonts w:ascii="Times New Roman" w:eastAsia="Times New Roman" w:hAnsi="Times New Roman"/>
                <w:color w:val="000000"/>
                <w:lang w:eastAsia="lt-LT"/>
              </w:rPr>
              <w:t> </w:t>
            </w:r>
          </w:p>
        </w:tc>
        <w:tc>
          <w:tcPr>
            <w:tcW w:w="3560" w:type="dxa"/>
            <w:tcBorders>
              <w:top w:val="nil"/>
              <w:left w:val="nil"/>
              <w:bottom w:val="single" w:sz="8" w:space="0" w:color="auto"/>
              <w:right w:val="single" w:sz="8" w:space="0" w:color="auto"/>
            </w:tcBorders>
            <w:shd w:val="clear" w:color="auto" w:fill="auto"/>
            <w:vAlign w:val="center"/>
            <w:hideMark/>
          </w:tcPr>
          <w:p w:rsidR="00AE2461" w:rsidRPr="001067A9" w:rsidRDefault="00AE2461" w:rsidP="00932D82">
            <w:pPr>
              <w:spacing w:after="0" w:line="240" w:lineRule="auto"/>
              <w:rPr>
                <w:rFonts w:ascii="Times New Roman" w:eastAsia="Times New Roman" w:hAnsi="Times New Roman"/>
                <w:b/>
                <w:color w:val="000000"/>
                <w:lang w:eastAsia="lt-LT"/>
              </w:rPr>
            </w:pPr>
            <w:r w:rsidRPr="001067A9">
              <w:rPr>
                <w:rFonts w:ascii="Times New Roman" w:eastAsia="Times New Roman" w:hAnsi="Times New Roman"/>
                <w:b/>
                <w:color w:val="000000"/>
                <w:lang w:eastAsia="lt-LT"/>
              </w:rPr>
              <w:t> </w:t>
            </w:r>
          </w:p>
          <w:p w:rsidR="00AE2461" w:rsidRPr="001067A9" w:rsidRDefault="00AE2461" w:rsidP="00932D82">
            <w:pPr>
              <w:spacing w:after="0" w:line="240" w:lineRule="auto"/>
              <w:jc w:val="right"/>
              <w:rPr>
                <w:rFonts w:ascii="Times New Roman" w:eastAsia="Times New Roman" w:hAnsi="Times New Roman"/>
                <w:b/>
                <w:color w:val="000000"/>
                <w:lang w:eastAsia="lt-LT"/>
              </w:rPr>
            </w:pPr>
            <w:r w:rsidRPr="001067A9">
              <w:rPr>
                <w:rFonts w:ascii="Times New Roman" w:eastAsia="Times New Roman" w:hAnsi="Times New Roman"/>
                <w:b/>
                <w:color w:val="000000"/>
                <w:lang w:eastAsia="lt-LT"/>
              </w:rPr>
              <w:t>Iš viso</w:t>
            </w:r>
          </w:p>
        </w:tc>
        <w:tc>
          <w:tcPr>
            <w:tcW w:w="1391" w:type="dxa"/>
            <w:tcBorders>
              <w:top w:val="nil"/>
              <w:left w:val="nil"/>
              <w:bottom w:val="single" w:sz="8" w:space="0" w:color="auto"/>
              <w:right w:val="single" w:sz="8" w:space="0" w:color="auto"/>
            </w:tcBorders>
            <w:shd w:val="clear" w:color="auto" w:fill="auto"/>
            <w:vAlign w:val="center"/>
          </w:tcPr>
          <w:p w:rsidR="00AE2461" w:rsidRPr="001067A9" w:rsidRDefault="0029077C" w:rsidP="00932D82">
            <w:pPr>
              <w:spacing w:after="0" w:line="240" w:lineRule="auto"/>
              <w:jc w:val="center"/>
              <w:rPr>
                <w:rFonts w:ascii="Times New Roman" w:eastAsia="Times New Roman" w:hAnsi="Times New Roman"/>
                <w:b/>
                <w:color w:val="000000"/>
                <w:lang w:eastAsia="lt-LT"/>
              </w:rPr>
            </w:pPr>
            <w:r w:rsidRPr="001067A9">
              <w:rPr>
                <w:rFonts w:ascii="Times New Roman" w:eastAsia="Times New Roman" w:hAnsi="Times New Roman"/>
                <w:b/>
                <w:color w:val="000000"/>
                <w:lang w:eastAsia="lt-LT"/>
              </w:rPr>
              <w:t>1446</w:t>
            </w:r>
          </w:p>
        </w:tc>
        <w:tc>
          <w:tcPr>
            <w:tcW w:w="1934" w:type="dxa"/>
            <w:tcBorders>
              <w:top w:val="nil"/>
              <w:left w:val="nil"/>
              <w:bottom w:val="single" w:sz="8" w:space="0" w:color="auto"/>
              <w:right w:val="single" w:sz="8" w:space="0" w:color="auto"/>
            </w:tcBorders>
            <w:shd w:val="clear" w:color="auto" w:fill="auto"/>
            <w:vAlign w:val="center"/>
          </w:tcPr>
          <w:p w:rsidR="00AE2461" w:rsidRPr="001067A9" w:rsidRDefault="0029077C" w:rsidP="00932D82">
            <w:pPr>
              <w:spacing w:after="0" w:line="240" w:lineRule="auto"/>
              <w:jc w:val="center"/>
              <w:rPr>
                <w:rFonts w:ascii="Times New Roman" w:eastAsia="Times New Roman" w:hAnsi="Times New Roman"/>
                <w:b/>
                <w:color w:val="000000"/>
                <w:lang w:eastAsia="lt-LT"/>
              </w:rPr>
            </w:pPr>
            <w:r w:rsidRPr="001067A9">
              <w:rPr>
                <w:rFonts w:ascii="Times New Roman" w:eastAsia="Times New Roman" w:hAnsi="Times New Roman"/>
                <w:b/>
                <w:color w:val="000000"/>
                <w:lang w:eastAsia="lt-LT"/>
              </w:rPr>
              <w:t>1421</w:t>
            </w:r>
          </w:p>
        </w:tc>
        <w:tc>
          <w:tcPr>
            <w:tcW w:w="2083" w:type="dxa"/>
            <w:tcBorders>
              <w:top w:val="nil"/>
              <w:left w:val="nil"/>
              <w:bottom w:val="single" w:sz="8" w:space="0" w:color="auto"/>
              <w:right w:val="single" w:sz="8" w:space="0" w:color="auto"/>
            </w:tcBorders>
            <w:shd w:val="clear" w:color="auto" w:fill="auto"/>
            <w:vAlign w:val="center"/>
          </w:tcPr>
          <w:p w:rsidR="00AE2461" w:rsidRPr="001067A9" w:rsidRDefault="0029077C" w:rsidP="00932D82">
            <w:pPr>
              <w:spacing w:after="0" w:line="240" w:lineRule="auto"/>
              <w:jc w:val="center"/>
              <w:rPr>
                <w:rFonts w:ascii="Times New Roman" w:eastAsia="Times New Roman" w:hAnsi="Times New Roman"/>
                <w:b/>
                <w:color w:val="000000"/>
                <w:lang w:eastAsia="lt-LT"/>
              </w:rPr>
            </w:pPr>
            <w:r w:rsidRPr="001067A9">
              <w:rPr>
                <w:rFonts w:ascii="Times New Roman" w:eastAsia="Times New Roman" w:hAnsi="Times New Roman"/>
                <w:b/>
                <w:color w:val="000000"/>
                <w:lang w:eastAsia="lt-LT"/>
              </w:rPr>
              <w:t>98,3</w:t>
            </w:r>
          </w:p>
        </w:tc>
      </w:tr>
    </w:tbl>
    <w:p w:rsidR="00AE2461" w:rsidRDefault="00AE2461" w:rsidP="003837B7">
      <w:pPr>
        <w:autoSpaceDE w:val="0"/>
        <w:autoSpaceDN w:val="0"/>
        <w:adjustRightInd w:val="0"/>
        <w:spacing w:after="0" w:line="240" w:lineRule="auto"/>
        <w:jc w:val="center"/>
        <w:rPr>
          <w:rFonts w:ascii="Times New Roman" w:eastAsia="Times New Roman" w:hAnsi="Times New Roman"/>
          <w:b/>
          <w:bCs/>
          <w:i/>
          <w:sz w:val="24"/>
          <w:szCs w:val="24"/>
          <w:lang w:eastAsia="lt-LT"/>
        </w:rPr>
      </w:pPr>
      <w:r w:rsidRPr="00B167DD">
        <w:rPr>
          <w:rFonts w:ascii="Times New Roman" w:eastAsia="Times New Roman" w:hAnsi="Times New Roman"/>
          <w:b/>
          <w:bCs/>
          <w:i/>
          <w:sz w:val="24"/>
          <w:szCs w:val="24"/>
          <w:lang w:eastAsia="lt-LT"/>
        </w:rPr>
        <w:t xml:space="preserve">Šaltinis: VSB </w:t>
      </w:r>
      <w:proofErr w:type="spellStart"/>
      <w:r w:rsidRPr="00B167DD">
        <w:rPr>
          <w:rFonts w:ascii="Times New Roman" w:eastAsia="Times New Roman" w:hAnsi="Times New Roman"/>
          <w:b/>
          <w:bCs/>
          <w:i/>
          <w:sz w:val="24"/>
          <w:szCs w:val="24"/>
          <w:lang w:eastAsia="lt-LT"/>
        </w:rPr>
        <w:t>info</w:t>
      </w:r>
      <w:proofErr w:type="spellEnd"/>
    </w:p>
    <w:p w:rsidR="00DD3CB4" w:rsidRDefault="00DD3CB4" w:rsidP="00AE2461">
      <w:pPr>
        <w:autoSpaceDE w:val="0"/>
        <w:autoSpaceDN w:val="0"/>
        <w:adjustRightInd w:val="0"/>
        <w:spacing w:after="0" w:line="240" w:lineRule="auto"/>
        <w:jc w:val="both"/>
        <w:rPr>
          <w:rFonts w:ascii="Times New Roman" w:eastAsia="Times New Roman" w:hAnsi="Times New Roman"/>
          <w:bCs/>
          <w:sz w:val="24"/>
          <w:szCs w:val="24"/>
          <w:lang w:eastAsia="lt-LT"/>
        </w:rPr>
      </w:pPr>
    </w:p>
    <w:p w:rsidR="00FF2BE8" w:rsidRDefault="0029077C" w:rsidP="003837B7">
      <w:pPr>
        <w:autoSpaceDE w:val="0"/>
        <w:autoSpaceDN w:val="0"/>
        <w:adjustRightInd w:val="0"/>
        <w:spacing w:after="0" w:line="240" w:lineRule="auto"/>
        <w:ind w:firstLine="1134"/>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lastRenderedPageBreak/>
        <w:t>8</w:t>
      </w:r>
      <w:r w:rsidR="00AB3CB7">
        <w:rPr>
          <w:rFonts w:ascii="Times New Roman" w:eastAsia="Times New Roman" w:hAnsi="Times New Roman"/>
          <w:bCs/>
          <w:sz w:val="24"/>
          <w:szCs w:val="24"/>
          <w:lang w:eastAsia="lt-LT"/>
        </w:rPr>
        <w:t xml:space="preserve"> iš 10</w:t>
      </w:r>
      <w:r w:rsidR="00FC618D">
        <w:rPr>
          <w:rFonts w:ascii="Times New Roman" w:eastAsia="Times New Roman" w:hAnsi="Times New Roman"/>
          <w:bCs/>
          <w:sz w:val="24"/>
          <w:szCs w:val="24"/>
          <w:lang w:eastAsia="lt-LT"/>
        </w:rPr>
        <w:t xml:space="preserve"> </w:t>
      </w:r>
      <w:r w:rsidR="00AB3CB7">
        <w:rPr>
          <w:rFonts w:ascii="Times New Roman" w:eastAsia="Times New Roman" w:hAnsi="Times New Roman"/>
          <w:bCs/>
          <w:sz w:val="24"/>
          <w:szCs w:val="24"/>
          <w:lang w:eastAsia="lt-LT"/>
        </w:rPr>
        <w:t>profilaktiškai</w:t>
      </w:r>
      <w:r w:rsidR="00FC618D">
        <w:rPr>
          <w:rFonts w:ascii="Times New Roman" w:eastAsia="Times New Roman" w:hAnsi="Times New Roman"/>
          <w:bCs/>
          <w:sz w:val="24"/>
          <w:szCs w:val="24"/>
          <w:lang w:eastAsia="lt-LT"/>
        </w:rPr>
        <w:t xml:space="preserve"> sveikatą pasitikrinusių ir Plungės rajono savivaldybės ikimokyklines įstaigas lankančių vaikų</w:t>
      </w:r>
      <w:r w:rsidR="00AB3CB7">
        <w:rPr>
          <w:rFonts w:ascii="Times New Roman" w:eastAsia="Times New Roman" w:hAnsi="Times New Roman"/>
          <w:bCs/>
          <w:sz w:val="24"/>
          <w:szCs w:val="24"/>
          <w:lang w:eastAsia="lt-LT"/>
        </w:rPr>
        <w:t xml:space="preserve"> </w:t>
      </w:r>
      <w:r w:rsidR="00FC618D">
        <w:rPr>
          <w:rFonts w:ascii="Times New Roman" w:eastAsia="Times New Roman" w:hAnsi="Times New Roman"/>
          <w:bCs/>
          <w:sz w:val="24"/>
          <w:szCs w:val="24"/>
          <w:lang w:eastAsia="lt-LT"/>
        </w:rPr>
        <w:t xml:space="preserve">yra </w:t>
      </w:r>
      <w:r w:rsidR="00AB3CB7">
        <w:rPr>
          <w:rFonts w:ascii="Times New Roman" w:eastAsia="Times New Roman" w:hAnsi="Times New Roman"/>
          <w:bCs/>
          <w:sz w:val="24"/>
          <w:szCs w:val="24"/>
          <w:lang w:eastAsia="lt-LT"/>
        </w:rPr>
        <w:t>sveiki. T. y. neturi nei vieno sveikatos sutrikimo</w:t>
      </w:r>
      <w:r w:rsidR="00FC618D">
        <w:rPr>
          <w:rFonts w:ascii="Times New Roman" w:eastAsia="Times New Roman" w:hAnsi="Times New Roman"/>
          <w:bCs/>
          <w:sz w:val="24"/>
          <w:szCs w:val="24"/>
          <w:lang w:eastAsia="lt-LT"/>
        </w:rPr>
        <w:t xml:space="preserve"> ar nustatytos diagnozės.</w:t>
      </w:r>
      <w:r w:rsidR="00AB3CB7">
        <w:rPr>
          <w:rFonts w:ascii="Times New Roman" w:eastAsia="Times New Roman" w:hAnsi="Times New Roman"/>
          <w:bCs/>
          <w:sz w:val="24"/>
          <w:szCs w:val="24"/>
          <w:lang w:eastAsia="lt-LT"/>
        </w:rPr>
        <w:t xml:space="preserve"> </w:t>
      </w:r>
      <w:r w:rsidR="002F62B0">
        <w:rPr>
          <w:rFonts w:ascii="Times New Roman" w:eastAsia="Times New Roman" w:hAnsi="Times New Roman"/>
          <w:bCs/>
          <w:sz w:val="24"/>
          <w:szCs w:val="24"/>
          <w:lang w:eastAsia="lt-LT"/>
        </w:rPr>
        <w:t>(</w:t>
      </w:r>
      <w:r w:rsidR="00FC618D">
        <w:rPr>
          <w:rFonts w:ascii="Times New Roman" w:eastAsia="Times New Roman" w:hAnsi="Times New Roman"/>
          <w:bCs/>
          <w:sz w:val="24"/>
          <w:szCs w:val="24"/>
          <w:lang w:eastAsia="lt-LT"/>
        </w:rPr>
        <w:t>2 pav.</w:t>
      </w:r>
      <w:r w:rsidR="002F62B0">
        <w:rPr>
          <w:rFonts w:ascii="Times New Roman" w:eastAsia="Times New Roman" w:hAnsi="Times New Roman"/>
          <w:bCs/>
          <w:sz w:val="24"/>
          <w:szCs w:val="24"/>
          <w:lang w:eastAsia="lt-LT"/>
        </w:rPr>
        <w:t>)</w:t>
      </w:r>
    </w:p>
    <w:p w:rsidR="00FC618D" w:rsidRDefault="0029077C" w:rsidP="0029077C">
      <w:pPr>
        <w:autoSpaceDE w:val="0"/>
        <w:autoSpaceDN w:val="0"/>
        <w:adjustRightInd w:val="0"/>
        <w:spacing w:after="0" w:line="240" w:lineRule="auto"/>
        <w:jc w:val="center"/>
        <w:rPr>
          <w:rFonts w:ascii="Times New Roman" w:eastAsia="Times New Roman" w:hAnsi="Times New Roman"/>
          <w:bCs/>
          <w:sz w:val="24"/>
          <w:szCs w:val="24"/>
          <w:lang w:eastAsia="lt-LT"/>
        </w:rPr>
      </w:pPr>
      <w:r>
        <w:rPr>
          <w:noProof/>
          <w:lang w:eastAsia="lt-LT"/>
        </w:rPr>
        <w:drawing>
          <wp:inline distT="0" distB="0" distL="0" distR="0" wp14:anchorId="72D5EF50" wp14:editId="136FA61C">
            <wp:extent cx="5114925" cy="2686050"/>
            <wp:effectExtent l="38100" t="0" r="0" b="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618D" w:rsidRPr="00FC618D" w:rsidRDefault="00FC618D" w:rsidP="00FC618D">
      <w:pPr>
        <w:autoSpaceDE w:val="0"/>
        <w:autoSpaceDN w:val="0"/>
        <w:adjustRightInd w:val="0"/>
        <w:spacing w:after="0" w:line="240" w:lineRule="auto"/>
        <w:jc w:val="center"/>
        <w:rPr>
          <w:rFonts w:ascii="Times New Roman" w:eastAsia="Times New Roman" w:hAnsi="Times New Roman"/>
          <w:b/>
          <w:bCs/>
          <w:sz w:val="24"/>
          <w:szCs w:val="24"/>
          <w:lang w:eastAsia="lt-LT"/>
        </w:rPr>
      </w:pPr>
      <w:r w:rsidRPr="00FC618D">
        <w:rPr>
          <w:rFonts w:ascii="Times New Roman" w:eastAsia="Times New Roman" w:hAnsi="Times New Roman"/>
          <w:b/>
          <w:bCs/>
          <w:sz w:val="24"/>
          <w:szCs w:val="24"/>
          <w:lang w:eastAsia="lt-LT"/>
        </w:rPr>
        <w:t>2 pav. Visiškai sveikų vaikų lankančių ikimokyklines įstaigas dalis proc.</w:t>
      </w:r>
      <w:r w:rsidR="001067A9">
        <w:rPr>
          <w:rFonts w:ascii="Times New Roman" w:eastAsia="Times New Roman" w:hAnsi="Times New Roman"/>
          <w:b/>
          <w:bCs/>
          <w:sz w:val="24"/>
          <w:szCs w:val="24"/>
          <w:lang w:eastAsia="lt-LT"/>
        </w:rPr>
        <w:t xml:space="preserve"> 2019/2020</w:t>
      </w:r>
      <w:r>
        <w:rPr>
          <w:rFonts w:ascii="Times New Roman" w:eastAsia="Times New Roman" w:hAnsi="Times New Roman"/>
          <w:b/>
          <w:bCs/>
          <w:sz w:val="24"/>
          <w:szCs w:val="24"/>
          <w:lang w:eastAsia="lt-LT"/>
        </w:rPr>
        <w:t xml:space="preserve"> m. m.</w:t>
      </w:r>
    </w:p>
    <w:p w:rsidR="004F19DF" w:rsidRDefault="004F19DF">
      <w:pPr>
        <w:rPr>
          <w:rFonts w:ascii="Times New Roman" w:hAnsi="Times New Roman"/>
        </w:rPr>
      </w:pPr>
    </w:p>
    <w:p w:rsidR="006E0EC1" w:rsidRDefault="007A563E" w:rsidP="003837B7">
      <w:pPr>
        <w:ind w:firstLine="1134"/>
        <w:jc w:val="both"/>
        <w:rPr>
          <w:rFonts w:ascii="Times New Roman" w:hAnsi="Times New Roman"/>
        </w:rPr>
      </w:pPr>
      <w:r w:rsidRPr="007A563E">
        <w:rPr>
          <w:rFonts w:ascii="Times New Roman" w:hAnsi="Times New Roman"/>
          <w:sz w:val="24"/>
          <w:szCs w:val="24"/>
        </w:rPr>
        <w:t xml:space="preserve">Atliekant </w:t>
      </w:r>
      <w:r w:rsidRPr="007A563E">
        <w:rPr>
          <w:rFonts w:ascii="Times New Roman" w:hAnsi="Times New Roman"/>
          <w:sz w:val="24"/>
          <w:szCs w:val="24"/>
          <w:lang w:val="en-US"/>
        </w:rPr>
        <w:t xml:space="preserve"> </w:t>
      </w:r>
      <w:r w:rsidRPr="00B23150">
        <w:rPr>
          <w:rFonts w:ascii="Times New Roman" w:hAnsi="Times New Roman"/>
          <w:sz w:val="24"/>
          <w:szCs w:val="24"/>
        </w:rPr>
        <w:t>profilaktinių</w:t>
      </w:r>
      <w:r w:rsidRPr="007A563E">
        <w:rPr>
          <w:rFonts w:ascii="Times New Roman" w:hAnsi="Times New Roman"/>
          <w:sz w:val="24"/>
          <w:szCs w:val="24"/>
        </w:rPr>
        <w:t xml:space="preserve"> vaikų sveikatos pažymėjimų analizę nustatyta, kad dažniausiai nustaty</w:t>
      </w:r>
      <w:r w:rsidR="007B79B6">
        <w:rPr>
          <w:rFonts w:ascii="Times New Roman" w:hAnsi="Times New Roman"/>
          <w:sz w:val="24"/>
          <w:szCs w:val="24"/>
        </w:rPr>
        <w:t>ti kraujotakos, regos, nervų sistemos, kvėpavimo</w:t>
      </w:r>
      <w:r w:rsidRPr="007A563E">
        <w:rPr>
          <w:rFonts w:ascii="Times New Roman" w:hAnsi="Times New Roman"/>
          <w:sz w:val="24"/>
          <w:szCs w:val="24"/>
        </w:rPr>
        <w:t xml:space="preserve"> sistemos sutrikimai. Rečiau nustatoma- </w:t>
      </w:r>
      <w:r w:rsidR="007B79B6">
        <w:rPr>
          <w:rFonts w:ascii="Times New Roman" w:hAnsi="Times New Roman"/>
          <w:sz w:val="24"/>
          <w:szCs w:val="24"/>
        </w:rPr>
        <w:t xml:space="preserve">skeleto – raumenų </w:t>
      </w:r>
      <w:r w:rsidRPr="007A563E">
        <w:rPr>
          <w:rFonts w:ascii="Times New Roman" w:hAnsi="Times New Roman"/>
          <w:sz w:val="24"/>
          <w:szCs w:val="24"/>
        </w:rPr>
        <w:t xml:space="preserve">sistemos, </w:t>
      </w:r>
      <w:r w:rsidR="007B79B6">
        <w:rPr>
          <w:rFonts w:ascii="Times New Roman" w:hAnsi="Times New Roman"/>
          <w:sz w:val="24"/>
          <w:szCs w:val="24"/>
        </w:rPr>
        <w:t>odos ir jos priedų,</w:t>
      </w:r>
      <w:r w:rsidR="003837B7">
        <w:rPr>
          <w:rFonts w:ascii="Times New Roman" w:hAnsi="Times New Roman"/>
          <w:sz w:val="24"/>
          <w:szCs w:val="24"/>
        </w:rPr>
        <w:t xml:space="preserve"> </w:t>
      </w:r>
      <w:proofErr w:type="spellStart"/>
      <w:r w:rsidR="003837B7">
        <w:rPr>
          <w:rFonts w:ascii="Times New Roman" w:hAnsi="Times New Roman"/>
          <w:sz w:val="24"/>
          <w:szCs w:val="24"/>
        </w:rPr>
        <w:t>urogenitalinės</w:t>
      </w:r>
      <w:proofErr w:type="spellEnd"/>
      <w:r w:rsidR="003837B7">
        <w:rPr>
          <w:rFonts w:ascii="Times New Roman" w:hAnsi="Times New Roman"/>
          <w:sz w:val="24"/>
          <w:szCs w:val="24"/>
        </w:rPr>
        <w:t xml:space="preserve"> sistemos,</w:t>
      </w:r>
      <w:r w:rsidR="007B79B6">
        <w:rPr>
          <w:rFonts w:ascii="Times New Roman" w:hAnsi="Times New Roman"/>
          <w:sz w:val="24"/>
          <w:szCs w:val="24"/>
        </w:rPr>
        <w:t xml:space="preserve"> psichikos ir elgesio sistemos</w:t>
      </w:r>
      <w:r w:rsidRPr="007A563E">
        <w:rPr>
          <w:rFonts w:ascii="Times New Roman" w:hAnsi="Times New Roman"/>
          <w:sz w:val="24"/>
          <w:szCs w:val="24"/>
        </w:rPr>
        <w:t xml:space="preserve"> sutrikimų. Išanalizavus sveikatos pažymėjimus mažiausiai nustatyta klausos sutrikimų ir endokrininės sistemos sutrikimų. </w:t>
      </w:r>
      <w:r w:rsidR="002F62B0">
        <w:rPr>
          <w:rFonts w:ascii="Times New Roman" w:hAnsi="Times New Roman"/>
          <w:sz w:val="24"/>
          <w:szCs w:val="24"/>
        </w:rPr>
        <w:t>(</w:t>
      </w:r>
      <w:r w:rsidRPr="007A563E">
        <w:rPr>
          <w:rFonts w:ascii="Times New Roman" w:hAnsi="Times New Roman"/>
          <w:sz w:val="24"/>
          <w:szCs w:val="24"/>
        </w:rPr>
        <w:t>3 pav</w:t>
      </w:r>
      <w:r>
        <w:rPr>
          <w:rFonts w:ascii="Times New Roman" w:hAnsi="Times New Roman"/>
        </w:rPr>
        <w:t>.</w:t>
      </w:r>
      <w:r w:rsidR="002F62B0">
        <w:rPr>
          <w:rFonts w:ascii="Times New Roman" w:hAnsi="Times New Roman"/>
        </w:rPr>
        <w:t>)</w:t>
      </w:r>
    </w:p>
    <w:p w:rsidR="007A563E" w:rsidRDefault="007B79B6" w:rsidP="007B79B6">
      <w:pPr>
        <w:jc w:val="center"/>
        <w:rPr>
          <w:rFonts w:ascii="Times New Roman" w:hAnsi="Times New Roman"/>
        </w:rPr>
      </w:pPr>
      <w:r>
        <w:rPr>
          <w:noProof/>
          <w:lang w:eastAsia="lt-LT"/>
        </w:rPr>
        <w:drawing>
          <wp:inline distT="0" distB="0" distL="0" distR="0" wp14:anchorId="3644AD8E" wp14:editId="03C2EB71">
            <wp:extent cx="5686426" cy="3476625"/>
            <wp:effectExtent l="0" t="0" r="0"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563E" w:rsidRPr="00FC7E4A" w:rsidRDefault="007A563E" w:rsidP="00FC7E4A">
      <w:pPr>
        <w:jc w:val="center"/>
        <w:rPr>
          <w:rFonts w:ascii="Times New Roman" w:hAnsi="Times New Roman"/>
          <w:b/>
          <w:sz w:val="24"/>
          <w:szCs w:val="24"/>
        </w:rPr>
      </w:pPr>
      <w:r w:rsidRPr="00FC7E4A">
        <w:rPr>
          <w:rFonts w:ascii="Times New Roman" w:hAnsi="Times New Roman"/>
          <w:b/>
          <w:sz w:val="24"/>
          <w:szCs w:val="24"/>
        </w:rPr>
        <w:t>3 pav. Profilaktiškai pasitikrinusių sveikatą</w:t>
      </w:r>
      <w:r w:rsidR="007B79B6">
        <w:rPr>
          <w:rFonts w:ascii="Times New Roman" w:hAnsi="Times New Roman"/>
          <w:b/>
          <w:sz w:val="24"/>
          <w:szCs w:val="24"/>
        </w:rPr>
        <w:t xml:space="preserve"> 2019/2020</w:t>
      </w:r>
      <w:r w:rsidR="00FC7E4A" w:rsidRPr="00FC7E4A">
        <w:rPr>
          <w:rFonts w:ascii="Times New Roman" w:hAnsi="Times New Roman"/>
          <w:b/>
          <w:sz w:val="24"/>
          <w:szCs w:val="24"/>
        </w:rPr>
        <w:t xml:space="preserve"> m. m.</w:t>
      </w:r>
      <w:r w:rsidRPr="00FC7E4A">
        <w:rPr>
          <w:rFonts w:ascii="Times New Roman" w:hAnsi="Times New Roman"/>
          <w:b/>
          <w:sz w:val="24"/>
          <w:szCs w:val="24"/>
        </w:rPr>
        <w:t xml:space="preserve"> vaikų dalis proc. pagal </w:t>
      </w:r>
      <w:r w:rsidR="00FC7E4A" w:rsidRPr="00FC7E4A">
        <w:rPr>
          <w:rFonts w:ascii="Times New Roman" w:hAnsi="Times New Roman"/>
          <w:b/>
          <w:sz w:val="24"/>
          <w:szCs w:val="24"/>
        </w:rPr>
        <w:t>užregistruotus susirgimus</w:t>
      </w:r>
    </w:p>
    <w:p w:rsidR="007A563E" w:rsidRPr="00146976" w:rsidRDefault="00477869" w:rsidP="003837B7">
      <w:pPr>
        <w:ind w:firstLine="1134"/>
        <w:jc w:val="both"/>
        <w:rPr>
          <w:rFonts w:ascii="Times New Roman" w:hAnsi="Times New Roman"/>
          <w:sz w:val="24"/>
          <w:szCs w:val="24"/>
        </w:rPr>
      </w:pPr>
      <w:r w:rsidRPr="002A4C16">
        <w:rPr>
          <w:rFonts w:ascii="Times New Roman" w:hAnsi="Times New Roman"/>
          <w:sz w:val="24"/>
          <w:szCs w:val="24"/>
        </w:rPr>
        <w:lastRenderedPageBreak/>
        <w:t>Išanalizavus ikimokyklines įstaigas lankančių vaikų profilaktinių sveikatos patikrinimų paž</w:t>
      </w:r>
      <w:r w:rsidR="00B23150">
        <w:rPr>
          <w:rFonts w:ascii="Times New Roman" w:hAnsi="Times New Roman"/>
          <w:sz w:val="24"/>
          <w:szCs w:val="24"/>
        </w:rPr>
        <w:t>ymėjimus  nustatyta, kad iš 1 421</w:t>
      </w:r>
      <w:r w:rsidRPr="002A4C16">
        <w:rPr>
          <w:rFonts w:ascii="Times New Roman" w:hAnsi="Times New Roman"/>
          <w:sz w:val="24"/>
          <w:szCs w:val="24"/>
        </w:rPr>
        <w:t xml:space="preserve"> sveiktą pasitikrinusių</w:t>
      </w:r>
      <w:r w:rsidR="00B23150">
        <w:rPr>
          <w:rFonts w:ascii="Times New Roman" w:hAnsi="Times New Roman"/>
          <w:sz w:val="24"/>
          <w:szCs w:val="24"/>
        </w:rPr>
        <w:t xml:space="preserve"> vaikų didžioji dauguma t.y. 996 (70 proc.) turi per mažą KMI</w:t>
      </w:r>
      <w:r w:rsidRPr="002A4C16">
        <w:rPr>
          <w:rFonts w:ascii="Times New Roman" w:hAnsi="Times New Roman"/>
          <w:sz w:val="24"/>
          <w:szCs w:val="24"/>
        </w:rPr>
        <w:t xml:space="preserve"> </w:t>
      </w:r>
      <w:r w:rsidR="002F62B0">
        <w:rPr>
          <w:rFonts w:ascii="Times New Roman" w:hAnsi="Times New Roman"/>
          <w:sz w:val="24"/>
          <w:szCs w:val="24"/>
        </w:rPr>
        <w:t>(</w:t>
      </w:r>
      <w:r w:rsidRPr="002A4C16">
        <w:rPr>
          <w:rFonts w:ascii="Times New Roman" w:hAnsi="Times New Roman"/>
          <w:sz w:val="24"/>
          <w:szCs w:val="24"/>
        </w:rPr>
        <w:t>4 pav</w:t>
      </w:r>
      <w:r>
        <w:rPr>
          <w:rFonts w:ascii="Times New Roman" w:hAnsi="Times New Roman"/>
        </w:rPr>
        <w:t>.</w:t>
      </w:r>
      <w:r w:rsidR="002F62B0">
        <w:rPr>
          <w:rFonts w:ascii="Times New Roman" w:hAnsi="Times New Roman"/>
        </w:rPr>
        <w:t>)</w:t>
      </w:r>
      <w:r w:rsidR="00B23150">
        <w:rPr>
          <w:rFonts w:ascii="Times New Roman" w:hAnsi="Times New Roman"/>
        </w:rPr>
        <w:t xml:space="preserve">. </w:t>
      </w:r>
      <w:r w:rsidR="00B23150" w:rsidRPr="00146976">
        <w:rPr>
          <w:rFonts w:ascii="Times New Roman" w:hAnsi="Times New Roman"/>
          <w:sz w:val="24"/>
          <w:szCs w:val="24"/>
        </w:rPr>
        <w:t>2018/2019</w:t>
      </w:r>
      <w:r w:rsidR="00146976">
        <w:rPr>
          <w:rFonts w:ascii="Times New Roman" w:hAnsi="Times New Roman"/>
          <w:sz w:val="24"/>
          <w:szCs w:val="24"/>
        </w:rPr>
        <w:t xml:space="preserve"> m. m. vaikų, kuriems nustatytas per mažas KMI buvo 2,3 karto mažiau (30,6 proc.), normalų kūno masės indeksą turėjo 68 proc. sveikatą pasitikrinę ir ikimokyklines ugdymo įstaigas lankantys vaikai. </w:t>
      </w:r>
    </w:p>
    <w:p w:rsidR="00477869" w:rsidRDefault="00B23150" w:rsidP="00B23150">
      <w:pPr>
        <w:jc w:val="center"/>
        <w:rPr>
          <w:rFonts w:ascii="Times New Roman" w:hAnsi="Times New Roman"/>
        </w:rPr>
      </w:pPr>
      <w:r>
        <w:rPr>
          <w:noProof/>
          <w:lang w:eastAsia="lt-LT"/>
        </w:rPr>
        <w:drawing>
          <wp:inline distT="0" distB="0" distL="0" distR="0" wp14:anchorId="7A51D9AA" wp14:editId="311838DC">
            <wp:extent cx="5284270" cy="2521818"/>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77869" w:rsidRDefault="002A4C16" w:rsidP="002A4C16">
      <w:pPr>
        <w:jc w:val="center"/>
        <w:rPr>
          <w:rFonts w:ascii="Times New Roman" w:hAnsi="Times New Roman"/>
          <w:b/>
          <w:sz w:val="24"/>
          <w:szCs w:val="24"/>
        </w:rPr>
      </w:pPr>
      <w:r w:rsidRPr="002A4C16">
        <w:rPr>
          <w:rFonts w:ascii="Times New Roman" w:hAnsi="Times New Roman"/>
          <w:b/>
          <w:sz w:val="24"/>
          <w:szCs w:val="24"/>
        </w:rPr>
        <w:t>4 pav. Ikimokyklines įstaigas lankančių ir sveikatą profilaktišk</w:t>
      </w:r>
      <w:r>
        <w:rPr>
          <w:rFonts w:ascii="Times New Roman" w:hAnsi="Times New Roman"/>
          <w:b/>
          <w:sz w:val="24"/>
          <w:szCs w:val="24"/>
        </w:rPr>
        <w:t>a</w:t>
      </w:r>
      <w:r w:rsidRPr="002A4C16">
        <w:rPr>
          <w:rFonts w:ascii="Times New Roman" w:hAnsi="Times New Roman"/>
          <w:b/>
          <w:sz w:val="24"/>
          <w:szCs w:val="24"/>
        </w:rPr>
        <w:t>i pasitikrinusių vaikų dalis proc. pagal kūno masės indeksą</w:t>
      </w:r>
      <w:r w:rsidR="00C4771B">
        <w:rPr>
          <w:rFonts w:ascii="Times New Roman" w:hAnsi="Times New Roman"/>
          <w:b/>
          <w:sz w:val="24"/>
          <w:szCs w:val="24"/>
        </w:rPr>
        <w:t xml:space="preserve"> 2019/2020</w:t>
      </w:r>
      <w:r w:rsidR="00EA0E7B">
        <w:rPr>
          <w:rFonts w:ascii="Times New Roman" w:hAnsi="Times New Roman"/>
          <w:b/>
          <w:sz w:val="24"/>
          <w:szCs w:val="24"/>
        </w:rPr>
        <w:t xml:space="preserve"> m. m.</w:t>
      </w:r>
    </w:p>
    <w:p w:rsidR="00576A7A" w:rsidRDefault="00576A7A" w:rsidP="003837B7">
      <w:pPr>
        <w:spacing w:after="0"/>
        <w:ind w:firstLine="1134"/>
        <w:jc w:val="both"/>
        <w:rPr>
          <w:rFonts w:ascii="Times New Roman" w:hAnsi="Times New Roman"/>
          <w:sz w:val="24"/>
          <w:szCs w:val="24"/>
        </w:rPr>
      </w:pPr>
      <w:r>
        <w:rPr>
          <w:rFonts w:ascii="Times New Roman" w:hAnsi="Times New Roman"/>
          <w:sz w:val="24"/>
          <w:szCs w:val="24"/>
        </w:rPr>
        <w:t xml:space="preserve">Žmogaus augimas ir vystymasis priklauso nuo </w:t>
      </w:r>
      <w:r w:rsidR="00B90F18">
        <w:rPr>
          <w:rFonts w:ascii="Times New Roman" w:hAnsi="Times New Roman"/>
          <w:sz w:val="24"/>
          <w:szCs w:val="24"/>
        </w:rPr>
        <w:t>kasdienio fizinio aktyvumo, kuris yra svarbi puikios sveikatos dalis. Per mažas fizinis aktyvumas yra vienas iš pagrindinių veiksnių, kuris įtakoja antsvorio ir nutukimo atsiradimą.</w:t>
      </w:r>
    </w:p>
    <w:p w:rsidR="00B90F18" w:rsidRDefault="00F3343F" w:rsidP="003837B7">
      <w:pPr>
        <w:spacing w:after="0"/>
        <w:ind w:firstLine="1134"/>
        <w:jc w:val="both"/>
        <w:rPr>
          <w:rFonts w:ascii="Times New Roman" w:hAnsi="Times New Roman"/>
          <w:sz w:val="24"/>
          <w:szCs w:val="24"/>
        </w:rPr>
      </w:pPr>
      <w:r>
        <w:rPr>
          <w:rFonts w:ascii="Times New Roman" w:hAnsi="Times New Roman"/>
          <w:sz w:val="24"/>
          <w:szCs w:val="24"/>
        </w:rPr>
        <w:t>Skiriamos trys</w:t>
      </w:r>
      <w:r w:rsidR="00B90F18">
        <w:rPr>
          <w:rFonts w:ascii="Times New Roman" w:hAnsi="Times New Roman"/>
          <w:sz w:val="24"/>
          <w:szCs w:val="24"/>
        </w:rPr>
        <w:t xml:space="preserve"> fizinio</w:t>
      </w:r>
      <w:r>
        <w:rPr>
          <w:rFonts w:ascii="Times New Roman" w:hAnsi="Times New Roman"/>
          <w:sz w:val="24"/>
          <w:szCs w:val="24"/>
        </w:rPr>
        <w:t xml:space="preserve"> parengimo grupės: pagrindinė- šiai grupei priskirti vaikai neturi jokių  sveikatos sutrikimų, parengiamoji- moksleiviai turintys nedidelių sveiktos sutrikimų ar ką tik persirgę kokia nors liga, mokiniai turintys tam tikrų organų ar jų sistemų sutrikimų turi būti priskirti specialiajai fizinio lavinimo grupei. Taip pat vaikai gali būti ir visiškai atleisti nuo kūno kultūros pamokų.</w:t>
      </w:r>
      <w:r w:rsidR="002F62B0">
        <w:rPr>
          <w:rFonts w:ascii="Times New Roman" w:hAnsi="Times New Roman"/>
          <w:sz w:val="24"/>
          <w:szCs w:val="24"/>
        </w:rPr>
        <w:t>(</w:t>
      </w:r>
      <w:r>
        <w:rPr>
          <w:rFonts w:ascii="Times New Roman" w:hAnsi="Times New Roman"/>
          <w:sz w:val="24"/>
          <w:szCs w:val="24"/>
        </w:rPr>
        <w:t>5 pav.</w:t>
      </w:r>
      <w:r w:rsidR="002F62B0">
        <w:rPr>
          <w:rFonts w:ascii="Times New Roman" w:hAnsi="Times New Roman"/>
          <w:sz w:val="24"/>
          <w:szCs w:val="24"/>
        </w:rPr>
        <w:t>)</w:t>
      </w:r>
    </w:p>
    <w:p w:rsidR="002F62B0" w:rsidRDefault="002F62B0" w:rsidP="00B90F18">
      <w:pPr>
        <w:spacing w:after="0"/>
        <w:ind w:firstLine="567"/>
        <w:jc w:val="both"/>
        <w:rPr>
          <w:rFonts w:ascii="Times New Roman" w:hAnsi="Times New Roman"/>
          <w:sz w:val="24"/>
          <w:szCs w:val="24"/>
        </w:rPr>
      </w:pPr>
    </w:p>
    <w:p w:rsidR="00F3343F" w:rsidRDefault="00215A70" w:rsidP="006D5C9A">
      <w:pPr>
        <w:spacing w:after="0"/>
        <w:jc w:val="center"/>
        <w:rPr>
          <w:rFonts w:ascii="Times New Roman" w:hAnsi="Times New Roman"/>
          <w:sz w:val="24"/>
          <w:szCs w:val="24"/>
        </w:rPr>
      </w:pPr>
      <w:r>
        <w:rPr>
          <w:noProof/>
          <w:lang w:eastAsia="lt-LT"/>
        </w:rPr>
        <w:drawing>
          <wp:inline distT="0" distB="0" distL="0" distR="0" wp14:anchorId="4C872A7D" wp14:editId="7875DE4A">
            <wp:extent cx="5861785" cy="2213811"/>
            <wp:effectExtent l="0" t="0" r="5715" b="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3D7A" w:rsidRPr="002F62B0" w:rsidRDefault="00BA3D7A" w:rsidP="00BA3D7A">
      <w:pPr>
        <w:spacing w:after="0"/>
        <w:jc w:val="center"/>
        <w:rPr>
          <w:rFonts w:ascii="Times New Roman" w:hAnsi="Times New Roman"/>
          <w:b/>
          <w:sz w:val="24"/>
          <w:szCs w:val="24"/>
        </w:rPr>
      </w:pPr>
      <w:r w:rsidRPr="002F62B0">
        <w:rPr>
          <w:rFonts w:ascii="Times New Roman" w:hAnsi="Times New Roman"/>
          <w:b/>
          <w:sz w:val="24"/>
          <w:szCs w:val="24"/>
        </w:rPr>
        <w:t xml:space="preserve">5 pav. </w:t>
      </w:r>
      <w:r w:rsidR="002F62B0" w:rsidRPr="002F62B0">
        <w:rPr>
          <w:rFonts w:ascii="Times New Roman" w:hAnsi="Times New Roman"/>
          <w:b/>
          <w:sz w:val="24"/>
          <w:szCs w:val="24"/>
        </w:rPr>
        <w:t>Ikimokyklines ugdymo įstaigas lankančių vaikų pasiskirstymas proc., pagal fizinio lavinimo grupes</w:t>
      </w:r>
      <w:r w:rsidR="00215A70">
        <w:rPr>
          <w:rFonts w:ascii="Times New Roman" w:hAnsi="Times New Roman"/>
          <w:b/>
          <w:sz w:val="24"/>
          <w:szCs w:val="24"/>
        </w:rPr>
        <w:t xml:space="preserve"> 2019/2020 </w:t>
      </w:r>
      <w:r w:rsidR="00EA0E7B">
        <w:rPr>
          <w:rFonts w:ascii="Times New Roman" w:hAnsi="Times New Roman"/>
          <w:b/>
          <w:sz w:val="24"/>
          <w:szCs w:val="24"/>
        </w:rPr>
        <w:t>m. m.</w:t>
      </w:r>
    </w:p>
    <w:p w:rsidR="00490836" w:rsidRDefault="00490836" w:rsidP="00B90F18">
      <w:pPr>
        <w:spacing w:after="0"/>
        <w:ind w:firstLine="567"/>
        <w:jc w:val="both"/>
        <w:rPr>
          <w:rFonts w:ascii="Times New Roman" w:hAnsi="Times New Roman"/>
          <w:sz w:val="24"/>
          <w:szCs w:val="24"/>
        </w:rPr>
      </w:pPr>
    </w:p>
    <w:p w:rsidR="00B90F18" w:rsidRDefault="00490836" w:rsidP="003837B7">
      <w:pPr>
        <w:spacing w:after="0"/>
        <w:ind w:firstLine="1134"/>
        <w:jc w:val="both"/>
        <w:rPr>
          <w:rFonts w:ascii="Times New Roman" w:hAnsi="Times New Roman"/>
          <w:sz w:val="24"/>
          <w:szCs w:val="24"/>
        </w:rPr>
      </w:pPr>
      <w:r>
        <w:rPr>
          <w:rFonts w:ascii="Times New Roman" w:hAnsi="Times New Roman"/>
          <w:sz w:val="24"/>
          <w:szCs w:val="24"/>
        </w:rPr>
        <w:t>Iš pristatytų profilaktinių sveikatos patikrinimų p</w:t>
      </w:r>
      <w:r w:rsidR="00BC6D15">
        <w:rPr>
          <w:rFonts w:ascii="Times New Roman" w:hAnsi="Times New Roman"/>
          <w:sz w:val="24"/>
          <w:szCs w:val="24"/>
        </w:rPr>
        <w:t>ažymėjimų nustatyta, kad mažiau nei pusė (46,3</w:t>
      </w:r>
      <w:r>
        <w:rPr>
          <w:rFonts w:ascii="Times New Roman" w:hAnsi="Times New Roman"/>
          <w:sz w:val="24"/>
          <w:szCs w:val="24"/>
        </w:rPr>
        <w:t xml:space="preserve"> proc.) vaikų neturi dantų ėduonies pažeistų, plombuotų ar išrautų dantų. (2 lent.)</w:t>
      </w:r>
    </w:p>
    <w:p w:rsidR="00490836" w:rsidRDefault="00490836" w:rsidP="00B90F18">
      <w:pPr>
        <w:spacing w:after="0"/>
        <w:ind w:firstLine="567"/>
        <w:jc w:val="both"/>
        <w:rPr>
          <w:rFonts w:ascii="Times New Roman" w:hAnsi="Times New Roman"/>
          <w:sz w:val="24"/>
          <w:szCs w:val="24"/>
        </w:rPr>
      </w:pPr>
    </w:p>
    <w:p w:rsidR="00490836" w:rsidRPr="003837B7" w:rsidRDefault="00490836" w:rsidP="003837B7">
      <w:pPr>
        <w:spacing w:after="0"/>
        <w:ind w:firstLine="1134"/>
        <w:jc w:val="both"/>
        <w:rPr>
          <w:rFonts w:ascii="Times New Roman" w:hAnsi="Times New Roman"/>
          <w:b/>
          <w:i/>
          <w:sz w:val="24"/>
          <w:szCs w:val="24"/>
        </w:rPr>
      </w:pPr>
      <w:r>
        <w:rPr>
          <w:rFonts w:ascii="Times New Roman" w:hAnsi="Times New Roman"/>
          <w:b/>
          <w:i/>
          <w:sz w:val="24"/>
          <w:szCs w:val="24"/>
        </w:rPr>
        <w:t>2 lent. Vaikų skaičius proc., neturinčių ėduonies pažeistų,</w:t>
      </w:r>
      <w:r w:rsidR="00BC6D15">
        <w:rPr>
          <w:rFonts w:ascii="Times New Roman" w:hAnsi="Times New Roman"/>
          <w:b/>
          <w:i/>
          <w:sz w:val="24"/>
          <w:szCs w:val="24"/>
        </w:rPr>
        <w:t xml:space="preserve"> plombuotų ar išrautų dantų 2019/2020</w:t>
      </w:r>
      <w:r>
        <w:rPr>
          <w:rFonts w:ascii="Times New Roman" w:hAnsi="Times New Roman"/>
          <w:b/>
          <w:i/>
          <w:sz w:val="24"/>
          <w:szCs w:val="24"/>
        </w:rPr>
        <w:t xml:space="preserve"> m. m.</w:t>
      </w:r>
    </w:p>
    <w:tbl>
      <w:tblPr>
        <w:tblW w:w="9020" w:type="dxa"/>
        <w:tblInd w:w="93" w:type="dxa"/>
        <w:tblLook w:val="04A0" w:firstRow="1" w:lastRow="0" w:firstColumn="1" w:lastColumn="0" w:noHBand="0" w:noVBand="1"/>
      </w:tblPr>
      <w:tblGrid>
        <w:gridCol w:w="854"/>
        <w:gridCol w:w="4039"/>
        <w:gridCol w:w="4127"/>
      </w:tblGrid>
      <w:tr w:rsidR="00490836" w:rsidRPr="00490836" w:rsidTr="00490836">
        <w:trPr>
          <w:trHeight w:val="844"/>
        </w:trPr>
        <w:tc>
          <w:tcPr>
            <w:tcW w:w="8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0836" w:rsidRPr="00490836" w:rsidRDefault="00490836" w:rsidP="00490836">
            <w:pPr>
              <w:spacing w:after="0" w:line="240" w:lineRule="auto"/>
              <w:jc w:val="center"/>
              <w:rPr>
                <w:rFonts w:ascii="Times New Roman" w:eastAsia="Times New Roman" w:hAnsi="Times New Roman"/>
                <w:b/>
                <w:bCs/>
                <w:color w:val="000000"/>
                <w:sz w:val="24"/>
                <w:szCs w:val="24"/>
                <w:lang w:eastAsia="lt-LT"/>
              </w:rPr>
            </w:pPr>
            <w:r w:rsidRPr="00490836">
              <w:rPr>
                <w:rFonts w:ascii="Times New Roman" w:eastAsia="Times New Roman" w:hAnsi="Times New Roman"/>
                <w:b/>
                <w:bCs/>
                <w:color w:val="000000"/>
                <w:sz w:val="24"/>
                <w:szCs w:val="24"/>
                <w:lang w:eastAsia="lt-LT"/>
              </w:rPr>
              <w:t>Eil. Nr</w:t>
            </w:r>
            <w:r>
              <w:rPr>
                <w:rFonts w:ascii="Times New Roman" w:eastAsia="Times New Roman" w:hAnsi="Times New Roman"/>
                <w:b/>
                <w:bCs/>
                <w:color w:val="000000"/>
                <w:sz w:val="24"/>
                <w:szCs w:val="24"/>
                <w:lang w:eastAsia="lt-LT"/>
              </w:rPr>
              <w:t>.</w:t>
            </w:r>
          </w:p>
        </w:tc>
        <w:tc>
          <w:tcPr>
            <w:tcW w:w="4039" w:type="dxa"/>
            <w:tcBorders>
              <w:top w:val="single" w:sz="4" w:space="0" w:color="auto"/>
              <w:left w:val="nil"/>
              <w:bottom w:val="single" w:sz="4" w:space="0" w:color="auto"/>
              <w:right w:val="single" w:sz="4" w:space="0" w:color="auto"/>
            </w:tcBorders>
            <w:shd w:val="clear" w:color="auto" w:fill="auto"/>
            <w:vAlign w:val="bottom"/>
            <w:hideMark/>
          </w:tcPr>
          <w:p w:rsidR="00490836" w:rsidRPr="00490836" w:rsidRDefault="00490836" w:rsidP="00490836">
            <w:pPr>
              <w:spacing w:after="0" w:line="240" w:lineRule="auto"/>
              <w:jc w:val="center"/>
              <w:rPr>
                <w:rFonts w:ascii="Times New Roman" w:eastAsia="Times New Roman" w:hAnsi="Times New Roman"/>
                <w:b/>
                <w:bCs/>
                <w:color w:val="000000"/>
                <w:sz w:val="24"/>
                <w:szCs w:val="24"/>
                <w:lang w:eastAsia="lt-LT"/>
              </w:rPr>
            </w:pPr>
            <w:r w:rsidRPr="00490836">
              <w:rPr>
                <w:rFonts w:ascii="Times New Roman" w:eastAsia="Times New Roman" w:hAnsi="Times New Roman"/>
                <w:b/>
                <w:bCs/>
                <w:color w:val="000000"/>
                <w:sz w:val="24"/>
                <w:szCs w:val="24"/>
                <w:lang w:eastAsia="lt-LT"/>
              </w:rPr>
              <w:t>Ikimokyklinio ugdymo įstaigos pavadinimas</w:t>
            </w:r>
          </w:p>
        </w:tc>
        <w:tc>
          <w:tcPr>
            <w:tcW w:w="4127" w:type="dxa"/>
            <w:tcBorders>
              <w:top w:val="single" w:sz="4" w:space="0" w:color="auto"/>
              <w:left w:val="nil"/>
              <w:bottom w:val="single" w:sz="4" w:space="0" w:color="auto"/>
              <w:right w:val="single" w:sz="4" w:space="0" w:color="auto"/>
            </w:tcBorders>
            <w:shd w:val="clear" w:color="auto" w:fill="auto"/>
            <w:vAlign w:val="bottom"/>
            <w:hideMark/>
          </w:tcPr>
          <w:p w:rsidR="00490836" w:rsidRPr="00490836" w:rsidRDefault="00490836" w:rsidP="00490836">
            <w:pPr>
              <w:spacing w:after="0" w:line="240" w:lineRule="auto"/>
              <w:jc w:val="center"/>
              <w:rPr>
                <w:rFonts w:ascii="Times New Roman" w:eastAsia="Times New Roman" w:hAnsi="Times New Roman"/>
                <w:b/>
                <w:bCs/>
                <w:color w:val="000000"/>
                <w:sz w:val="24"/>
                <w:szCs w:val="24"/>
                <w:lang w:eastAsia="lt-LT"/>
              </w:rPr>
            </w:pPr>
            <w:r w:rsidRPr="00490836">
              <w:rPr>
                <w:rFonts w:ascii="Times New Roman" w:eastAsia="Times New Roman" w:hAnsi="Times New Roman"/>
                <w:b/>
                <w:bCs/>
                <w:color w:val="000000"/>
                <w:sz w:val="24"/>
                <w:szCs w:val="24"/>
                <w:lang w:eastAsia="lt-LT"/>
              </w:rPr>
              <w:t>Vaikų neturinčių ėduonies pažeistų, plombuotų ir išrautų dantų  (proc.)</w:t>
            </w:r>
          </w:p>
        </w:tc>
      </w:tr>
      <w:tr w:rsidR="00490836" w:rsidRPr="00490836" w:rsidTr="00BC6D15">
        <w:trPr>
          <w:trHeight w:val="29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490836" w:rsidRPr="00490836" w:rsidRDefault="00490836" w:rsidP="00490836">
            <w:pPr>
              <w:spacing w:after="0" w:line="240" w:lineRule="auto"/>
              <w:rPr>
                <w:rFonts w:ascii="Times New Roman" w:eastAsia="Times New Roman" w:hAnsi="Times New Roman"/>
                <w:color w:val="000000"/>
                <w:sz w:val="24"/>
                <w:szCs w:val="24"/>
                <w:lang w:eastAsia="lt-LT"/>
              </w:rPr>
            </w:pPr>
            <w:bookmarkStart w:id="0" w:name="_GoBack" w:colFirst="2" w:colLast="2"/>
            <w:r w:rsidRPr="00490836">
              <w:rPr>
                <w:rFonts w:ascii="Times New Roman" w:eastAsia="Times New Roman" w:hAnsi="Times New Roman"/>
                <w:color w:val="000000"/>
                <w:sz w:val="24"/>
                <w:szCs w:val="24"/>
                <w:lang w:eastAsia="lt-LT"/>
              </w:rPr>
              <w:t>1.</w:t>
            </w:r>
          </w:p>
        </w:tc>
        <w:tc>
          <w:tcPr>
            <w:tcW w:w="4039" w:type="dxa"/>
            <w:tcBorders>
              <w:top w:val="nil"/>
              <w:left w:val="nil"/>
              <w:bottom w:val="single" w:sz="4" w:space="0" w:color="auto"/>
              <w:right w:val="single" w:sz="4" w:space="0" w:color="auto"/>
            </w:tcBorders>
            <w:shd w:val="clear" w:color="auto" w:fill="auto"/>
            <w:noWrap/>
            <w:vAlign w:val="bottom"/>
            <w:hideMark/>
          </w:tcPr>
          <w:p w:rsidR="00490836" w:rsidRPr="00490836" w:rsidRDefault="00490836" w:rsidP="00490836">
            <w:pPr>
              <w:spacing w:after="0" w:line="240" w:lineRule="auto"/>
              <w:rPr>
                <w:rFonts w:ascii="Times New Roman" w:eastAsia="Times New Roman" w:hAnsi="Times New Roman"/>
                <w:color w:val="000000"/>
                <w:sz w:val="24"/>
                <w:szCs w:val="24"/>
                <w:lang w:eastAsia="lt-LT"/>
              </w:rPr>
            </w:pPr>
            <w:proofErr w:type="spellStart"/>
            <w:r w:rsidRPr="00490836">
              <w:rPr>
                <w:rFonts w:ascii="Times New Roman" w:eastAsia="Times New Roman" w:hAnsi="Times New Roman"/>
                <w:color w:val="000000"/>
                <w:sz w:val="24"/>
                <w:szCs w:val="24"/>
                <w:lang w:eastAsia="lt-LT"/>
              </w:rPr>
              <w:t>Prūsalių</w:t>
            </w:r>
            <w:proofErr w:type="spellEnd"/>
            <w:r w:rsidRPr="00490836">
              <w:rPr>
                <w:rFonts w:ascii="Times New Roman" w:eastAsia="Times New Roman" w:hAnsi="Times New Roman"/>
                <w:color w:val="000000"/>
                <w:sz w:val="24"/>
                <w:szCs w:val="24"/>
                <w:lang w:eastAsia="lt-LT"/>
              </w:rPr>
              <w:t xml:space="preserve"> M-D</w:t>
            </w:r>
          </w:p>
        </w:tc>
        <w:tc>
          <w:tcPr>
            <w:tcW w:w="4127" w:type="dxa"/>
            <w:tcBorders>
              <w:top w:val="nil"/>
              <w:left w:val="nil"/>
              <w:bottom w:val="single" w:sz="4" w:space="0" w:color="auto"/>
              <w:right w:val="single" w:sz="4" w:space="0" w:color="auto"/>
            </w:tcBorders>
            <w:shd w:val="clear" w:color="auto" w:fill="auto"/>
            <w:noWrap/>
            <w:vAlign w:val="bottom"/>
          </w:tcPr>
          <w:p w:rsidR="00490836" w:rsidRPr="00490836" w:rsidRDefault="00BC6D15" w:rsidP="00490836">
            <w:pPr>
              <w:spacing w:after="0" w:line="240" w:lineRule="auto"/>
              <w:jc w:val="right"/>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46,2</w:t>
            </w:r>
          </w:p>
        </w:tc>
      </w:tr>
      <w:tr w:rsidR="00490836" w:rsidRPr="00490836" w:rsidTr="00BC6D15">
        <w:trPr>
          <w:trHeight w:val="29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490836" w:rsidRPr="00490836" w:rsidRDefault="00490836" w:rsidP="00490836">
            <w:pPr>
              <w:spacing w:after="0" w:line="240" w:lineRule="auto"/>
              <w:rPr>
                <w:rFonts w:ascii="Times New Roman" w:eastAsia="Times New Roman" w:hAnsi="Times New Roman"/>
                <w:color w:val="000000"/>
                <w:sz w:val="24"/>
                <w:szCs w:val="24"/>
                <w:lang w:eastAsia="lt-LT"/>
              </w:rPr>
            </w:pPr>
            <w:r w:rsidRPr="00490836">
              <w:rPr>
                <w:rFonts w:ascii="Times New Roman" w:eastAsia="Times New Roman" w:hAnsi="Times New Roman"/>
                <w:color w:val="000000"/>
                <w:sz w:val="24"/>
                <w:szCs w:val="24"/>
                <w:lang w:eastAsia="lt-LT"/>
              </w:rPr>
              <w:t>2.</w:t>
            </w:r>
          </w:p>
        </w:tc>
        <w:tc>
          <w:tcPr>
            <w:tcW w:w="4039" w:type="dxa"/>
            <w:tcBorders>
              <w:top w:val="nil"/>
              <w:left w:val="nil"/>
              <w:bottom w:val="single" w:sz="4" w:space="0" w:color="auto"/>
              <w:right w:val="single" w:sz="4" w:space="0" w:color="auto"/>
            </w:tcBorders>
            <w:shd w:val="clear" w:color="auto" w:fill="auto"/>
            <w:noWrap/>
            <w:vAlign w:val="bottom"/>
            <w:hideMark/>
          </w:tcPr>
          <w:p w:rsidR="00490836" w:rsidRPr="00490836" w:rsidRDefault="00490836" w:rsidP="00490836">
            <w:pPr>
              <w:spacing w:after="0" w:line="240" w:lineRule="auto"/>
              <w:rPr>
                <w:rFonts w:ascii="Times New Roman" w:eastAsia="Times New Roman" w:hAnsi="Times New Roman"/>
                <w:color w:val="000000"/>
                <w:sz w:val="24"/>
                <w:szCs w:val="24"/>
                <w:lang w:eastAsia="lt-LT"/>
              </w:rPr>
            </w:pPr>
            <w:proofErr w:type="spellStart"/>
            <w:r w:rsidRPr="00490836">
              <w:rPr>
                <w:rFonts w:ascii="Times New Roman" w:eastAsia="Times New Roman" w:hAnsi="Times New Roman"/>
                <w:color w:val="000000"/>
                <w:sz w:val="24"/>
                <w:szCs w:val="24"/>
                <w:lang w:eastAsia="lt-LT"/>
              </w:rPr>
              <w:t>Žem</w:t>
            </w:r>
            <w:proofErr w:type="spellEnd"/>
            <w:r w:rsidRPr="00490836">
              <w:rPr>
                <w:rFonts w:ascii="Times New Roman" w:eastAsia="Times New Roman" w:hAnsi="Times New Roman"/>
                <w:color w:val="000000"/>
                <w:sz w:val="24"/>
                <w:szCs w:val="24"/>
                <w:lang w:eastAsia="lt-LT"/>
              </w:rPr>
              <w:t>. Kalvarijos L-D</w:t>
            </w:r>
          </w:p>
        </w:tc>
        <w:tc>
          <w:tcPr>
            <w:tcW w:w="4127" w:type="dxa"/>
            <w:tcBorders>
              <w:top w:val="nil"/>
              <w:left w:val="nil"/>
              <w:bottom w:val="single" w:sz="4" w:space="0" w:color="auto"/>
              <w:right w:val="single" w:sz="4" w:space="0" w:color="auto"/>
            </w:tcBorders>
            <w:shd w:val="clear" w:color="auto" w:fill="auto"/>
            <w:noWrap/>
            <w:vAlign w:val="bottom"/>
          </w:tcPr>
          <w:p w:rsidR="00490836" w:rsidRPr="00490836" w:rsidRDefault="00BC6D15" w:rsidP="00490836">
            <w:pPr>
              <w:spacing w:after="0" w:line="240" w:lineRule="auto"/>
              <w:jc w:val="right"/>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56</w:t>
            </w:r>
          </w:p>
        </w:tc>
      </w:tr>
      <w:tr w:rsidR="00490836" w:rsidRPr="00490836" w:rsidTr="00BC6D15">
        <w:trPr>
          <w:trHeight w:val="29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490836" w:rsidRPr="00490836" w:rsidRDefault="00490836" w:rsidP="00490836">
            <w:pPr>
              <w:spacing w:after="0" w:line="240" w:lineRule="auto"/>
              <w:rPr>
                <w:rFonts w:ascii="Times New Roman" w:eastAsia="Times New Roman" w:hAnsi="Times New Roman"/>
                <w:color w:val="000000"/>
                <w:sz w:val="24"/>
                <w:szCs w:val="24"/>
                <w:lang w:eastAsia="lt-LT"/>
              </w:rPr>
            </w:pPr>
            <w:r w:rsidRPr="00490836">
              <w:rPr>
                <w:rFonts w:ascii="Times New Roman" w:eastAsia="Times New Roman" w:hAnsi="Times New Roman"/>
                <w:color w:val="000000"/>
                <w:sz w:val="24"/>
                <w:szCs w:val="24"/>
                <w:lang w:eastAsia="lt-LT"/>
              </w:rPr>
              <w:t>3.</w:t>
            </w:r>
          </w:p>
        </w:tc>
        <w:tc>
          <w:tcPr>
            <w:tcW w:w="4039" w:type="dxa"/>
            <w:tcBorders>
              <w:top w:val="nil"/>
              <w:left w:val="nil"/>
              <w:bottom w:val="single" w:sz="4" w:space="0" w:color="auto"/>
              <w:right w:val="single" w:sz="4" w:space="0" w:color="auto"/>
            </w:tcBorders>
            <w:shd w:val="clear" w:color="auto" w:fill="auto"/>
            <w:noWrap/>
            <w:vAlign w:val="bottom"/>
            <w:hideMark/>
          </w:tcPr>
          <w:p w:rsidR="00490836" w:rsidRPr="00490836" w:rsidRDefault="00490836" w:rsidP="00490836">
            <w:pPr>
              <w:spacing w:after="0" w:line="240" w:lineRule="auto"/>
              <w:rPr>
                <w:rFonts w:ascii="Times New Roman" w:eastAsia="Times New Roman" w:hAnsi="Times New Roman"/>
                <w:color w:val="000000"/>
                <w:sz w:val="24"/>
                <w:szCs w:val="24"/>
                <w:lang w:eastAsia="lt-LT"/>
              </w:rPr>
            </w:pPr>
            <w:r w:rsidRPr="00490836">
              <w:rPr>
                <w:rFonts w:ascii="Times New Roman" w:eastAsia="Times New Roman" w:hAnsi="Times New Roman"/>
                <w:color w:val="000000"/>
                <w:sz w:val="24"/>
                <w:szCs w:val="24"/>
                <w:lang w:eastAsia="lt-LT"/>
              </w:rPr>
              <w:t>L-D Rūtelė</w:t>
            </w:r>
          </w:p>
        </w:tc>
        <w:tc>
          <w:tcPr>
            <w:tcW w:w="4127" w:type="dxa"/>
            <w:tcBorders>
              <w:top w:val="nil"/>
              <w:left w:val="nil"/>
              <w:bottom w:val="single" w:sz="4" w:space="0" w:color="auto"/>
              <w:right w:val="single" w:sz="4" w:space="0" w:color="auto"/>
            </w:tcBorders>
            <w:shd w:val="clear" w:color="auto" w:fill="auto"/>
            <w:noWrap/>
            <w:vAlign w:val="bottom"/>
          </w:tcPr>
          <w:p w:rsidR="00490836" w:rsidRPr="00490836" w:rsidRDefault="00BC6D15" w:rsidP="00490836">
            <w:pPr>
              <w:spacing w:after="0" w:line="240" w:lineRule="auto"/>
              <w:jc w:val="right"/>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57</w:t>
            </w:r>
          </w:p>
        </w:tc>
      </w:tr>
      <w:tr w:rsidR="00490836" w:rsidRPr="00490836" w:rsidTr="00BC6D15">
        <w:trPr>
          <w:trHeight w:val="29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490836" w:rsidRPr="00490836" w:rsidRDefault="00490836" w:rsidP="00490836">
            <w:pPr>
              <w:spacing w:after="0" w:line="240" w:lineRule="auto"/>
              <w:rPr>
                <w:rFonts w:ascii="Times New Roman" w:eastAsia="Times New Roman" w:hAnsi="Times New Roman"/>
                <w:color w:val="000000"/>
                <w:sz w:val="24"/>
                <w:szCs w:val="24"/>
                <w:lang w:eastAsia="lt-LT"/>
              </w:rPr>
            </w:pPr>
            <w:r w:rsidRPr="00490836">
              <w:rPr>
                <w:rFonts w:ascii="Times New Roman" w:eastAsia="Times New Roman" w:hAnsi="Times New Roman"/>
                <w:color w:val="000000"/>
                <w:sz w:val="24"/>
                <w:szCs w:val="24"/>
                <w:lang w:eastAsia="lt-LT"/>
              </w:rPr>
              <w:t>4.</w:t>
            </w:r>
          </w:p>
        </w:tc>
        <w:tc>
          <w:tcPr>
            <w:tcW w:w="4039" w:type="dxa"/>
            <w:tcBorders>
              <w:top w:val="nil"/>
              <w:left w:val="nil"/>
              <w:bottom w:val="single" w:sz="4" w:space="0" w:color="auto"/>
              <w:right w:val="single" w:sz="4" w:space="0" w:color="auto"/>
            </w:tcBorders>
            <w:shd w:val="clear" w:color="auto" w:fill="auto"/>
            <w:noWrap/>
            <w:vAlign w:val="bottom"/>
            <w:hideMark/>
          </w:tcPr>
          <w:p w:rsidR="00490836" w:rsidRPr="00490836" w:rsidRDefault="00490836" w:rsidP="00490836">
            <w:pPr>
              <w:spacing w:after="0" w:line="240" w:lineRule="auto"/>
              <w:rPr>
                <w:rFonts w:ascii="Times New Roman" w:eastAsia="Times New Roman" w:hAnsi="Times New Roman"/>
                <w:color w:val="000000"/>
                <w:sz w:val="24"/>
                <w:szCs w:val="24"/>
                <w:lang w:eastAsia="lt-LT"/>
              </w:rPr>
            </w:pPr>
            <w:proofErr w:type="spellStart"/>
            <w:r w:rsidRPr="00490836">
              <w:rPr>
                <w:rFonts w:ascii="Times New Roman" w:eastAsia="Times New Roman" w:hAnsi="Times New Roman"/>
                <w:color w:val="000000"/>
                <w:sz w:val="24"/>
                <w:szCs w:val="24"/>
                <w:lang w:eastAsia="lt-LT"/>
              </w:rPr>
              <w:t>Didvyčių</w:t>
            </w:r>
            <w:proofErr w:type="spellEnd"/>
            <w:r w:rsidRPr="00490836">
              <w:rPr>
                <w:rFonts w:ascii="Times New Roman" w:eastAsia="Times New Roman" w:hAnsi="Times New Roman"/>
                <w:color w:val="000000"/>
                <w:sz w:val="24"/>
                <w:szCs w:val="24"/>
                <w:lang w:eastAsia="lt-LT"/>
              </w:rPr>
              <w:t xml:space="preserve"> DC</w:t>
            </w:r>
          </w:p>
        </w:tc>
        <w:tc>
          <w:tcPr>
            <w:tcW w:w="4127" w:type="dxa"/>
            <w:tcBorders>
              <w:top w:val="nil"/>
              <w:left w:val="nil"/>
              <w:bottom w:val="single" w:sz="4" w:space="0" w:color="auto"/>
              <w:right w:val="single" w:sz="4" w:space="0" w:color="auto"/>
            </w:tcBorders>
            <w:shd w:val="clear" w:color="auto" w:fill="auto"/>
            <w:noWrap/>
            <w:vAlign w:val="bottom"/>
          </w:tcPr>
          <w:p w:rsidR="00490836" w:rsidRPr="00490836" w:rsidRDefault="00BC6D15" w:rsidP="00490836">
            <w:pPr>
              <w:spacing w:after="0" w:line="240" w:lineRule="auto"/>
              <w:jc w:val="right"/>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50</w:t>
            </w:r>
          </w:p>
        </w:tc>
      </w:tr>
      <w:tr w:rsidR="00490836" w:rsidRPr="00490836" w:rsidTr="00BC6D15">
        <w:trPr>
          <w:trHeight w:val="29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490836" w:rsidRPr="00490836" w:rsidRDefault="00490836" w:rsidP="00490836">
            <w:pPr>
              <w:spacing w:after="0" w:line="240" w:lineRule="auto"/>
              <w:rPr>
                <w:rFonts w:ascii="Times New Roman" w:eastAsia="Times New Roman" w:hAnsi="Times New Roman"/>
                <w:color w:val="000000"/>
                <w:sz w:val="24"/>
                <w:szCs w:val="24"/>
                <w:lang w:eastAsia="lt-LT"/>
              </w:rPr>
            </w:pPr>
            <w:r w:rsidRPr="00490836">
              <w:rPr>
                <w:rFonts w:ascii="Times New Roman" w:eastAsia="Times New Roman" w:hAnsi="Times New Roman"/>
                <w:color w:val="000000"/>
                <w:sz w:val="24"/>
                <w:szCs w:val="24"/>
                <w:lang w:eastAsia="lt-LT"/>
              </w:rPr>
              <w:t>5.</w:t>
            </w:r>
          </w:p>
        </w:tc>
        <w:tc>
          <w:tcPr>
            <w:tcW w:w="4039" w:type="dxa"/>
            <w:tcBorders>
              <w:top w:val="nil"/>
              <w:left w:val="nil"/>
              <w:bottom w:val="single" w:sz="4" w:space="0" w:color="auto"/>
              <w:right w:val="single" w:sz="4" w:space="0" w:color="auto"/>
            </w:tcBorders>
            <w:shd w:val="clear" w:color="auto" w:fill="auto"/>
            <w:noWrap/>
            <w:vAlign w:val="bottom"/>
            <w:hideMark/>
          </w:tcPr>
          <w:p w:rsidR="00490836" w:rsidRPr="00490836" w:rsidRDefault="00490836" w:rsidP="00490836">
            <w:pPr>
              <w:spacing w:after="0" w:line="240" w:lineRule="auto"/>
              <w:rPr>
                <w:rFonts w:ascii="Times New Roman" w:eastAsia="Times New Roman" w:hAnsi="Times New Roman"/>
                <w:color w:val="000000"/>
                <w:sz w:val="24"/>
                <w:szCs w:val="24"/>
                <w:lang w:eastAsia="lt-LT"/>
              </w:rPr>
            </w:pPr>
            <w:r w:rsidRPr="00490836">
              <w:rPr>
                <w:rFonts w:ascii="Times New Roman" w:eastAsia="Times New Roman" w:hAnsi="Times New Roman"/>
                <w:color w:val="000000"/>
                <w:sz w:val="24"/>
                <w:szCs w:val="24"/>
                <w:lang w:eastAsia="lt-LT"/>
              </w:rPr>
              <w:t>Platelių UDC</w:t>
            </w:r>
          </w:p>
        </w:tc>
        <w:tc>
          <w:tcPr>
            <w:tcW w:w="4127" w:type="dxa"/>
            <w:tcBorders>
              <w:top w:val="nil"/>
              <w:left w:val="nil"/>
              <w:bottom w:val="single" w:sz="4" w:space="0" w:color="auto"/>
              <w:right w:val="single" w:sz="4" w:space="0" w:color="auto"/>
            </w:tcBorders>
            <w:shd w:val="clear" w:color="auto" w:fill="auto"/>
            <w:noWrap/>
            <w:vAlign w:val="bottom"/>
          </w:tcPr>
          <w:p w:rsidR="00490836" w:rsidRPr="00490836" w:rsidRDefault="00BC6D15" w:rsidP="00490836">
            <w:pPr>
              <w:spacing w:after="0" w:line="240" w:lineRule="auto"/>
              <w:jc w:val="right"/>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58</w:t>
            </w:r>
          </w:p>
        </w:tc>
      </w:tr>
      <w:tr w:rsidR="00490836" w:rsidRPr="00490836" w:rsidTr="00BC6D15">
        <w:trPr>
          <w:trHeight w:val="29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490836" w:rsidRPr="00490836" w:rsidRDefault="00490836" w:rsidP="00490836">
            <w:pPr>
              <w:spacing w:after="0" w:line="240" w:lineRule="auto"/>
              <w:rPr>
                <w:rFonts w:ascii="Times New Roman" w:eastAsia="Times New Roman" w:hAnsi="Times New Roman"/>
                <w:color w:val="000000"/>
                <w:sz w:val="24"/>
                <w:szCs w:val="24"/>
                <w:lang w:eastAsia="lt-LT"/>
              </w:rPr>
            </w:pPr>
            <w:r w:rsidRPr="00490836">
              <w:rPr>
                <w:rFonts w:ascii="Times New Roman" w:eastAsia="Times New Roman" w:hAnsi="Times New Roman"/>
                <w:color w:val="000000"/>
                <w:sz w:val="24"/>
                <w:szCs w:val="24"/>
                <w:lang w:eastAsia="lt-LT"/>
              </w:rPr>
              <w:t>6.</w:t>
            </w:r>
          </w:p>
        </w:tc>
        <w:tc>
          <w:tcPr>
            <w:tcW w:w="4039" w:type="dxa"/>
            <w:tcBorders>
              <w:top w:val="nil"/>
              <w:left w:val="nil"/>
              <w:bottom w:val="single" w:sz="4" w:space="0" w:color="auto"/>
              <w:right w:val="single" w:sz="4" w:space="0" w:color="auto"/>
            </w:tcBorders>
            <w:shd w:val="clear" w:color="auto" w:fill="auto"/>
            <w:noWrap/>
            <w:vAlign w:val="bottom"/>
            <w:hideMark/>
          </w:tcPr>
          <w:p w:rsidR="00490836" w:rsidRPr="00490836" w:rsidRDefault="00490836" w:rsidP="00490836">
            <w:pPr>
              <w:spacing w:after="0" w:line="240" w:lineRule="auto"/>
              <w:rPr>
                <w:rFonts w:ascii="Times New Roman" w:eastAsia="Times New Roman" w:hAnsi="Times New Roman"/>
                <w:color w:val="000000"/>
                <w:sz w:val="24"/>
                <w:szCs w:val="24"/>
                <w:lang w:eastAsia="lt-LT"/>
              </w:rPr>
            </w:pPr>
            <w:r w:rsidRPr="00490836">
              <w:rPr>
                <w:rFonts w:ascii="Times New Roman" w:eastAsia="Times New Roman" w:hAnsi="Times New Roman"/>
                <w:color w:val="000000"/>
                <w:sz w:val="24"/>
                <w:szCs w:val="24"/>
                <w:lang w:eastAsia="lt-LT"/>
              </w:rPr>
              <w:t>L-D Pasaka</w:t>
            </w:r>
          </w:p>
        </w:tc>
        <w:tc>
          <w:tcPr>
            <w:tcW w:w="4127" w:type="dxa"/>
            <w:tcBorders>
              <w:top w:val="nil"/>
              <w:left w:val="nil"/>
              <w:bottom w:val="single" w:sz="4" w:space="0" w:color="auto"/>
              <w:right w:val="single" w:sz="4" w:space="0" w:color="auto"/>
            </w:tcBorders>
            <w:shd w:val="clear" w:color="auto" w:fill="auto"/>
            <w:noWrap/>
            <w:vAlign w:val="bottom"/>
          </w:tcPr>
          <w:p w:rsidR="00490836" w:rsidRPr="00490836" w:rsidRDefault="00BC6D15" w:rsidP="00490836">
            <w:pPr>
              <w:spacing w:after="0" w:line="240" w:lineRule="auto"/>
              <w:jc w:val="right"/>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55,4</w:t>
            </w:r>
          </w:p>
        </w:tc>
      </w:tr>
      <w:tr w:rsidR="00490836" w:rsidRPr="00490836" w:rsidTr="00BC6D15">
        <w:trPr>
          <w:trHeight w:val="29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490836" w:rsidRPr="00490836" w:rsidRDefault="00490836" w:rsidP="00490836">
            <w:pPr>
              <w:spacing w:after="0" w:line="240" w:lineRule="auto"/>
              <w:rPr>
                <w:rFonts w:ascii="Times New Roman" w:eastAsia="Times New Roman" w:hAnsi="Times New Roman"/>
                <w:color w:val="000000"/>
                <w:sz w:val="24"/>
                <w:szCs w:val="24"/>
                <w:lang w:eastAsia="lt-LT"/>
              </w:rPr>
            </w:pPr>
            <w:r w:rsidRPr="00490836">
              <w:rPr>
                <w:rFonts w:ascii="Times New Roman" w:eastAsia="Times New Roman" w:hAnsi="Times New Roman"/>
                <w:color w:val="000000"/>
                <w:sz w:val="24"/>
                <w:szCs w:val="24"/>
                <w:lang w:eastAsia="lt-LT"/>
              </w:rPr>
              <w:t>7.</w:t>
            </w:r>
          </w:p>
        </w:tc>
        <w:tc>
          <w:tcPr>
            <w:tcW w:w="4039" w:type="dxa"/>
            <w:tcBorders>
              <w:top w:val="nil"/>
              <w:left w:val="nil"/>
              <w:bottom w:val="single" w:sz="4" w:space="0" w:color="auto"/>
              <w:right w:val="single" w:sz="4" w:space="0" w:color="auto"/>
            </w:tcBorders>
            <w:shd w:val="clear" w:color="auto" w:fill="auto"/>
            <w:noWrap/>
            <w:vAlign w:val="bottom"/>
            <w:hideMark/>
          </w:tcPr>
          <w:p w:rsidR="00490836" w:rsidRPr="00490836" w:rsidRDefault="00490836" w:rsidP="00490836">
            <w:pPr>
              <w:spacing w:after="0" w:line="240" w:lineRule="auto"/>
              <w:rPr>
                <w:rFonts w:ascii="Times New Roman" w:eastAsia="Times New Roman" w:hAnsi="Times New Roman"/>
                <w:color w:val="000000"/>
                <w:sz w:val="24"/>
                <w:szCs w:val="24"/>
                <w:lang w:eastAsia="lt-LT"/>
              </w:rPr>
            </w:pPr>
            <w:r w:rsidRPr="00490836">
              <w:rPr>
                <w:rFonts w:ascii="Times New Roman" w:eastAsia="Times New Roman" w:hAnsi="Times New Roman"/>
                <w:color w:val="000000"/>
                <w:sz w:val="24"/>
                <w:szCs w:val="24"/>
                <w:lang w:eastAsia="lt-LT"/>
              </w:rPr>
              <w:t>L-D Saulutė</w:t>
            </w:r>
          </w:p>
        </w:tc>
        <w:tc>
          <w:tcPr>
            <w:tcW w:w="4127" w:type="dxa"/>
            <w:tcBorders>
              <w:top w:val="nil"/>
              <w:left w:val="nil"/>
              <w:bottom w:val="single" w:sz="4" w:space="0" w:color="auto"/>
              <w:right w:val="single" w:sz="4" w:space="0" w:color="auto"/>
            </w:tcBorders>
            <w:shd w:val="clear" w:color="auto" w:fill="auto"/>
            <w:noWrap/>
            <w:vAlign w:val="bottom"/>
          </w:tcPr>
          <w:p w:rsidR="00490836" w:rsidRPr="00490836" w:rsidRDefault="00BC6D15" w:rsidP="00490836">
            <w:pPr>
              <w:spacing w:after="0" w:line="240" w:lineRule="auto"/>
              <w:jc w:val="right"/>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43</w:t>
            </w:r>
          </w:p>
        </w:tc>
      </w:tr>
      <w:tr w:rsidR="00490836" w:rsidRPr="00490836" w:rsidTr="00BC6D15">
        <w:trPr>
          <w:trHeight w:val="29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490836" w:rsidRPr="00490836" w:rsidRDefault="00490836" w:rsidP="00490836">
            <w:pPr>
              <w:spacing w:after="0" w:line="240" w:lineRule="auto"/>
              <w:rPr>
                <w:rFonts w:ascii="Times New Roman" w:eastAsia="Times New Roman" w:hAnsi="Times New Roman"/>
                <w:color w:val="000000"/>
                <w:sz w:val="24"/>
                <w:szCs w:val="24"/>
                <w:lang w:eastAsia="lt-LT"/>
              </w:rPr>
            </w:pPr>
            <w:r w:rsidRPr="00490836">
              <w:rPr>
                <w:rFonts w:ascii="Times New Roman" w:eastAsia="Times New Roman" w:hAnsi="Times New Roman"/>
                <w:color w:val="000000"/>
                <w:sz w:val="24"/>
                <w:szCs w:val="24"/>
                <w:lang w:eastAsia="lt-LT"/>
              </w:rPr>
              <w:t>8.</w:t>
            </w:r>
          </w:p>
        </w:tc>
        <w:tc>
          <w:tcPr>
            <w:tcW w:w="4039" w:type="dxa"/>
            <w:tcBorders>
              <w:top w:val="nil"/>
              <w:left w:val="nil"/>
              <w:bottom w:val="single" w:sz="4" w:space="0" w:color="auto"/>
              <w:right w:val="single" w:sz="4" w:space="0" w:color="auto"/>
            </w:tcBorders>
            <w:shd w:val="clear" w:color="auto" w:fill="auto"/>
            <w:noWrap/>
            <w:vAlign w:val="bottom"/>
            <w:hideMark/>
          </w:tcPr>
          <w:p w:rsidR="00490836" w:rsidRPr="00490836" w:rsidRDefault="00490836" w:rsidP="00490836">
            <w:pPr>
              <w:spacing w:after="0" w:line="240" w:lineRule="auto"/>
              <w:rPr>
                <w:rFonts w:ascii="Times New Roman" w:eastAsia="Times New Roman" w:hAnsi="Times New Roman"/>
                <w:color w:val="000000"/>
                <w:sz w:val="24"/>
                <w:szCs w:val="24"/>
                <w:lang w:eastAsia="lt-LT"/>
              </w:rPr>
            </w:pPr>
            <w:r w:rsidRPr="00490836">
              <w:rPr>
                <w:rFonts w:ascii="Times New Roman" w:eastAsia="Times New Roman" w:hAnsi="Times New Roman"/>
                <w:color w:val="000000"/>
                <w:sz w:val="24"/>
                <w:szCs w:val="24"/>
                <w:lang w:eastAsia="lt-LT"/>
              </w:rPr>
              <w:t>Alsėdžių L- D</w:t>
            </w:r>
          </w:p>
        </w:tc>
        <w:tc>
          <w:tcPr>
            <w:tcW w:w="4127" w:type="dxa"/>
            <w:tcBorders>
              <w:top w:val="nil"/>
              <w:left w:val="nil"/>
              <w:bottom w:val="single" w:sz="4" w:space="0" w:color="auto"/>
              <w:right w:val="single" w:sz="4" w:space="0" w:color="auto"/>
            </w:tcBorders>
            <w:shd w:val="clear" w:color="auto" w:fill="auto"/>
            <w:noWrap/>
            <w:vAlign w:val="bottom"/>
          </w:tcPr>
          <w:p w:rsidR="00490836" w:rsidRPr="00490836" w:rsidRDefault="00BC6D15" w:rsidP="00490836">
            <w:pPr>
              <w:spacing w:after="0" w:line="240" w:lineRule="auto"/>
              <w:jc w:val="right"/>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40,5</w:t>
            </w:r>
          </w:p>
        </w:tc>
      </w:tr>
      <w:tr w:rsidR="00490836" w:rsidRPr="00490836" w:rsidTr="00BC6D15">
        <w:trPr>
          <w:trHeight w:val="29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490836" w:rsidRPr="00490836" w:rsidRDefault="00490836" w:rsidP="00490836">
            <w:pPr>
              <w:spacing w:after="0" w:line="240" w:lineRule="auto"/>
              <w:rPr>
                <w:rFonts w:ascii="Times New Roman" w:eastAsia="Times New Roman" w:hAnsi="Times New Roman"/>
                <w:color w:val="000000"/>
                <w:sz w:val="24"/>
                <w:szCs w:val="24"/>
                <w:lang w:eastAsia="lt-LT"/>
              </w:rPr>
            </w:pPr>
            <w:r w:rsidRPr="00490836">
              <w:rPr>
                <w:rFonts w:ascii="Times New Roman" w:eastAsia="Times New Roman" w:hAnsi="Times New Roman"/>
                <w:color w:val="000000"/>
                <w:sz w:val="24"/>
                <w:szCs w:val="24"/>
                <w:lang w:eastAsia="lt-LT"/>
              </w:rPr>
              <w:t>9.</w:t>
            </w:r>
          </w:p>
        </w:tc>
        <w:tc>
          <w:tcPr>
            <w:tcW w:w="4039" w:type="dxa"/>
            <w:tcBorders>
              <w:top w:val="nil"/>
              <w:left w:val="nil"/>
              <w:bottom w:val="single" w:sz="4" w:space="0" w:color="auto"/>
              <w:right w:val="single" w:sz="4" w:space="0" w:color="auto"/>
            </w:tcBorders>
            <w:shd w:val="clear" w:color="auto" w:fill="auto"/>
            <w:noWrap/>
            <w:vAlign w:val="bottom"/>
            <w:hideMark/>
          </w:tcPr>
          <w:p w:rsidR="00490836" w:rsidRPr="00490836" w:rsidRDefault="00490836" w:rsidP="00490836">
            <w:pPr>
              <w:spacing w:after="0" w:line="240" w:lineRule="auto"/>
              <w:rPr>
                <w:rFonts w:ascii="Times New Roman" w:eastAsia="Times New Roman" w:hAnsi="Times New Roman"/>
                <w:color w:val="000000"/>
                <w:sz w:val="24"/>
                <w:szCs w:val="24"/>
                <w:lang w:eastAsia="lt-LT"/>
              </w:rPr>
            </w:pPr>
            <w:r w:rsidRPr="00490836">
              <w:rPr>
                <w:rFonts w:ascii="Times New Roman" w:eastAsia="Times New Roman" w:hAnsi="Times New Roman"/>
                <w:color w:val="000000"/>
                <w:sz w:val="24"/>
                <w:szCs w:val="24"/>
                <w:lang w:eastAsia="lt-LT"/>
              </w:rPr>
              <w:t>L-D Nykštukas</w:t>
            </w:r>
          </w:p>
        </w:tc>
        <w:tc>
          <w:tcPr>
            <w:tcW w:w="4127" w:type="dxa"/>
            <w:tcBorders>
              <w:top w:val="nil"/>
              <w:left w:val="nil"/>
              <w:bottom w:val="single" w:sz="4" w:space="0" w:color="auto"/>
              <w:right w:val="single" w:sz="4" w:space="0" w:color="auto"/>
            </w:tcBorders>
            <w:shd w:val="clear" w:color="auto" w:fill="auto"/>
            <w:noWrap/>
            <w:vAlign w:val="bottom"/>
          </w:tcPr>
          <w:p w:rsidR="00490836" w:rsidRPr="00490836" w:rsidRDefault="00BC6D15" w:rsidP="00490836">
            <w:pPr>
              <w:spacing w:after="0" w:line="240" w:lineRule="auto"/>
              <w:jc w:val="right"/>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56</w:t>
            </w:r>
          </w:p>
        </w:tc>
      </w:tr>
      <w:tr w:rsidR="00490836" w:rsidRPr="00490836" w:rsidTr="00BC6D15">
        <w:trPr>
          <w:trHeight w:val="29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490836" w:rsidRPr="00490836" w:rsidRDefault="00490836" w:rsidP="00490836">
            <w:pPr>
              <w:spacing w:after="0" w:line="240" w:lineRule="auto"/>
              <w:rPr>
                <w:rFonts w:ascii="Times New Roman" w:eastAsia="Times New Roman" w:hAnsi="Times New Roman"/>
                <w:color w:val="000000"/>
                <w:sz w:val="24"/>
                <w:szCs w:val="24"/>
                <w:lang w:eastAsia="lt-LT"/>
              </w:rPr>
            </w:pPr>
            <w:r w:rsidRPr="00490836">
              <w:rPr>
                <w:rFonts w:ascii="Times New Roman" w:eastAsia="Times New Roman" w:hAnsi="Times New Roman"/>
                <w:color w:val="000000"/>
                <w:sz w:val="24"/>
                <w:szCs w:val="24"/>
                <w:lang w:eastAsia="lt-LT"/>
              </w:rPr>
              <w:t>10.</w:t>
            </w:r>
          </w:p>
        </w:tc>
        <w:tc>
          <w:tcPr>
            <w:tcW w:w="4039" w:type="dxa"/>
            <w:tcBorders>
              <w:top w:val="nil"/>
              <w:left w:val="nil"/>
              <w:bottom w:val="single" w:sz="4" w:space="0" w:color="auto"/>
              <w:right w:val="single" w:sz="4" w:space="0" w:color="auto"/>
            </w:tcBorders>
            <w:shd w:val="clear" w:color="auto" w:fill="auto"/>
            <w:noWrap/>
            <w:vAlign w:val="bottom"/>
            <w:hideMark/>
          </w:tcPr>
          <w:p w:rsidR="00490836" w:rsidRPr="00490836" w:rsidRDefault="00490836" w:rsidP="00490836">
            <w:pPr>
              <w:spacing w:after="0" w:line="240" w:lineRule="auto"/>
              <w:rPr>
                <w:rFonts w:ascii="Times New Roman" w:eastAsia="Times New Roman" w:hAnsi="Times New Roman"/>
                <w:color w:val="000000"/>
                <w:sz w:val="24"/>
                <w:szCs w:val="24"/>
                <w:lang w:eastAsia="lt-LT"/>
              </w:rPr>
            </w:pPr>
            <w:r w:rsidRPr="00490836">
              <w:rPr>
                <w:rFonts w:ascii="Times New Roman" w:eastAsia="Times New Roman" w:hAnsi="Times New Roman"/>
                <w:color w:val="000000"/>
                <w:sz w:val="24"/>
                <w:szCs w:val="24"/>
                <w:lang w:eastAsia="lt-LT"/>
              </w:rPr>
              <w:t>L-D Raudonkepuraitė</w:t>
            </w:r>
          </w:p>
        </w:tc>
        <w:tc>
          <w:tcPr>
            <w:tcW w:w="4127" w:type="dxa"/>
            <w:tcBorders>
              <w:top w:val="nil"/>
              <w:left w:val="nil"/>
              <w:bottom w:val="single" w:sz="4" w:space="0" w:color="auto"/>
              <w:right w:val="single" w:sz="4" w:space="0" w:color="auto"/>
            </w:tcBorders>
            <w:shd w:val="clear" w:color="auto" w:fill="auto"/>
            <w:noWrap/>
            <w:vAlign w:val="bottom"/>
          </w:tcPr>
          <w:p w:rsidR="00490836" w:rsidRPr="00490836" w:rsidRDefault="008C6377" w:rsidP="008C6377">
            <w:pPr>
              <w:spacing w:after="0" w:line="240" w:lineRule="auto"/>
              <w:jc w:val="right"/>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50,3</w:t>
            </w:r>
          </w:p>
        </w:tc>
      </w:tr>
      <w:tr w:rsidR="00490836" w:rsidRPr="00490836" w:rsidTr="00BC6D15">
        <w:trPr>
          <w:trHeight w:val="29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490836" w:rsidRPr="00490836" w:rsidRDefault="00490836" w:rsidP="00490836">
            <w:pPr>
              <w:spacing w:after="0" w:line="240" w:lineRule="auto"/>
              <w:rPr>
                <w:rFonts w:ascii="Times New Roman" w:eastAsia="Times New Roman" w:hAnsi="Times New Roman"/>
                <w:color w:val="000000"/>
                <w:sz w:val="24"/>
                <w:szCs w:val="24"/>
                <w:lang w:eastAsia="lt-LT"/>
              </w:rPr>
            </w:pPr>
            <w:r w:rsidRPr="00490836">
              <w:rPr>
                <w:rFonts w:ascii="Times New Roman" w:eastAsia="Times New Roman" w:hAnsi="Times New Roman"/>
                <w:color w:val="000000"/>
                <w:sz w:val="24"/>
                <w:szCs w:val="24"/>
                <w:lang w:eastAsia="lt-LT"/>
              </w:rPr>
              <w:t>11.</w:t>
            </w:r>
          </w:p>
        </w:tc>
        <w:tc>
          <w:tcPr>
            <w:tcW w:w="4039" w:type="dxa"/>
            <w:tcBorders>
              <w:top w:val="nil"/>
              <w:left w:val="nil"/>
              <w:bottom w:val="single" w:sz="4" w:space="0" w:color="auto"/>
              <w:right w:val="single" w:sz="4" w:space="0" w:color="auto"/>
            </w:tcBorders>
            <w:shd w:val="clear" w:color="auto" w:fill="auto"/>
            <w:noWrap/>
            <w:vAlign w:val="bottom"/>
            <w:hideMark/>
          </w:tcPr>
          <w:p w:rsidR="00490836" w:rsidRPr="00490836" w:rsidRDefault="00490836" w:rsidP="00490836">
            <w:pPr>
              <w:spacing w:after="0" w:line="240" w:lineRule="auto"/>
              <w:rPr>
                <w:rFonts w:ascii="Times New Roman" w:eastAsia="Times New Roman" w:hAnsi="Times New Roman"/>
                <w:color w:val="000000"/>
                <w:sz w:val="24"/>
                <w:szCs w:val="24"/>
                <w:lang w:eastAsia="lt-LT"/>
              </w:rPr>
            </w:pPr>
            <w:proofErr w:type="spellStart"/>
            <w:r w:rsidRPr="00490836">
              <w:rPr>
                <w:rFonts w:ascii="Times New Roman" w:eastAsia="Times New Roman" w:hAnsi="Times New Roman"/>
                <w:color w:val="000000"/>
                <w:sz w:val="24"/>
                <w:szCs w:val="24"/>
                <w:lang w:eastAsia="lt-LT"/>
              </w:rPr>
              <w:t>Šateikių</w:t>
            </w:r>
            <w:proofErr w:type="spellEnd"/>
            <w:r w:rsidRPr="00490836">
              <w:rPr>
                <w:rFonts w:ascii="Times New Roman" w:eastAsia="Times New Roman" w:hAnsi="Times New Roman"/>
                <w:color w:val="000000"/>
                <w:sz w:val="24"/>
                <w:szCs w:val="24"/>
                <w:lang w:eastAsia="lt-LT"/>
              </w:rPr>
              <w:t xml:space="preserve"> L- D</w:t>
            </w:r>
          </w:p>
        </w:tc>
        <w:tc>
          <w:tcPr>
            <w:tcW w:w="4127" w:type="dxa"/>
            <w:tcBorders>
              <w:top w:val="nil"/>
              <w:left w:val="nil"/>
              <w:bottom w:val="single" w:sz="4" w:space="0" w:color="auto"/>
              <w:right w:val="single" w:sz="4" w:space="0" w:color="auto"/>
            </w:tcBorders>
            <w:shd w:val="clear" w:color="auto" w:fill="auto"/>
            <w:noWrap/>
            <w:vAlign w:val="bottom"/>
          </w:tcPr>
          <w:p w:rsidR="00490836" w:rsidRPr="00490836" w:rsidRDefault="00BC6D15" w:rsidP="00490836">
            <w:pPr>
              <w:spacing w:after="0" w:line="240" w:lineRule="auto"/>
              <w:jc w:val="right"/>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60</w:t>
            </w:r>
          </w:p>
        </w:tc>
      </w:tr>
      <w:tr w:rsidR="00490836" w:rsidRPr="00490836" w:rsidTr="00BC6D15">
        <w:trPr>
          <w:trHeight w:val="29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490836" w:rsidRPr="00490836" w:rsidRDefault="00490836" w:rsidP="00490836">
            <w:pPr>
              <w:spacing w:after="0" w:line="240" w:lineRule="auto"/>
              <w:rPr>
                <w:rFonts w:ascii="Times New Roman" w:eastAsia="Times New Roman" w:hAnsi="Times New Roman"/>
                <w:color w:val="000000"/>
                <w:sz w:val="24"/>
                <w:szCs w:val="24"/>
                <w:lang w:eastAsia="lt-LT"/>
              </w:rPr>
            </w:pPr>
            <w:r w:rsidRPr="00490836">
              <w:rPr>
                <w:rFonts w:ascii="Times New Roman" w:eastAsia="Times New Roman" w:hAnsi="Times New Roman"/>
                <w:color w:val="000000"/>
                <w:sz w:val="24"/>
                <w:szCs w:val="24"/>
                <w:lang w:eastAsia="lt-LT"/>
              </w:rPr>
              <w:t>12.</w:t>
            </w:r>
          </w:p>
        </w:tc>
        <w:tc>
          <w:tcPr>
            <w:tcW w:w="4039" w:type="dxa"/>
            <w:tcBorders>
              <w:top w:val="nil"/>
              <w:left w:val="nil"/>
              <w:bottom w:val="single" w:sz="4" w:space="0" w:color="auto"/>
              <w:right w:val="single" w:sz="4" w:space="0" w:color="auto"/>
            </w:tcBorders>
            <w:shd w:val="clear" w:color="auto" w:fill="auto"/>
            <w:noWrap/>
            <w:vAlign w:val="bottom"/>
            <w:hideMark/>
          </w:tcPr>
          <w:p w:rsidR="00490836" w:rsidRPr="00490836" w:rsidRDefault="00490836" w:rsidP="00490836">
            <w:pPr>
              <w:spacing w:after="0" w:line="240" w:lineRule="auto"/>
              <w:rPr>
                <w:rFonts w:ascii="Times New Roman" w:eastAsia="Times New Roman" w:hAnsi="Times New Roman"/>
                <w:color w:val="000000"/>
                <w:sz w:val="24"/>
                <w:szCs w:val="24"/>
                <w:lang w:eastAsia="lt-LT"/>
              </w:rPr>
            </w:pPr>
            <w:r w:rsidRPr="00490836">
              <w:rPr>
                <w:rFonts w:ascii="Times New Roman" w:eastAsia="Times New Roman" w:hAnsi="Times New Roman"/>
                <w:color w:val="000000"/>
                <w:sz w:val="24"/>
                <w:szCs w:val="24"/>
                <w:lang w:eastAsia="lt-LT"/>
              </w:rPr>
              <w:t>L-D Vyturėlis</w:t>
            </w:r>
          </w:p>
        </w:tc>
        <w:tc>
          <w:tcPr>
            <w:tcW w:w="4127" w:type="dxa"/>
            <w:tcBorders>
              <w:top w:val="nil"/>
              <w:left w:val="nil"/>
              <w:bottom w:val="single" w:sz="4" w:space="0" w:color="auto"/>
              <w:right w:val="single" w:sz="4" w:space="0" w:color="auto"/>
            </w:tcBorders>
            <w:shd w:val="clear" w:color="auto" w:fill="auto"/>
            <w:noWrap/>
            <w:vAlign w:val="bottom"/>
          </w:tcPr>
          <w:p w:rsidR="00490836" w:rsidRPr="00490836" w:rsidRDefault="00BC6D15" w:rsidP="00490836">
            <w:pPr>
              <w:spacing w:after="0" w:line="240" w:lineRule="auto"/>
              <w:jc w:val="right"/>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58,5</w:t>
            </w:r>
          </w:p>
        </w:tc>
      </w:tr>
      <w:tr w:rsidR="00490836" w:rsidRPr="00490836" w:rsidTr="00BC6D15">
        <w:trPr>
          <w:trHeight w:val="29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490836" w:rsidRPr="00490836" w:rsidRDefault="00490836" w:rsidP="00490836">
            <w:pPr>
              <w:spacing w:after="0" w:line="240" w:lineRule="auto"/>
              <w:rPr>
                <w:rFonts w:ascii="Times New Roman" w:eastAsia="Times New Roman" w:hAnsi="Times New Roman"/>
                <w:color w:val="000000"/>
                <w:sz w:val="24"/>
                <w:szCs w:val="24"/>
                <w:lang w:eastAsia="lt-LT"/>
              </w:rPr>
            </w:pPr>
            <w:r w:rsidRPr="00490836">
              <w:rPr>
                <w:rFonts w:ascii="Times New Roman" w:eastAsia="Times New Roman" w:hAnsi="Times New Roman"/>
                <w:color w:val="000000"/>
                <w:sz w:val="24"/>
                <w:szCs w:val="24"/>
                <w:lang w:eastAsia="lt-LT"/>
              </w:rPr>
              <w:t>13.</w:t>
            </w:r>
          </w:p>
        </w:tc>
        <w:tc>
          <w:tcPr>
            <w:tcW w:w="4039" w:type="dxa"/>
            <w:tcBorders>
              <w:top w:val="nil"/>
              <w:left w:val="nil"/>
              <w:bottom w:val="single" w:sz="4" w:space="0" w:color="auto"/>
              <w:right w:val="single" w:sz="4" w:space="0" w:color="auto"/>
            </w:tcBorders>
            <w:shd w:val="clear" w:color="auto" w:fill="auto"/>
            <w:noWrap/>
            <w:vAlign w:val="bottom"/>
            <w:hideMark/>
          </w:tcPr>
          <w:p w:rsidR="00490836" w:rsidRPr="00490836" w:rsidRDefault="00490836" w:rsidP="00490836">
            <w:pPr>
              <w:spacing w:after="0" w:line="240" w:lineRule="auto"/>
              <w:rPr>
                <w:rFonts w:ascii="Times New Roman" w:eastAsia="Times New Roman" w:hAnsi="Times New Roman"/>
                <w:color w:val="000000"/>
                <w:sz w:val="24"/>
                <w:szCs w:val="24"/>
                <w:lang w:eastAsia="lt-LT"/>
              </w:rPr>
            </w:pPr>
            <w:r w:rsidRPr="00490836">
              <w:rPr>
                <w:rFonts w:ascii="Times New Roman" w:eastAsia="Times New Roman" w:hAnsi="Times New Roman"/>
                <w:color w:val="000000"/>
                <w:sz w:val="24"/>
                <w:szCs w:val="24"/>
                <w:lang w:eastAsia="lt-LT"/>
              </w:rPr>
              <w:t>Kantaučių DC</w:t>
            </w:r>
          </w:p>
        </w:tc>
        <w:tc>
          <w:tcPr>
            <w:tcW w:w="4127" w:type="dxa"/>
            <w:tcBorders>
              <w:top w:val="nil"/>
              <w:left w:val="nil"/>
              <w:bottom w:val="single" w:sz="4" w:space="0" w:color="auto"/>
              <w:right w:val="single" w:sz="4" w:space="0" w:color="auto"/>
            </w:tcBorders>
            <w:shd w:val="clear" w:color="auto" w:fill="auto"/>
            <w:noWrap/>
            <w:vAlign w:val="bottom"/>
          </w:tcPr>
          <w:p w:rsidR="00490836" w:rsidRPr="00490836" w:rsidRDefault="00BC6D15" w:rsidP="00490836">
            <w:pPr>
              <w:spacing w:after="0" w:line="240" w:lineRule="auto"/>
              <w:jc w:val="right"/>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64,3</w:t>
            </w:r>
          </w:p>
        </w:tc>
      </w:tr>
      <w:tr w:rsidR="00BC6D15" w:rsidRPr="00490836" w:rsidTr="00BC6D15">
        <w:trPr>
          <w:trHeight w:val="29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6D15" w:rsidRPr="00490836" w:rsidRDefault="00BC6D15" w:rsidP="00490836">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14.</w:t>
            </w:r>
          </w:p>
        </w:tc>
        <w:tc>
          <w:tcPr>
            <w:tcW w:w="4039" w:type="dxa"/>
            <w:tcBorders>
              <w:top w:val="single" w:sz="4" w:space="0" w:color="auto"/>
              <w:left w:val="nil"/>
              <w:bottom w:val="single" w:sz="4" w:space="0" w:color="auto"/>
              <w:right w:val="single" w:sz="4" w:space="0" w:color="auto"/>
            </w:tcBorders>
            <w:shd w:val="clear" w:color="auto" w:fill="auto"/>
            <w:noWrap/>
            <w:vAlign w:val="bottom"/>
          </w:tcPr>
          <w:p w:rsidR="00BC6D15" w:rsidRPr="00490836" w:rsidRDefault="00BC6D15" w:rsidP="00490836">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Kulių L-D</w:t>
            </w:r>
          </w:p>
        </w:tc>
        <w:tc>
          <w:tcPr>
            <w:tcW w:w="4127" w:type="dxa"/>
            <w:tcBorders>
              <w:top w:val="single" w:sz="4" w:space="0" w:color="auto"/>
              <w:left w:val="nil"/>
              <w:bottom w:val="single" w:sz="4" w:space="0" w:color="auto"/>
              <w:right w:val="single" w:sz="4" w:space="0" w:color="auto"/>
            </w:tcBorders>
            <w:shd w:val="clear" w:color="auto" w:fill="auto"/>
            <w:noWrap/>
            <w:vAlign w:val="bottom"/>
          </w:tcPr>
          <w:p w:rsidR="00BC6D15" w:rsidRDefault="00BC6D15" w:rsidP="00490836">
            <w:pPr>
              <w:spacing w:after="0" w:line="240" w:lineRule="auto"/>
              <w:jc w:val="right"/>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43,3</w:t>
            </w:r>
          </w:p>
        </w:tc>
      </w:tr>
      <w:bookmarkEnd w:id="0"/>
    </w:tbl>
    <w:p w:rsidR="006D5C9A" w:rsidRDefault="006D5C9A" w:rsidP="006D5C9A">
      <w:pPr>
        <w:jc w:val="both"/>
        <w:rPr>
          <w:rFonts w:ascii="Times New Roman" w:hAnsi="Times New Roman"/>
          <w:sz w:val="24"/>
          <w:szCs w:val="24"/>
        </w:rPr>
      </w:pPr>
    </w:p>
    <w:p w:rsidR="00490836" w:rsidRDefault="00BC6D15" w:rsidP="003837B7">
      <w:pPr>
        <w:ind w:firstLine="1134"/>
        <w:jc w:val="both"/>
        <w:rPr>
          <w:rFonts w:ascii="Times New Roman" w:hAnsi="Times New Roman"/>
          <w:sz w:val="24"/>
          <w:szCs w:val="24"/>
        </w:rPr>
      </w:pPr>
      <w:r>
        <w:rPr>
          <w:rFonts w:ascii="Times New Roman" w:hAnsi="Times New Roman"/>
          <w:sz w:val="24"/>
          <w:szCs w:val="24"/>
        </w:rPr>
        <w:t>2019/2020</w:t>
      </w:r>
      <w:r w:rsidR="007D2A07">
        <w:rPr>
          <w:rFonts w:ascii="Times New Roman" w:hAnsi="Times New Roman"/>
          <w:sz w:val="24"/>
          <w:szCs w:val="24"/>
        </w:rPr>
        <w:t xml:space="preserve"> m. m. ikimokyklines ugdymo įstaigas la</w:t>
      </w:r>
      <w:r w:rsidR="008D0FE8">
        <w:rPr>
          <w:rFonts w:ascii="Times New Roman" w:hAnsi="Times New Roman"/>
          <w:sz w:val="24"/>
          <w:szCs w:val="24"/>
        </w:rPr>
        <w:t>n</w:t>
      </w:r>
      <w:r w:rsidR="007D2A07">
        <w:rPr>
          <w:rFonts w:ascii="Times New Roman" w:hAnsi="Times New Roman"/>
          <w:sz w:val="24"/>
          <w:szCs w:val="24"/>
        </w:rPr>
        <w:t xml:space="preserve">kančių vaikų, kurie pristatė profilaktinius sveikatos pažymėjimus, neturinčių </w:t>
      </w:r>
      <w:proofErr w:type="spellStart"/>
      <w:r w:rsidR="007D2A07">
        <w:rPr>
          <w:rFonts w:ascii="Times New Roman" w:hAnsi="Times New Roman"/>
          <w:sz w:val="24"/>
          <w:szCs w:val="24"/>
        </w:rPr>
        <w:t>sąk</w:t>
      </w:r>
      <w:r>
        <w:rPr>
          <w:rFonts w:ascii="Times New Roman" w:hAnsi="Times New Roman"/>
          <w:sz w:val="24"/>
          <w:szCs w:val="24"/>
        </w:rPr>
        <w:t>andžio</w:t>
      </w:r>
      <w:proofErr w:type="spellEnd"/>
      <w:r>
        <w:rPr>
          <w:rFonts w:ascii="Times New Roman" w:hAnsi="Times New Roman"/>
          <w:sz w:val="24"/>
          <w:szCs w:val="24"/>
        </w:rPr>
        <w:t xml:space="preserve"> patologijų vaikų yra 93,7</w:t>
      </w:r>
      <w:r w:rsidR="007D2A07">
        <w:rPr>
          <w:rFonts w:ascii="Times New Roman" w:hAnsi="Times New Roman"/>
          <w:sz w:val="24"/>
          <w:szCs w:val="24"/>
        </w:rPr>
        <w:t xml:space="preserve"> proc. Turinčių pavienių dantų- 2,1 proc., o turi</w:t>
      </w:r>
      <w:r>
        <w:rPr>
          <w:rFonts w:ascii="Times New Roman" w:hAnsi="Times New Roman"/>
          <w:sz w:val="24"/>
          <w:szCs w:val="24"/>
        </w:rPr>
        <w:t>nčių žandikaulių patologijų- 4</w:t>
      </w:r>
      <w:r w:rsidR="007D2A07">
        <w:rPr>
          <w:rFonts w:ascii="Times New Roman" w:hAnsi="Times New Roman"/>
          <w:sz w:val="24"/>
          <w:szCs w:val="24"/>
        </w:rPr>
        <w:t xml:space="preserve"> proc. (6 pav.)</w:t>
      </w:r>
    </w:p>
    <w:p w:rsidR="007D2A07" w:rsidRDefault="00AD5F7E" w:rsidP="002A6F2F">
      <w:pPr>
        <w:spacing w:after="0"/>
        <w:jc w:val="center"/>
        <w:rPr>
          <w:rFonts w:ascii="Times New Roman" w:hAnsi="Times New Roman"/>
          <w:sz w:val="24"/>
          <w:szCs w:val="24"/>
        </w:rPr>
      </w:pPr>
      <w:r>
        <w:rPr>
          <w:noProof/>
          <w:lang w:eastAsia="lt-LT"/>
        </w:rPr>
        <w:drawing>
          <wp:inline distT="0" distB="0" distL="0" distR="0" wp14:anchorId="647DA668" wp14:editId="4365CC75">
            <wp:extent cx="5640404" cy="2541070"/>
            <wp:effectExtent l="0" t="0" r="0" b="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5F7E" w:rsidRDefault="00AD5F7E" w:rsidP="006D5C9A">
      <w:pPr>
        <w:spacing w:after="0"/>
        <w:ind w:firstLine="567"/>
        <w:jc w:val="center"/>
        <w:rPr>
          <w:rFonts w:ascii="Times New Roman" w:hAnsi="Times New Roman"/>
          <w:b/>
          <w:sz w:val="24"/>
          <w:szCs w:val="24"/>
        </w:rPr>
      </w:pPr>
    </w:p>
    <w:p w:rsidR="001C68D7" w:rsidRDefault="006D5C9A" w:rsidP="002A6F2F">
      <w:pPr>
        <w:spacing w:after="0"/>
        <w:ind w:firstLine="567"/>
        <w:jc w:val="center"/>
        <w:rPr>
          <w:rFonts w:ascii="Times New Roman" w:hAnsi="Times New Roman"/>
          <w:b/>
          <w:sz w:val="24"/>
          <w:szCs w:val="24"/>
        </w:rPr>
      </w:pPr>
      <w:r w:rsidRPr="006D5C9A">
        <w:rPr>
          <w:rFonts w:ascii="Times New Roman" w:hAnsi="Times New Roman"/>
          <w:b/>
          <w:sz w:val="24"/>
          <w:szCs w:val="24"/>
        </w:rPr>
        <w:t>6 pav. Vaikų skaičius proc.,</w:t>
      </w:r>
      <w:r>
        <w:rPr>
          <w:rFonts w:ascii="Times New Roman" w:hAnsi="Times New Roman"/>
          <w:b/>
          <w:sz w:val="24"/>
          <w:szCs w:val="24"/>
        </w:rPr>
        <w:t xml:space="preserve"> kurie neturi</w:t>
      </w:r>
      <w:r w:rsidR="00AD5F7E">
        <w:rPr>
          <w:rFonts w:ascii="Times New Roman" w:hAnsi="Times New Roman"/>
          <w:b/>
          <w:sz w:val="24"/>
          <w:szCs w:val="24"/>
        </w:rPr>
        <w:t xml:space="preserve"> </w:t>
      </w:r>
      <w:proofErr w:type="spellStart"/>
      <w:r w:rsidR="00AD5F7E">
        <w:rPr>
          <w:rFonts w:ascii="Times New Roman" w:hAnsi="Times New Roman"/>
          <w:b/>
          <w:sz w:val="24"/>
          <w:szCs w:val="24"/>
        </w:rPr>
        <w:t>sąkandžio</w:t>
      </w:r>
      <w:proofErr w:type="spellEnd"/>
      <w:r w:rsidR="00AD5F7E">
        <w:rPr>
          <w:rFonts w:ascii="Times New Roman" w:hAnsi="Times New Roman"/>
          <w:b/>
          <w:sz w:val="24"/>
          <w:szCs w:val="24"/>
        </w:rPr>
        <w:t xml:space="preserve"> patologijos 2019/2020</w:t>
      </w:r>
      <w:r w:rsidRPr="006D5C9A">
        <w:rPr>
          <w:rFonts w:ascii="Times New Roman" w:hAnsi="Times New Roman"/>
          <w:b/>
          <w:sz w:val="24"/>
          <w:szCs w:val="24"/>
        </w:rPr>
        <w:t xml:space="preserve"> m. m. lankantys ikimokyklines įstaigas</w:t>
      </w:r>
    </w:p>
    <w:p w:rsidR="001C68D7" w:rsidRDefault="001C68D7" w:rsidP="006D5C9A">
      <w:pPr>
        <w:spacing w:after="0"/>
        <w:ind w:firstLine="567"/>
        <w:jc w:val="center"/>
        <w:rPr>
          <w:rFonts w:ascii="Times New Roman" w:hAnsi="Times New Roman"/>
          <w:b/>
          <w:sz w:val="24"/>
          <w:szCs w:val="24"/>
        </w:rPr>
      </w:pPr>
    </w:p>
    <w:p w:rsidR="006D5C9A" w:rsidRDefault="006D5C9A" w:rsidP="006D5C9A">
      <w:pPr>
        <w:spacing w:after="0"/>
        <w:ind w:firstLine="567"/>
        <w:jc w:val="center"/>
        <w:rPr>
          <w:rFonts w:ascii="Times New Roman" w:hAnsi="Times New Roman"/>
          <w:b/>
          <w:sz w:val="24"/>
          <w:szCs w:val="24"/>
        </w:rPr>
      </w:pPr>
      <w:r>
        <w:rPr>
          <w:rFonts w:ascii="Times New Roman" w:hAnsi="Times New Roman"/>
          <w:b/>
          <w:sz w:val="24"/>
          <w:szCs w:val="24"/>
        </w:rPr>
        <w:lastRenderedPageBreak/>
        <w:t>APIBENDRINIMAS</w:t>
      </w:r>
    </w:p>
    <w:p w:rsidR="00AD5F7E" w:rsidRDefault="00AD5F7E" w:rsidP="006D5C9A">
      <w:pPr>
        <w:spacing w:after="0"/>
        <w:ind w:firstLine="567"/>
        <w:jc w:val="center"/>
        <w:rPr>
          <w:rFonts w:ascii="Times New Roman" w:hAnsi="Times New Roman"/>
          <w:b/>
          <w:sz w:val="24"/>
          <w:szCs w:val="24"/>
        </w:rPr>
      </w:pPr>
    </w:p>
    <w:p w:rsidR="00301319" w:rsidRPr="00301319" w:rsidRDefault="00AD5F7E" w:rsidP="002A6F2F">
      <w:pPr>
        <w:pStyle w:val="Sraopastraipa"/>
        <w:numPr>
          <w:ilvl w:val="0"/>
          <w:numId w:val="1"/>
        </w:numPr>
        <w:spacing w:after="0"/>
        <w:jc w:val="both"/>
        <w:rPr>
          <w:rFonts w:ascii="Times New Roman" w:hAnsi="Times New Roman"/>
          <w:b/>
          <w:sz w:val="24"/>
          <w:szCs w:val="24"/>
        </w:rPr>
      </w:pPr>
      <w:r>
        <w:rPr>
          <w:rFonts w:ascii="Times New Roman" w:hAnsi="Times New Roman"/>
          <w:sz w:val="24"/>
          <w:szCs w:val="24"/>
        </w:rPr>
        <w:t>2019- 2020</w:t>
      </w:r>
      <w:r w:rsidR="00301319">
        <w:rPr>
          <w:rFonts w:ascii="Times New Roman" w:hAnsi="Times New Roman"/>
          <w:sz w:val="24"/>
          <w:szCs w:val="24"/>
        </w:rPr>
        <w:t xml:space="preserve"> m. m. ikimokykl</w:t>
      </w:r>
      <w:r>
        <w:rPr>
          <w:rFonts w:ascii="Times New Roman" w:hAnsi="Times New Roman"/>
          <w:sz w:val="24"/>
          <w:szCs w:val="24"/>
        </w:rPr>
        <w:t>ines ugdymo įstaigose lanko 1 446 vaikai</w:t>
      </w:r>
      <w:r w:rsidR="00301319">
        <w:rPr>
          <w:rFonts w:ascii="Times New Roman" w:hAnsi="Times New Roman"/>
          <w:sz w:val="24"/>
          <w:szCs w:val="24"/>
        </w:rPr>
        <w:t>. Iš jų 9</w:t>
      </w:r>
      <w:r>
        <w:rPr>
          <w:rFonts w:ascii="Times New Roman" w:hAnsi="Times New Roman"/>
          <w:sz w:val="24"/>
          <w:szCs w:val="24"/>
        </w:rPr>
        <w:t>8,3</w:t>
      </w:r>
      <w:r w:rsidR="00301319">
        <w:rPr>
          <w:rFonts w:ascii="Times New Roman" w:hAnsi="Times New Roman"/>
          <w:sz w:val="24"/>
          <w:szCs w:val="24"/>
        </w:rPr>
        <w:t xml:space="preserve"> proc. pasitikrinę sveikatą profilaktiškai</w:t>
      </w:r>
      <w:r w:rsidR="008F70B2">
        <w:rPr>
          <w:rFonts w:ascii="Times New Roman" w:hAnsi="Times New Roman"/>
          <w:sz w:val="24"/>
          <w:szCs w:val="24"/>
        </w:rPr>
        <w:t>;</w:t>
      </w:r>
    </w:p>
    <w:p w:rsidR="008F70B2" w:rsidRPr="008F70B2" w:rsidRDefault="008F70B2" w:rsidP="002A6F2F">
      <w:pPr>
        <w:pStyle w:val="Sraopastraipa"/>
        <w:numPr>
          <w:ilvl w:val="0"/>
          <w:numId w:val="1"/>
        </w:numPr>
        <w:spacing w:after="0"/>
        <w:jc w:val="both"/>
        <w:rPr>
          <w:rFonts w:ascii="Times New Roman" w:hAnsi="Times New Roman"/>
          <w:b/>
          <w:sz w:val="24"/>
          <w:szCs w:val="24"/>
        </w:rPr>
      </w:pPr>
      <w:r>
        <w:rPr>
          <w:rFonts w:ascii="Times New Roman" w:hAnsi="Times New Roman"/>
          <w:sz w:val="24"/>
          <w:szCs w:val="24"/>
        </w:rPr>
        <w:t>8 iš 10 pasitikrinusių sveikatą vaikų neturi nei vieno diagnozuoto sutrikimo;</w:t>
      </w:r>
    </w:p>
    <w:p w:rsidR="001C68D7" w:rsidRPr="008F70B2" w:rsidRDefault="008F70B2" w:rsidP="002A6F2F">
      <w:pPr>
        <w:pStyle w:val="Sraopastraipa"/>
        <w:numPr>
          <w:ilvl w:val="0"/>
          <w:numId w:val="1"/>
        </w:numPr>
        <w:spacing w:after="0"/>
        <w:jc w:val="both"/>
        <w:rPr>
          <w:rFonts w:ascii="Times New Roman" w:hAnsi="Times New Roman"/>
          <w:b/>
          <w:sz w:val="24"/>
          <w:szCs w:val="24"/>
        </w:rPr>
      </w:pPr>
      <w:r>
        <w:rPr>
          <w:rFonts w:ascii="Times New Roman" w:hAnsi="Times New Roman"/>
          <w:sz w:val="24"/>
          <w:szCs w:val="24"/>
        </w:rPr>
        <w:t>Dažniausiai diagnozuojama- kraujo</w:t>
      </w:r>
      <w:r w:rsidR="00AD5F7E">
        <w:rPr>
          <w:rFonts w:ascii="Times New Roman" w:hAnsi="Times New Roman"/>
          <w:sz w:val="24"/>
          <w:szCs w:val="24"/>
        </w:rPr>
        <w:t>takos, regos, nervų sistemos, kvėpavimo sistemų</w:t>
      </w:r>
      <w:r>
        <w:rPr>
          <w:rFonts w:ascii="Times New Roman" w:hAnsi="Times New Roman"/>
          <w:sz w:val="24"/>
          <w:szCs w:val="24"/>
        </w:rPr>
        <w:t xml:space="preserve"> sutrikimai;</w:t>
      </w:r>
    </w:p>
    <w:p w:rsidR="008F70B2" w:rsidRPr="00632584" w:rsidRDefault="00AD5F7E" w:rsidP="002A6F2F">
      <w:pPr>
        <w:pStyle w:val="Sraopastraipa"/>
        <w:numPr>
          <w:ilvl w:val="0"/>
          <w:numId w:val="1"/>
        </w:numPr>
        <w:spacing w:after="0"/>
        <w:jc w:val="both"/>
        <w:rPr>
          <w:rFonts w:ascii="Times New Roman" w:hAnsi="Times New Roman"/>
          <w:b/>
          <w:sz w:val="24"/>
          <w:szCs w:val="24"/>
        </w:rPr>
      </w:pPr>
      <w:r>
        <w:rPr>
          <w:rFonts w:ascii="Times New Roman" w:hAnsi="Times New Roman"/>
          <w:sz w:val="24"/>
          <w:szCs w:val="24"/>
        </w:rPr>
        <w:t>6</w:t>
      </w:r>
      <w:r w:rsidR="008F70B2">
        <w:rPr>
          <w:rFonts w:ascii="Times New Roman" w:hAnsi="Times New Roman"/>
          <w:sz w:val="24"/>
          <w:szCs w:val="24"/>
        </w:rPr>
        <w:t xml:space="preserve"> iš 10 ikimokyklines ugdymo įstaigas lankantys vaikai turi (nuolatinius ir pieninius) ėduonies pažeistus, plombuotus ar išrautus dantis. Neturinčių </w:t>
      </w:r>
      <w:proofErr w:type="spellStart"/>
      <w:r w:rsidR="008F70B2">
        <w:rPr>
          <w:rFonts w:ascii="Times New Roman" w:hAnsi="Times New Roman"/>
          <w:sz w:val="24"/>
          <w:szCs w:val="24"/>
        </w:rPr>
        <w:t>sąk</w:t>
      </w:r>
      <w:r>
        <w:rPr>
          <w:rFonts w:ascii="Times New Roman" w:hAnsi="Times New Roman"/>
          <w:sz w:val="24"/>
          <w:szCs w:val="24"/>
        </w:rPr>
        <w:t>andžio</w:t>
      </w:r>
      <w:proofErr w:type="spellEnd"/>
      <w:r>
        <w:rPr>
          <w:rFonts w:ascii="Times New Roman" w:hAnsi="Times New Roman"/>
          <w:sz w:val="24"/>
          <w:szCs w:val="24"/>
        </w:rPr>
        <w:t xml:space="preserve"> patologijų nustatyta 93,7</w:t>
      </w:r>
      <w:r w:rsidR="008F70B2">
        <w:rPr>
          <w:rFonts w:ascii="Times New Roman" w:hAnsi="Times New Roman"/>
          <w:sz w:val="24"/>
          <w:szCs w:val="24"/>
        </w:rPr>
        <w:t xml:space="preserve"> proc. v</w:t>
      </w:r>
      <w:r w:rsidR="00632584">
        <w:rPr>
          <w:rFonts w:ascii="Times New Roman" w:hAnsi="Times New Roman"/>
          <w:sz w:val="24"/>
          <w:szCs w:val="24"/>
        </w:rPr>
        <w:t xml:space="preserve">aikų, kurie pasitikrino sveikatą profilaktiškai. </w:t>
      </w:r>
    </w:p>
    <w:p w:rsidR="00632584" w:rsidRPr="00632584" w:rsidRDefault="00AD5F7E" w:rsidP="002A6F2F">
      <w:pPr>
        <w:pStyle w:val="Sraopastraipa"/>
        <w:numPr>
          <w:ilvl w:val="0"/>
          <w:numId w:val="1"/>
        </w:numPr>
        <w:spacing w:after="0"/>
        <w:jc w:val="both"/>
        <w:rPr>
          <w:rFonts w:ascii="Times New Roman" w:hAnsi="Times New Roman"/>
          <w:b/>
          <w:sz w:val="24"/>
          <w:szCs w:val="24"/>
        </w:rPr>
      </w:pPr>
      <w:r>
        <w:rPr>
          <w:rFonts w:ascii="Times New Roman" w:hAnsi="Times New Roman"/>
          <w:sz w:val="24"/>
          <w:szCs w:val="24"/>
        </w:rPr>
        <w:t>70</w:t>
      </w:r>
      <w:r w:rsidR="00632584">
        <w:rPr>
          <w:rFonts w:ascii="Times New Roman" w:hAnsi="Times New Roman"/>
          <w:sz w:val="24"/>
          <w:szCs w:val="24"/>
        </w:rPr>
        <w:t xml:space="preserve"> proc. vaikų</w:t>
      </w:r>
      <w:r>
        <w:rPr>
          <w:rFonts w:ascii="Times New Roman" w:hAnsi="Times New Roman"/>
          <w:sz w:val="24"/>
          <w:szCs w:val="24"/>
        </w:rPr>
        <w:t xml:space="preserve"> nustatytas per mažas</w:t>
      </w:r>
      <w:r w:rsidR="00632584">
        <w:rPr>
          <w:rFonts w:ascii="Times New Roman" w:hAnsi="Times New Roman"/>
          <w:sz w:val="24"/>
          <w:szCs w:val="24"/>
        </w:rPr>
        <w:t xml:space="preserve"> kūno masės inde</w:t>
      </w:r>
      <w:r>
        <w:rPr>
          <w:rFonts w:ascii="Times New Roman" w:hAnsi="Times New Roman"/>
          <w:sz w:val="24"/>
          <w:szCs w:val="24"/>
        </w:rPr>
        <w:t>ksas, likusi dalis turi normalų (28 proc.) ar per didelį (1,3</w:t>
      </w:r>
      <w:r w:rsidR="00632584">
        <w:rPr>
          <w:rFonts w:ascii="Times New Roman" w:hAnsi="Times New Roman"/>
          <w:sz w:val="24"/>
          <w:szCs w:val="24"/>
        </w:rPr>
        <w:t xml:space="preserve"> proc.) kūno masės indeksą;</w:t>
      </w:r>
    </w:p>
    <w:p w:rsidR="00632584" w:rsidRPr="001C68D7" w:rsidRDefault="00AD5F7E" w:rsidP="002A6F2F">
      <w:pPr>
        <w:pStyle w:val="Sraopastraipa"/>
        <w:numPr>
          <w:ilvl w:val="0"/>
          <w:numId w:val="1"/>
        </w:numPr>
        <w:spacing w:after="0"/>
        <w:jc w:val="both"/>
        <w:rPr>
          <w:rFonts w:ascii="Times New Roman" w:hAnsi="Times New Roman"/>
          <w:b/>
          <w:sz w:val="24"/>
          <w:szCs w:val="24"/>
        </w:rPr>
      </w:pPr>
      <w:r>
        <w:rPr>
          <w:rFonts w:ascii="Times New Roman" w:hAnsi="Times New Roman"/>
          <w:sz w:val="24"/>
          <w:szCs w:val="24"/>
        </w:rPr>
        <w:t>99,</w:t>
      </w:r>
      <w:r w:rsidR="00632584">
        <w:rPr>
          <w:rFonts w:ascii="Times New Roman" w:hAnsi="Times New Roman"/>
          <w:sz w:val="24"/>
          <w:szCs w:val="24"/>
        </w:rPr>
        <w:t xml:space="preserve"> proc. ik</w:t>
      </w:r>
      <w:r>
        <w:rPr>
          <w:rFonts w:ascii="Times New Roman" w:hAnsi="Times New Roman"/>
          <w:sz w:val="24"/>
          <w:szCs w:val="24"/>
        </w:rPr>
        <w:t>imokyklines ugdymo įstaigas 2019- 2020</w:t>
      </w:r>
      <w:r w:rsidR="00632584">
        <w:rPr>
          <w:rFonts w:ascii="Times New Roman" w:hAnsi="Times New Roman"/>
          <w:sz w:val="24"/>
          <w:szCs w:val="24"/>
        </w:rPr>
        <w:t xml:space="preserve"> m. m. lankančių vaikų priskirti pagrindinei kūno kultūros grupei. </w:t>
      </w:r>
    </w:p>
    <w:p w:rsidR="006D5C9A" w:rsidRDefault="006D5C9A" w:rsidP="006D5C9A">
      <w:pPr>
        <w:spacing w:after="0"/>
        <w:ind w:firstLine="567"/>
        <w:jc w:val="both"/>
        <w:rPr>
          <w:rFonts w:ascii="Times New Roman" w:hAnsi="Times New Roman"/>
          <w:b/>
          <w:sz w:val="24"/>
          <w:szCs w:val="24"/>
        </w:rPr>
      </w:pPr>
    </w:p>
    <w:p w:rsidR="006D5C9A" w:rsidRPr="006D5C9A" w:rsidRDefault="006D5C9A" w:rsidP="006D5C9A">
      <w:pPr>
        <w:spacing w:after="0"/>
        <w:ind w:firstLine="567"/>
        <w:jc w:val="center"/>
        <w:rPr>
          <w:rFonts w:ascii="Times New Roman" w:hAnsi="Times New Roman"/>
          <w:b/>
          <w:sz w:val="24"/>
          <w:szCs w:val="24"/>
        </w:rPr>
      </w:pPr>
    </w:p>
    <w:p w:rsidR="002A4C16" w:rsidRPr="002A4C16" w:rsidRDefault="002A4C16" w:rsidP="002A4C16">
      <w:pPr>
        <w:jc w:val="both"/>
        <w:rPr>
          <w:rFonts w:ascii="Times New Roman" w:hAnsi="Times New Roman"/>
          <w:b/>
          <w:sz w:val="24"/>
          <w:szCs w:val="24"/>
        </w:rPr>
      </w:pPr>
    </w:p>
    <w:sectPr w:rsidR="002A4C16" w:rsidRPr="002A4C16" w:rsidSect="00AE2461">
      <w:headerReference w:type="default" r:id="rId16"/>
      <w:footerReference w:type="default" r:id="rId17"/>
      <w:headerReference w:type="first" r:id="rId1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406" w:rsidRDefault="00F55406" w:rsidP="00AE2461">
      <w:pPr>
        <w:spacing w:after="0" w:line="240" w:lineRule="auto"/>
      </w:pPr>
      <w:r>
        <w:separator/>
      </w:r>
    </w:p>
  </w:endnote>
  <w:endnote w:type="continuationSeparator" w:id="0">
    <w:p w:rsidR="00F55406" w:rsidRDefault="00F55406" w:rsidP="00AE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499420"/>
      <w:docPartObj>
        <w:docPartGallery w:val="Page Numbers (Bottom of Page)"/>
        <w:docPartUnique/>
      </w:docPartObj>
    </w:sdtPr>
    <w:sdtEndPr/>
    <w:sdtContent>
      <w:p w:rsidR="00932D82" w:rsidRDefault="00932D82">
        <w:pPr>
          <w:pStyle w:val="Porat"/>
          <w:jc w:val="right"/>
        </w:pPr>
        <w:r>
          <w:fldChar w:fldCharType="begin"/>
        </w:r>
        <w:r>
          <w:instrText>PAGE   \* MERGEFORMAT</w:instrText>
        </w:r>
        <w:r>
          <w:fldChar w:fldCharType="separate"/>
        </w:r>
        <w:r w:rsidR="002F7DB9">
          <w:rPr>
            <w:noProof/>
          </w:rPr>
          <w:t>6</w:t>
        </w:r>
        <w:r>
          <w:fldChar w:fldCharType="end"/>
        </w:r>
      </w:p>
    </w:sdtContent>
  </w:sdt>
  <w:p w:rsidR="00932D82" w:rsidRDefault="00932D8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406" w:rsidRDefault="00F55406" w:rsidP="00AE2461">
      <w:pPr>
        <w:spacing w:after="0" w:line="240" w:lineRule="auto"/>
      </w:pPr>
      <w:r>
        <w:separator/>
      </w:r>
    </w:p>
  </w:footnote>
  <w:footnote w:type="continuationSeparator" w:id="0">
    <w:p w:rsidR="00F55406" w:rsidRDefault="00F55406" w:rsidP="00AE2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82" w:rsidRDefault="00932D82" w:rsidP="00AE2461">
    <w:pPr>
      <w:pStyle w:val="Antrats"/>
      <w:jc w:val="center"/>
    </w:pPr>
    <w:r>
      <w:rPr>
        <w:noProof/>
        <w:lang w:eastAsia="lt-LT"/>
      </w:rPr>
      <w:drawing>
        <wp:inline distT="0" distB="0" distL="0" distR="0" wp14:anchorId="2D3AEBE8" wp14:editId="4878DD80">
          <wp:extent cx="3118585" cy="587141"/>
          <wp:effectExtent l="0" t="0" r="5715" b="381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uro logo skaidr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6354" cy="58672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82" w:rsidRDefault="00932D82" w:rsidP="00AE2461">
    <w:pPr>
      <w:pStyle w:val="Antrats"/>
      <w:jc w:val="center"/>
    </w:pPr>
    <w:r>
      <w:rPr>
        <w:noProof/>
        <w:lang w:eastAsia="lt-LT"/>
      </w:rPr>
      <w:drawing>
        <wp:inline distT="0" distB="0" distL="0" distR="0">
          <wp:extent cx="2642194" cy="625642"/>
          <wp:effectExtent l="0" t="0" r="6350" b="317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uro logo skaidr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3833" cy="6283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C327C"/>
    <w:multiLevelType w:val="hybridMultilevel"/>
    <w:tmpl w:val="F66E8BBA"/>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61"/>
    <w:rsid w:val="000D4A23"/>
    <w:rsid w:val="001067A9"/>
    <w:rsid w:val="00146976"/>
    <w:rsid w:val="0017787E"/>
    <w:rsid w:val="001C68D7"/>
    <w:rsid w:val="00215A70"/>
    <w:rsid w:val="00241B26"/>
    <w:rsid w:val="0029077C"/>
    <w:rsid w:val="002A4C16"/>
    <w:rsid w:val="002A6F2F"/>
    <w:rsid w:val="002F62B0"/>
    <w:rsid w:val="002F7DB9"/>
    <w:rsid w:val="00301319"/>
    <w:rsid w:val="003837B7"/>
    <w:rsid w:val="003A441D"/>
    <w:rsid w:val="003C7A6D"/>
    <w:rsid w:val="00454C48"/>
    <w:rsid w:val="00477869"/>
    <w:rsid w:val="00482DC5"/>
    <w:rsid w:val="00490836"/>
    <w:rsid w:val="004F19DF"/>
    <w:rsid w:val="00576A7A"/>
    <w:rsid w:val="005870F4"/>
    <w:rsid w:val="005A304A"/>
    <w:rsid w:val="005E75D0"/>
    <w:rsid w:val="00632584"/>
    <w:rsid w:val="00677BDA"/>
    <w:rsid w:val="006D5C9A"/>
    <w:rsid w:val="006E0EC1"/>
    <w:rsid w:val="00737E44"/>
    <w:rsid w:val="007A563E"/>
    <w:rsid w:val="007B79B6"/>
    <w:rsid w:val="007D2A07"/>
    <w:rsid w:val="008C6377"/>
    <w:rsid w:val="008D0FE8"/>
    <w:rsid w:val="008F70B2"/>
    <w:rsid w:val="00932D82"/>
    <w:rsid w:val="00961865"/>
    <w:rsid w:val="009727B4"/>
    <w:rsid w:val="009975A2"/>
    <w:rsid w:val="009F0F16"/>
    <w:rsid w:val="00A217E0"/>
    <w:rsid w:val="00AB3CB7"/>
    <w:rsid w:val="00AD5F7E"/>
    <w:rsid w:val="00AE2461"/>
    <w:rsid w:val="00B23150"/>
    <w:rsid w:val="00B90F18"/>
    <w:rsid w:val="00BA3D7A"/>
    <w:rsid w:val="00BC6D15"/>
    <w:rsid w:val="00BD3F93"/>
    <w:rsid w:val="00C4771B"/>
    <w:rsid w:val="00D656C5"/>
    <w:rsid w:val="00DA773F"/>
    <w:rsid w:val="00DD3CB4"/>
    <w:rsid w:val="00DD6605"/>
    <w:rsid w:val="00E227EA"/>
    <w:rsid w:val="00E74BCC"/>
    <w:rsid w:val="00EA0E7B"/>
    <w:rsid w:val="00F3343F"/>
    <w:rsid w:val="00F345B6"/>
    <w:rsid w:val="00F55406"/>
    <w:rsid w:val="00FC618D"/>
    <w:rsid w:val="00FC7E4A"/>
    <w:rsid w:val="00FF2B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E2461"/>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E246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E2461"/>
    <w:rPr>
      <w:rFonts w:ascii="Calibri" w:eastAsia="Calibri" w:hAnsi="Calibri" w:cs="Times New Roman"/>
    </w:rPr>
  </w:style>
  <w:style w:type="paragraph" w:styleId="Porat">
    <w:name w:val="footer"/>
    <w:basedOn w:val="prastasis"/>
    <w:link w:val="PoratDiagrama"/>
    <w:uiPriority w:val="99"/>
    <w:unhideWhenUsed/>
    <w:rsid w:val="00AE246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E2461"/>
    <w:rPr>
      <w:rFonts w:ascii="Calibri" w:eastAsia="Calibri" w:hAnsi="Calibri" w:cs="Times New Roman"/>
    </w:rPr>
  </w:style>
  <w:style w:type="paragraph" w:styleId="Debesliotekstas">
    <w:name w:val="Balloon Text"/>
    <w:basedOn w:val="prastasis"/>
    <w:link w:val="DebesliotekstasDiagrama"/>
    <w:uiPriority w:val="99"/>
    <w:semiHidden/>
    <w:unhideWhenUsed/>
    <w:rsid w:val="00AE246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E2461"/>
    <w:rPr>
      <w:rFonts w:ascii="Tahoma" w:eastAsia="Calibri" w:hAnsi="Tahoma" w:cs="Tahoma"/>
      <w:sz w:val="16"/>
      <w:szCs w:val="16"/>
    </w:rPr>
  </w:style>
  <w:style w:type="paragraph" w:styleId="Sraopastraipa">
    <w:name w:val="List Paragraph"/>
    <w:basedOn w:val="prastasis"/>
    <w:uiPriority w:val="34"/>
    <w:qFormat/>
    <w:rsid w:val="001C68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E2461"/>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E246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E2461"/>
    <w:rPr>
      <w:rFonts w:ascii="Calibri" w:eastAsia="Calibri" w:hAnsi="Calibri" w:cs="Times New Roman"/>
    </w:rPr>
  </w:style>
  <w:style w:type="paragraph" w:styleId="Porat">
    <w:name w:val="footer"/>
    <w:basedOn w:val="prastasis"/>
    <w:link w:val="PoratDiagrama"/>
    <w:uiPriority w:val="99"/>
    <w:unhideWhenUsed/>
    <w:rsid w:val="00AE246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E2461"/>
    <w:rPr>
      <w:rFonts w:ascii="Calibri" w:eastAsia="Calibri" w:hAnsi="Calibri" w:cs="Times New Roman"/>
    </w:rPr>
  </w:style>
  <w:style w:type="paragraph" w:styleId="Debesliotekstas">
    <w:name w:val="Balloon Text"/>
    <w:basedOn w:val="prastasis"/>
    <w:link w:val="DebesliotekstasDiagrama"/>
    <w:uiPriority w:val="99"/>
    <w:semiHidden/>
    <w:unhideWhenUsed/>
    <w:rsid w:val="00AE246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E2461"/>
    <w:rPr>
      <w:rFonts w:ascii="Tahoma" w:eastAsia="Calibri" w:hAnsi="Tahoma" w:cs="Tahoma"/>
      <w:sz w:val="16"/>
      <w:szCs w:val="16"/>
    </w:rPr>
  </w:style>
  <w:style w:type="paragraph" w:styleId="Sraopastraipa">
    <w:name w:val="List Paragraph"/>
    <w:basedOn w:val="prastasis"/>
    <w:uiPriority w:val="34"/>
    <w:qFormat/>
    <w:rsid w:val="001C6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sbiuras" TargetMode="External"/><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40"/>
      <c:rotY val="140"/>
      <c:rAngAx val="0"/>
      <c:perspective val="20"/>
    </c:view3D>
    <c:floor>
      <c:thickness val="0"/>
    </c:floor>
    <c:sideWall>
      <c:thickness val="0"/>
    </c:sideWall>
    <c:backWall>
      <c:thickness val="0"/>
    </c:backWall>
    <c:plotArea>
      <c:layout>
        <c:manualLayout>
          <c:layoutTarget val="inner"/>
          <c:xMode val="edge"/>
          <c:yMode val="edge"/>
          <c:x val="1.3271702148342569E-2"/>
          <c:y val="0"/>
          <c:w val="0.72488091766306995"/>
          <c:h val="1"/>
        </c:manualLayout>
      </c:layout>
      <c:pie3DChart>
        <c:varyColors val="1"/>
        <c:ser>
          <c:idx val="0"/>
          <c:order val="0"/>
          <c:explosion val="25"/>
          <c:dPt>
            <c:idx val="0"/>
            <c:bubble3D val="0"/>
            <c:spPr>
              <a:solidFill>
                <a:schemeClr val="accent4">
                  <a:lumMod val="60000"/>
                  <a:lumOff val="40000"/>
                </a:schemeClr>
              </a:solidFill>
            </c:spPr>
          </c:dPt>
          <c:dPt>
            <c:idx val="1"/>
            <c:bubble3D val="0"/>
            <c:spPr>
              <a:solidFill>
                <a:schemeClr val="accent2">
                  <a:lumMod val="75000"/>
                </a:schemeClr>
              </a:solidFill>
            </c:spPr>
          </c:dPt>
          <c:dLbls>
            <c:dLbl>
              <c:idx val="0"/>
              <c:layout>
                <c:manualLayout>
                  <c:x val="-1.8347769028871391E-2"/>
                  <c:y val="-1.5797973170020414E-2"/>
                </c:manualLayout>
              </c:layout>
              <c:showLegendKey val="0"/>
              <c:showVal val="1"/>
              <c:showCatName val="0"/>
              <c:showSerName val="0"/>
              <c:showPercent val="0"/>
              <c:showBubbleSize val="0"/>
            </c:dLbl>
            <c:dLbl>
              <c:idx val="1"/>
              <c:layout>
                <c:manualLayout>
                  <c:x val="2.2947725284339457E-2"/>
                  <c:y val="-1.7185768445610965E-2"/>
                </c:manualLayout>
              </c:layout>
              <c:showLegendKey val="0"/>
              <c:showVal val="1"/>
              <c:showCatName val="0"/>
              <c:showSerName val="0"/>
              <c:showPercent val="0"/>
              <c:showBubbleSize val="0"/>
            </c:dLbl>
            <c:txPr>
              <a:bodyPr/>
              <a:lstStyle/>
              <a:p>
                <a:pPr>
                  <a:defRPr sz="1050" b="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1"/>
          </c:dLbls>
          <c:cat>
            <c:strRef>
              <c:f>Lapas1!$B$3:$B$4</c:f>
              <c:strCache>
                <c:ptCount val="2"/>
                <c:pt idx="0">
                  <c:v>Pasitikrinę sveikatą vaikai</c:v>
                </c:pt>
                <c:pt idx="1">
                  <c:v>Nepaitikrinę sveikatos vaikai</c:v>
                </c:pt>
              </c:strCache>
            </c:strRef>
          </c:cat>
          <c:val>
            <c:numRef>
              <c:f>Lapas1!$C$3:$C$4</c:f>
              <c:numCache>
                <c:formatCode>General</c:formatCode>
                <c:ptCount val="2"/>
                <c:pt idx="0">
                  <c:v>98.3</c:v>
                </c:pt>
                <c:pt idx="1">
                  <c:v>1.7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5179884588240165"/>
          <c:y val="4.0898950131233604E-2"/>
          <c:w val="0.23153444132312986"/>
          <c:h val="0.49194583235235129"/>
        </c:manualLayout>
      </c:layout>
      <c:overlay val="0"/>
      <c:txPr>
        <a:bodyPr/>
        <a:lstStyle/>
        <a:p>
          <a:pPr>
            <a:defRPr sz="1050" b="0">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180"/>
      <c:rAngAx val="0"/>
      <c:perspective val="30"/>
    </c:view3D>
    <c:floor>
      <c:thickness val="0"/>
    </c:floor>
    <c:sideWall>
      <c:thickness val="0"/>
    </c:sideWall>
    <c:backWall>
      <c:thickness val="0"/>
    </c:backWall>
    <c:plotArea>
      <c:layout>
        <c:manualLayout>
          <c:layoutTarget val="inner"/>
          <c:xMode val="edge"/>
          <c:yMode val="edge"/>
          <c:x val="4.4285726807865661E-4"/>
          <c:y val="0"/>
          <c:w val="0.70295800524934382"/>
          <c:h val="1"/>
        </c:manualLayout>
      </c:layout>
      <c:pie3DChart>
        <c:varyColors val="1"/>
        <c:ser>
          <c:idx val="0"/>
          <c:order val="0"/>
          <c:explosion val="25"/>
          <c:dPt>
            <c:idx val="0"/>
            <c:bubble3D val="0"/>
            <c:spPr>
              <a:solidFill>
                <a:srgbClr val="FFC000"/>
              </a:solidFill>
            </c:spPr>
          </c:dPt>
          <c:dPt>
            <c:idx val="1"/>
            <c:bubble3D val="0"/>
            <c:spPr>
              <a:solidFill>
                <a:srgbClr val="0070C0"/>
              </a:solidFill>
            </c:spPr>
          </c:dPt>
          <c:dLbls>
            <c:dLbl>
              <c:idx val="0"/>
              <c:layout>
                <c:manualLayout>
                  <c:x val="-3.241279197642194E-2"/>
                  <c:y val="-6.5898996667969709E-2"/>
                </c:manualLayout>
              </c:layout>
              <c:showLegendKey val="0"/>
              <c:showVal val="1"/>
              <c:showCatName val="0"/>
              <c:showSerName val="0"/>
              <c:showPercent val="0"/>
              <c:showBubbleSize val="0"/>
            </c:dLbl>
            <c:dLbl>
              <c:idx val="1"/>
              <c:layout>
                <c:manualLayout>
                  <c:x val="3.3742039228336684E-2"/>
                  <c:y val="5.219448632750702E-2"/>
                </c:manualLayout>
              </c:layout>
              <c:showLegendKey val="0"/>
              <c:showVal val="1"/>
              <c:showCatName val="0"/>
              <c:showSerName val="0"/>
              <c:showPercent val="0"/>
              <c:showBubbleSize val="0"/>
            </c:dLbl>
            <c:txPr>
              <a:bodyPr/>
              <a:lstStyle/>
              <a:p>
                <a:pPr>
                  <a:defRPr sz="120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1"/>
          </c:dLbls>
          <c:cat>
            <c:strRef>
              <c:f>Lapas1!$B$19:$B$20</c:f>
              <c:strCache>
                <c:ptCount val="2"/>
                <c:pt idx="0">
                  <c:v>Visiškai sveikas</c:v>
                </c:pt>
                <c:pt idx="1">
                  <c:v>Turintis vieną ar daugiau sutrikimų</c:v>
                </c:pt>
              </c:strCache>
            </c:strRef>
          </c:cat>
          <c:val>
            <c:numRef>
              <c:f>Lapas1!$C$19:$C$20</c:f>
              <c:numCache>
                <c:formatCode>General</c:formatCode>
                <c:ptCount val="2"/>
                <c:pt idx="0">
                  <c:v>76</c:v>
                </c:pt>
                <c:pt idx="1">
                  <c:v>24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0483453513732763"/>
          <c:y val="3.7356655921365535E-2"/>
          <c:w val="0.27016544494106792"/>
          <c:h val="0.39337596223290883"/>
        </c:manualLayout>
      </c:layout>
      <c:overlay val="0"/>
      <c:txPr>
        <a:bodyPr/>
        <a:lstStyle/>
        <a:p>
          <a:pPr>
            <a:defRPr sz="1200">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6816646831430966"/>
          <c:y val="3.0917628447129041E-2"/>
          <c:w val="0.61229860790045931"/>
          <c:h val="0.876286434590413"/>
        </c:manualLayout>
      </c:layout>
      <c:barChart>
        <c:barDir val="bar"/>
        <c:grouping val="clustered"/>
        <c:varyColors val="0"/>
        <c:ser>
          <c:idx val="0"/>
          <c:order val="0"/>
          <c:invertIfNegative val="0"/>
          <c:dLbls>
            <c:txPr>
              <a:bodyPr/>
              <a:lstStyle/>
              <a:p>
                <a:pPr>
                  <a:defRPr sz="110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Lapas1!$B$28:$B$38</c:f>
              <c:strCache>
                <c:ptCount val="11"/>
                <c:pt idx="0">
                  <c:v>Regos sutrikimai</c:v>
                </c:pt>
                <c:pt idx="1">
                  <c:v>Kraujotakos sist. sutrikimai</c:v>
                </c:pt>
                <c:pt idx="2">
                  <c:v>Skeleto - raumenų sist.sutrikimai</c:v>
                </c:pt>
                <c:pt idx="3">
                  <c:v>Nervų sist. sutrikimai</c:v>
                </c:pt>
                <c:pt idx="4">
                  <c:v>Virškinimo sist. sutrikimai</c:v>
                </c:pt>
                <c:pt idx="5">
                  <c:v>Urogenitalinės sist. sutrikimai</c:v>
                </c:pt>
                <c:pt idx="6">
                  <c:v>Endokrininės sist. sutrikimai</c:v>
                </c:pt>
                <c:pt idx="7">
                  <c:v>Klausos sutrikimai</c:v>
                </c:pt>
                <c:pt idx="8">
                  <c:v>Odos ir jos priedų sist. sutrikimai</c:v>
                </c:pt>
                <c:pt idx="9">
                  <c:v>Kvėpavimo sist. sutrikimai</c:v>
                </c:pt>
                <c:pt idx="10">
                  <c:v>Psichikos ir elgesio sist. sutrikimai</c:v>
                </c:pt>
              </c:strCache>
            </c:strRef>
          </c:cat>
          <c:val>
            <c:numRef>
              <c:f>Lapas1!$C$28:$C$38</c:f>
              <c:numCache>
                <c:formatCode>General</c:formatCode>
                <c:ptCount val="11"/>
                <c:pt idx="0">
                  <c:v>4.7</c:v>
                </c:pt>
                <c:pt idx="1">
                  <c:v>4.8</c:v>
                </c:pt>
                <c:pt idx="2">
                  <c:v>2</c:v>
                </c:pt>
                <c:pt idx="3">
                  <c:v>4.3</c:v>
                </c:pt>
                <c:pt idx="4">
                  <c:v>0.4</c:v>
                </c:pt>
                <c:pt idx="5">
                  <c:v>0.5</c:v>
                </c:pt>
                <c:pt idx="6">
                  <c:v>0.1</c:v>
                </c:pt>
                <c:pt idx="7">
                  <c:v>0.2</c:v>
                </c:pt>
                <c:pt idx="8">
                  <c:v>1.1000000000000001</c:v>
                </c:pt>
                <c:pt idx="9">
                  <c:v>4</c:v>
                </c:pt>
                <c:pt idx="10">
                  <c:v>0.4</c:v>
                </c:pt>
              </c:numCache>
            </c:numRef>
          </c:val>
        </c:ser>
        <c:dLbls>
          <c:showLegendKey val="0"/>
          <c:showVal val="0"/>
          <c:showCatName val="0"/>
          <c:showSerName val="0"/>
          <c:showPercent val="0"/>
          <c:showBubbleSize val="0"/>
        </c:dLbls>
        <c:gapWidth val="150"/>
        <c:axId val="278262528"/>
        <c:axId val="278264064"/>
      </c:barChart>
      <c:catAx>
        <c:axId val="278262528"/>
        <c:scaling>
          <c:orientation val="minMax"/>
        </c:scaling>
        <c:delete val="0"/>
        <c:axPos val="l"/>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t-LT"/>
          </a:p>
        </c:txPr>
        <c:crossAx val="278264064"/>
        <c:crosses val="autoZero"/>
        <c:auto val="1"/>
        <c:lblAlgn val="ctr"/>
        <c:lblOffset val="100"/>
        <c:noMultiLvlLbl val="0"/>
      </c:catAx>
      <c:valAx>
        <c:axId val="278264064"/>
        <c:scaling>
          <c:orientation val="minMax"/>
        </c:scaling>
        <c:delete val="0"/>
        <c:axPos val="b"/>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t-LT"/>
          </a:p>
        </c:txPr>
        <c:crossAx val="278262528"/>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185983949703024E-3"/>
          <c:y val="4.6612381643420853E-2"/>
          <c:w val="0.73205051863718573"/>
          <c:h val="0.93455304435068487"/>
        </c:manualLayout>
      </c:layout>
      <c:pie3DChart>
        <c:varyColors val="1"/>
        <c:ser>
          <c:idx val="0"/>
          <c:order val="0"/>
          <c:explosion val="35"/>
          <c:dPt>
            <c:idx val="0"/>
            <c:bubble3D val="0"/>
            <c:spPr>
              <a:solidFill>
                <a:schemeClr val="accent6">
                  <a:lumMod val="60000"/>
                  <a:lumOff val="40000"/>
                </a:schemeClr>
              </a:solidFill>
            </c:spPr>
          </c:dPt>
          <c:dPt>
            <c:idx val="1"/>
            <c:bubble3D val="0"/>
            <c:spPr>
              <a:solidFill>
                <a:schemeClr val="accent2">
                  <a:lumMod val="60000"/>
                  <a:lumOff val="40000"/>
                </a:schemeClr>
              </a:solidFill>
            </c:spPr>
          </c:dPt>
          <c:dPt>
            <c:idx val="2"/>
            <c:bubble3D val="0"/>
            <c:spPr>
              <a:solidFill>
                <a:schemeClr val="bg2">
                  <a:lumMod val="50000"/>
                </a:schemeClr>
              </a:solidFill>
            </c:spPr>
          </c:dPt>
          <c:dLbls>
            <c:dLbl>
              <c:idx val="0"/>
              <c:layout>
                <c:manualLayout>
                  <c:x val="4.4727029082976912E-2"/>
                  <c:y val="-1.8418567986168963E-2"/>
                </c:manualLayout>
              </c:layout>
              <c:showLegendKey val="0"/>
              <c:showVal val="1"/>
              <c:showCatName val="0"/>
              <c:showSerName val="0"/>
              <c:showPercent val="0"/>
              <c:showBubbleSize val="0"/>
            </c:dLbl>
            <c:dLbl>
              <c:idx val="1"/>
              <c:layout>
                <c:manualLayout>
                  <c:x val="-5.2352381096316897E-3"/>
                  <c:y val="-4.888876944989385E-2"/>
                </c:manualLayout>
              </c:layout>
              <c:showLegendKey val="0"/>
              <c:showVal val="1"/>
              <c:showCatName val="0"/>
              <c:showSerName val="0"/>
              <c:showPercent val="0"/>
              <c:showBubbleSize val="0"/>
            </c:dLbl>
            <c:dLbl>
              <c:idx val="2"/>
              <c:layout>
                <c:manualLayout>
                  <c:x val="4.0195465010251841E-2"/>
                  <c:y val="-1.5978071000510595E-2"/>
                </c:manualLayout>
              </c:layout>
              <c:showLegendKey val="0"/>
              <c:showVal val="1"/>
              <c:showCatName val="0"/>
              <c:showSerName val="0"/>
              <c:showPercent val="0"/>
              <c:showBubbleSize val="0"/>
            </c:dLbl>
            <c:txPr>
              <a:bodyPr/>
              <a:lstStyle/>
              <a:p>
                <a:pPr>
                  <a:defRPr sz="110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1"/>
          </c:dLbls>
          <c:cat>
            <c:strRef>
              <c:f>Lapas1!$P$2:$P$4</c:f>
              <c:strCache>
                <c:ptCount val="3"/>
                <c:pt idx="0">
                  <c:v>Per mažas KMI</c:v>
                </c:pt>
                <c:pt idx="1">
                  <c:v>Normlus KMI</c:v>
                </c:pt>
                <c:pt idx="2">
                  <c:v>Per didelis KMI</c:v>
                </c:pt>
              </c:strCache>
            </c:strRef>
          </c:cat>
          <c:val>
            <c:numRef>
              <c:f>Lapas1!$Q$2:$Q$4</c:f>
              <c:numCache>
                <c:formatCode>General</c:formatCode>
                <c:ptCount val="3"/>
                <c:pt idx="0">
                  <c:v>70</c:v>
                </c:pt>
                <c:pt idx="1">
                  <c:v>28</c:v>
                </c:pt>
                <c:pt idx="2">
                  <c:v>1.3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4236746965149047"/>
          <c:y val="8.9925738804833705E-2"/>
          <c:w val="0.22693507841270322"/>
          <c:h val="0.35608072881674774"/>
        </c:manualLayout>
      </c:layout>
      <c:overlay val="0"/>
      <c:txPr>
        <a:bodyPr/>
        <a:lstStyle/>
        <a:p>
          <a:pPr>
            <a:defRPr sz="1100">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969365986640588"/>
          <c:y val="2.294532460550865E-2"/>
          <c:w val="0.73292469785227532"/>
          <c:h val="0.8373724368791251"/>
        </c:manualLayout>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Lapas1!$R$23:$R$26</c:f>
              <c:strCache>
                <c:ptCount val="4"/>
                <c:pt idx="0">
                  <c:v>Pagrindinė k. k gr.</c:v>
                </c:pt>
                <c:pt idx="1">
                  <c:v>Parengiamoji k. k. gr.</c:v>
                </c:pt>
                <c:pt idx="2">
                  <c:v>Specialioji k. k. gr.</c:v>
                </c:pt>
                <c:pt idx="3">
                  <c:v>Atleisti nuo k.k.</c:v>
                </c:pt>
              </c:strCache>
            </c:strRef>
          </c:cat>
          <c:val>
            <c:numRef>
              <c:f>Lapas1!$S$23:$S$26</c:f>
              <c:numCache>
                <c:formatCode>General</c:formatCode>
                <c:ptCount val="4"/>
                <c:pt idx="0">
                  <c:v>99.9</c:v>
                </c:pt>
                <c:pt idx="1">
                  <c:v>0</c:v>
                </c:pt>
                <c:pt idx="2">
                  <c:v>1.1000000000000001</c:v>
                </c:pt>
                <c:pt idx="3">
                  <c:v>0</c:v>
                </c:pt>
              </c:numCache>
            </c:numRef>
          </c:val>
        </c:ser>
        <c:dLbls>
          <c:showLegendKey val="0"/>
          <c:showVal val="0"/>
          <c:showCatName val="0"/>
          <c:showSerName val="0"/>
          <c:showPercent val="0"/>
          <c:showBubbleSize val="0"/>
        </c:dLbls>
        <c:gapWidth val="150"/>
        <c:axId val="153238912"/>
        <c:axId val="153248896"/>
      </c:barChart>
      <c:catAx>
        <c:axId val="153238912"/>
        <c:scaling>
          <c:orientation val="minMax"/>
        </c:scaling>
        <c:delete val="0"/>
        <c:axPos val="l"/>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lt-LT"/>
          </a:p>
        </c:txPr>
        <c:crossAx val="153248896"/>
        <c:crosses val="autoZero"/>
        <c:auto val="1"/>
        <c:lblAlgn val="ctr"/>
        <c:lblOffset val="100"/>
        <c:noMultiLvlLbl val="0"/>
      </c:catAx>
      <c:valAx>
        <c:axId val="153248896"/>
        <c:scaling>
          <c:orientation val="minMax"/>
          <c:max val="100"/>
        </c:scaling>
        <c:delete val="0"/>
        <c:axPos val="b"/>
        <c:majorGridlines/>
        <c:numFmt formatCode="General" sourceLinked="1"/>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lt-LT"/>
          </a:p>
        </c:txPr>
        <c:crossAx val="153238912"/>
        <c:crosses val="autoZero"/>
        <c:crossBetween val="between"/>
      </c:valAx>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40"/>
      <c:rotY val="40"/>
      <c:rAngAx val="0"/>
      <c:perspective val="30"/>
    </c:view3D>
    <c:floor>
      <c:thickness val="0"/>
    </c:floor>
    <c:sideWall>
      <c:thickness val="0"/>
    </c:sideWall>
    <c:backWall>
      <c:thickness val="0"/>
    </c:backWall>
    <c:plotArea>
      <c:layout>
        <c:manualLayout>
          <c:layoutTarget val="inner"/>
          <c:xMode val="edge"/>
          <c:yMode val="edge"/>
          <c:x val="1.9289930295773135E-2"/>
          <c:y val="6.5502581408093216E-2"/>
          <c:w val="0.63546286443924227"/>
          <c:h val="0.93442206861755028"/>
        </c:manualLayout>
      </c:layout>
      <c:pie3DChart>
        <c:varyColors val="1"/>
        <c:ser>
          <c:idx val="0"/>
          <c:order val="0"/>
          <c:explosion val="25"/>
          <c:dPt>
            <c:idx val="0"/>
            <c:bubble3D val="0"/>
            <c:spPr>
              <a:solidFill>
                <a:srgbClr val="4BACC6">
                  <a:lumMod val="60000"/>
                  <a:lumOff val="40000"/>
                </a:srgbClr>
              </a:solidFill>
            </c:spPr>
          </c:dPt>
          <c:dPt>
            <c:idx val="1"/>
            <c:bubble3D val="0"/>
            <c:spPr>
              <a:solidFill>
                <a:sysClr val="window" lastClr="FFFFFF">
                  <a:lumMod val="50000"/>
                </a:sysClr>
              </a:solidFill>
            </c:spPr>
          </c:dPt>
          <c:dPt>
            <c:idx val="2"/>
            <c:bubble3D val="0"/>
            <c:spPr>
              <a:solidFill>
                <a:srgbClr val="F79646">
                  <a:lumMod val="60000"/>
                  <a:lumOff val="40000"/>
                </a:srgbClr>
              </a:solidFill>
            </c:spPr>
          </c:dPt>
          <c:dLbls>
            <c:dLbl>
              <c:idx val="0"/>
              <c:layout>
                <c:manualLayout>
                  <c:x val="-3.7444137050436262E-2"/>
                  <c:y val="-2.5860988199171951E-2"/>
                </c:manualLayout>
              </c:layout>
              <c:showLegendKey val="0"/>
              <c:showVal val="1"/>
              <c:showCatName val="0"/>
              <c:showSerName val="0"/>
              <c:showPercent val="0"/>
              <c:showBubbleSize val="0"/>
            </c:dLbl>
            <c:dLbl>
              <c:idx val="1"/>
              <c:layout>
                <c:manualLayout>
                  <c:x val="-5.8724339604042546E-2"/>
                  <c:y val="-1.4660494124066259E-2"/>
                </c:manualLayout>
              </c:layout>
              <c:showLegendKey val="0"/>
              <c:showVal val="1"/>
              <c:showCatName val="0"/>
              <c:showSerName val="0"/>
              <c:showPercent val="0"/>
              <c:showBubbleSize val="0"/>
            </c:dLbl>
            <c:dLbl>
              <c:idx val="2"/>
              <c:layout>
                <c:manualLayout>
                  <c:x val="1.8190572462226006E-2"/>
                  <c:y val="2.9280944004713197E-3"/>
                </c:manualLayout>
              </c:layout>
              <c:showLegendKey val="0"/>
              <c:showVal val="1"/>
              <c:showCatName val="0"/>
              <c:showSerName val="0"/>
              <c:showPercent val="0"/>
              <c:showBubbleSize val="0"/>
            </c:dLbl>
            <c:txPr>
              <a:bodyPr/>
              <a:lstStyle/>
              <a:p>
                <a:pPr>
                  <a:defRPr sz="105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1"/>
          </c:dLbls>
          <c:cat>
            <c:strRef>
              <c:f>Lapas1!$R$33:$R$35</c:f>
              <c:strCache>
                <c:ptCount val="3"/>
                <c:pt idx="0">
                  <c:v>Neturi sąkandžio patologijos</c:v>
                </c:pt>
                <c:pt idx="1">
                  <c:v>Turinčių pavienių dantų patologijas</c:v>
                </c:pt>
                <c:pt idx="2">
                  <c:v>Turinčių žandikaulių patologijas</c:v>
                </c:pt>
              </c:strCache>
            </c:strRef>
          </c:cat>
          <c:val>
            <c:numRef>
              <c:f>Lapas1!$S$33:$S$35</c:f>
              <c:numCache>
                <c:formatCode>General</c:formatCode>
                <c:ptCount val="3"/>
                <c:pt idx="0">
                  <c:v>93.7</c:v>
                </c:pt>
                <c:pt idx="1">
                  <c:v>2.1</c:v>
                </c:pt>
                <c:pt idx="2">
                  <c:v>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0280511811023627"/>
          <c:y val="8.2181758530183738E-2"/>
          <c:w val="0.28052821522309712"/>
          <c:h val="0.62730314960629918"/>
        </c:manualLayout>
      </c:layout>
      <c:overlay val="0"/>
      <c:txPr>
        <a:bodyPr/>
        <a:lstStyle/>
        <a:p>
          <a:pPr>
            <a:defRPr sz="1050">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33EA0-4C63-4D26-B746-C0BCBD15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Pages>
  <Words>5434</Words>
  <Characters>3098</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25</cp:revision>
  <cp:lastPrinted>2019-09-26T08:17:00Z</cp:lastPrinted>
  <dcterms:created xsi:type="dcterms:W3CDTF">2018-10-11T06:43:00Z</dcterms:created>
  <dcterms:modified xsi:type="dcterms:W3CDTF">2019-10-21T13:40:00Z</dcterms:modified>
</cp:coreProperties>
</file>