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6F4D6A" w:rsidRPr="0059365B">
        <w:trPr>
          <w:trHeight w:val="1055"/>
        </w:trPr>
        <w:tc>
          <w:tcPr>
            <w:tcW w:w="9639" w:type="dxa"/>
          </w:tcPr>
          <w:p w:rsidR="006F4D6A" w:rsidRPr="0059365B" w:rsidRDefault="006F4D6A" w:rsidP="00182979">
            <w:pPr>
              <w:overflowPunct w:val="0"/>
              <w:autoSpaceDE w:val="0"/>
              <w:autoSpaceDN w:val="0"/>
              <w:adjustRightInd w:val="0"/>
              <w:spacing w:line="240" w:lineRule="atLeast"/>
              <w:jc w:val="center"/>
              <w:rPr>
                <w:color w:val="000000"/>
              </w:rPr>
            </w:pPr>
            <w:r w:rsidRPr="005743CA">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6F4D6A" w:rsidRPr="0059365B">
        <w:trPr>
          <w:trHeight w:val="2363"/>
        </w:trPr>
        <w:tc>
          <w:tcPr>
            <w:tcW w:w="9639" w:type="dxa"/>
          </w:tcPr>
          <w:p w:rsidR="006F4D6A" w:rsidRPr="006347D1" w:rsidRDefault="006F4D6A" w:rsidP="008334F4">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6F4D6A" w:rsidRPr="006347D1" w:rsidRDefault="006F4D6A" w:rsidP="008334F4"/>
          <w:p w:rsidR="006F4D6A" w:rsidRPr="006347D1" w:rsidRDefault="006F4D6A" w:rsidP="008334F4">
            <w:pPr>
              <w:jc w:val="center"/>
            </w:pPr>
          </w:p>
          <w:p w:rsidR="006F4D6A" w:rsidRPr="000425A2" w:rsidRDefault="006F4D6A" w:rsidP="008334F4">
            <w:pPr>
              <w:spacing w:before="120"/>
              <w:jc w:val="center"/>
              <w:rPr>
                <w:b/>
                <w:bCs/>
                <w:caps/>
                <w:color w:val="000000"/>
                <w:szCs w:val="24"/>
              </w:rPr>
            </w:pPr>
            <w:r w:rsidRPr="000425A2">
              <w:rPr>
                <w:b/>
                <w:bCs/>
                <w:caps/>
                <w:color w:val="000000"/>
                <w:szCs w:val="24"/>
              </w:rPr>
              <w:t>sprendimas</w:t>
            </w:r>
          </w:p>
          <w:p w:rsidR="006F4D6A" w:rsidRPr="0059365B" w:rsidRDefault="006F4D6A" w:rsidP="008334F4">
            <w:pPr>
              <w:overflowPunct w:val="0"/>
              <w:autoSpaceDE w:val="0"/>
              <w:autoSpaceDN w:val="0"/>
              <w:adjustRightInd w:val="0"/>
              <w:spacing w:before="120"/>
              <w:jc w:val="center"/>
              <w:rPr>
                <w:b/>
                <w:bCs/>
                <w:caps/>
                <w:color w:val="000000"/>
              </w:rPr>
            </w:pPr>
            <w:r w:rsidRPr="006347D1">
              <w:rPr>
                <w:b/>
                <w:bCs/>
                <w:caps/>
                <w:color w:val="000000"/>
              </w:rPr>
              <w:t xml:space="preserve">dėl </w:t>
            </w:r>
            <w:r>
              <w:rPr>
                <w:b/>
                <w:bCs/>
                <w:caps/>
                <w:color w:val="000000"/>
              </w:rPr>
              <w:t>PAGĖGIŲ savivaldybės tarybos 2014 m. balandžio 24 d. sprendimo Nr. T-82 „</w:t>
            </w:r>
            <w:r w:rsidRPr="009334CB">
              <w:rPr>
                <w:b/>
                <w:szCs w:val="24"/>
              </w:rPr>
              <w:t xml:space="preserve">DĖL ŽMONIŲ GYVYBĖS APSAUGOS </w:t>
            </w:r>
            <w:r>
              <w:rPr>
                <w:b/>
                <w:szCs w:val="24"/>
              </w:rPr>
              <w:t>PAGĖGIŲ</w:t>
            </w:r>
            <w:r w:rsidRPr="009334CB">
              <w:rPr>
                <w:b/>
                <w:szCs w:val="24"/>
              </w:rPr>
              <w:t xml:space="preserve"> SAVIVALDYBĖS VANDENS TELKINIUOSE BEI ŽMONIŲ SAUGAUS ELGESIO VANDENYJE IR ANT LEDO TAISYKLIŲ PATVIRTINIMO</w:t>
            </w:r>
            <w:r>
              <w:rPr>
                <w:b/>
                <w:szCs w:val="24"/>
              </w:rPr>
              <w:t>“ PAKEITIMO</w:t>
            </w:r>
          </w:p>
        </w:tc>
      </w:tr>
      <w:tr w:rsidR="006F4D6A" w:rsidRPr="0059365B">
        <w:trPr>
          <w:trHeight w:val="703"/>
        </w:trPr>
        <w:tc>
          <w:tcPr>
            <w:tcW w:w="9639" w:type="dxa"/>
          </w:tcPr>
          <w:p w:rsidR="006F4D6A" w:rsidRPr="00361CA8" w:rsidRDefault="006F4D6A" w:rsidP="008334F4">
            <w:pPr>
              <w:pStyle w:val="Heading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2018</w:t>
            </w:r>
            <w:r w:rsidRPr="00361CA8">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balandžio 25 </w:t>
            </w:r>
            <w:r w:rsidRPr="00361CA8">
              <w:rPr>
                <w:rFonts w:ascii="Times New Roman" w:hAnsi="Times New Roman" w:cs="Times New Roman"/>
                <w:b w:val="0"/>
                <w:bCs w:val="0"/>
                <w:i w:val="0"/>
                <w:sz w:val="24"/>
                <w:szCs w:val="24"/>
              </w:rPr>
              <w:t>d. Nr. T-</w:t>
            </w:r>
            <w:r>
              <w:rPr>
                <w:rFonts w:ascii="Times New Roman" w:hAnsi="Times New Roman" w:cs="Times New Roman"/>
                <w:b w:val="0"/>
                <w:bCs w:val="0"/>
                <w:i w:val="0"/>
                <w:sz w:val="24"/>
                <w:szCs w:val="24"/>
              </w:rPr>
              <w:t>69</w:t>
            </w:r>
          </w:p>
          <w:p w:rsidR="006F4D6A" w:rsidRPr="0059365B" w:rsidRDefault="006F4D6A" w:rsidP="008334F4">
            <w:pPr>
              <w:overflowPunct w:val="0"/>
              <w:autoSpaceDE w:val="0"/>
              <w:autoSpaceDN w:val="0"/>
              <w:adjustRightInd w:val="0"/>
              <w:jc w:val="center"/>
            </w:pPr>
            <w:r w:rsidRPr="0059365B">
              <w:t>Pagėgiai</w:t>
            </w:r>
          </w:p>
        </w:tc>
      </w:tr>
    </w:tbl>
    <w:p w:rsidR="006F4D6A" w:rsidRDefault="006F4D6A" w:rsidP="008334F4">
      <w:pPr>
        <w:spacing w:line="360" w:lineRule="auto"/>
        <w:ind w:firstLine="1260"/>
        <w:jc w:val="both"/>
        <w:rPr>
          <w:szCs w:val="24"/>
        </w:rPr>
      </w:pPr>
    </w:p>
    <w:p w:rsidR="006F4D6A" w:rsidRPr="003E3BAA" w:rsidRDefault="006F4D6A" w:rsidP="000F27B2">
      <w:pPr>
        <w:ind w:firstLine="1260"/>
        <w:jc w:val="both"/>
      </w:pPr>
      <w:r>
        <w:rPr>
          <w:szCs w:val="24"/>
        </w:rPr>
        <w:t xml:space="preserve">Vadovaudamasi Lietuvos Respublikos vietos savivaldos </w:t>
      </w:r>
      <w:r w:rsidRPr="00AC2A63">
        <w:rPr>
          <w:szCs w:val="24"/>
        </w:rPr>
        <w:t xml:space="preserve">įstatymo </w:t>
      </w:r>
      <w:r>
        <w:rPr>
          <w:szCs w:val="24"/>
        </w:rPr>
        <w:t xml:space="preserve">18 straipsnio 1 dalimi ir atsižvelgdama į Vyriausybės atstovo Tauragės apskrityje 2018 m. kovo 19 d. teikimą Nr. 6-15 „Dėl Pagėgių savivaldybės tarybos 2014 m. balandžio 24 d. sprendimo Nr. T-82 „Dėl žmonių gyvybės apsaugos Pagėgių savivaldybės vandens telkiniuose bei žmonių saugaus elgesio vandenyje ir ant </w:t>
      </w:r>
      <w:r w:rsidRPr="003E3BAA">
        <w:rPr>
          <w:szCs w:val="24"/>
        </w:rPr>
        <w:t>ledo taisyklių patvirtinimo““,</w:t>
      </w:r>
      <w:r w:rsidRPr="003E3BAA">
        <w:t xml:space="preserve"> Pagėgių savivaldybės taryba n u s p r e n d ž i a:</w:t>
      </w:r>
    </w:p>
    <w:p w:rsidR="006F4D6A" w:rsidRPr="00683F48" w:rsidRDefault="006F4D6A" w:rsidP="00F33D05">
      <w:pPr>
        <w:ind w:firstLine="1260"/>
        <w:rPr>
          <w:sz w:val="22"/>
          <w:highlight w:val="yellow"/>
        </w:rPr>
      </w:pPr>
      <w:r>
        <w:t xml:space="preserve">1. </w:t>
      </w:r>
      <w:r w:rsidRPr="000F27B2">
        <w:t>Pakeisti</w:t>
      </w:r>
      <w:r w:rsidRPr="000B1E82">
        <w:t xml:space="preserve"> Pagėgių savivaldybės tarybos Žmonių gyvybės apsaugos Pagėgių savivaldybės vandens telkiniuose bei žmonių saugaus elgesio vandenyje ir ant ledo taisyklių</w:t>
      </w:r>
      <w:r>
        <w:t xml:space="preserve"> (toliau – Taisyklės)</w:t>
      </w:r>
      <w:r w:rsidRPr="000B1E82">
        <w:t>, patvirtintų Pagėgių savivaldybės tarybos</w:t>
      </w:r>
      <w:r>
        <w:t xml:space="preserve"> </w:t>
      </w:r>
      <w:r w:rsidRPr="000B1E82">
        <w:t>2014 m. balandžio 24 d.  sprendimu Nr. T-82 „Dėl žmonių gyvybės apsaugos Pagėgių savivaldybės</w:t>
      </w:r>
      <w:r>
        <w:t xml:space="preserve"> vandens telkiniuose bei žmonių saugaus elgesio vandenyje ir ant ledo taisyklių</w:t>
      </w:r>
      <w:r w:rsidRPr="000B1E82">
        <w:t xml:space="preserve"> patvirtinimo“</w:t>
      </w:r>
      <w:r>
        <w:t>,</w:t>
      </w:r>
      <w:r w:rsidRPr="000B1E82">
        <w:t xml:space="preserve">  </w:t>
      </w:r>
      <w:r>
        <w:t>25, 27 punktus ir 27.1, 27.2 papunkčius ir juos</w:t>
      </w:r>
      <w:r w:rsidRPr="000B1E82">
        <w:t xml:space="preserve"> išdėstyti taip:</w:t>
      </w:r>
    </w:p>
    <w:p w:rsidR="006F4D6A" w:rsidRDefault="006F4D6A" w:rsidP="000F27B2">
      <w:pPr>
        <w:overflowPunct w:val="0"/>
        <w:autoSpaceDE w:val="0"/>
        <w:autoSpaceDN w:val="0"/>
        <w:adjustRightInd w:val="0"/>
        <w:ind w:firstLine="1260"/>
        <w:jc w:val="both"/>
      </w:pPr>
      <w:r>
        <w:t xml:space="preserve">1.1. </w:t>
      </w:r>
      <w:r w:rsidRPr="003E3BAA">
        <w:t>„25.</w:t>
      </w:r>
      <w:r w:rsidRPr="003E3BAA">
        <w:rPr>
          <w:b/>
          <w:spacing w:val="2"/>
          <w:szCs w:val="24"/>
        </w:rPr>
        <w:t xml:space="preserve"> </w:t>
      </w:r>
      <w:r w:rsidRPr="003E3BAA">
        <w:rPr>
          <w:spacing w:val="2"/>
          <w:szCs w:val="24"/>
        </w:rPr>
        <w:t>Ne arčiau kaip 100 m</w:t>
      </w:r>
      <w:r>
        <w:rPr>
          <w:spacing w:val="2"/>
          <w:szCs w:val="24"/>
        </w:rPr>
        <w:t xml:space="preserve"> </w:t>
      </w:r>
      <w:r w:rsidRPr="00714C2B">
        <w:rPr>
          <w:spacing w:val="2"/>
          <w:szCs w:val="24"/>
        </w:rPr>
        <w:t>nuo vandens telkinių ir juose esančių salų krantų (išskyrus vidaus vandenų keliams priskirtus vandens telkinių ruožus), paplūdimių ir maudyklų teritorijų savaeigėmis plaukiojimo priemonėmis leidžiama plaukioti tik lėta eiga</w:t>
      </w:r>
      <w:r w:rsidRPr="003E3BAA">
        <w:t>“.</w:t>
      </w:r>
    </w:p>
    <w:p w:rsidR="006F4D6A" w:rsidRDefault="006F4D6A" w:rsidP="000F27B2">
      <w:pPr>
        <w:shd w:val="clear" w:color="auto" w:fill="FFFFFF"/>
        <w:ind w:firstLine="902"/>
        <w:jc w:val="both"/>
        <w:rPr>
          <w:color w:val="000000"/>
          <w:szCs w:val="24"/>
          <w:lang w:eastAsia="lt-LT"/>
        </w:rPr>
      </w:pPr>
      <w:r>
        <w:t xml:space="preserve">      1.2. „27.</w:t>
      </w:r>
      <w:r w:rsidRPr="00531FB8">
        <w:rPr>
          <w:spacing w:val="2"/>
          <w:szCs w:val="24"/>
        </w:rPr>
        <w:t xml:space="preserve"> </w:t>
      </w:r>
      <w:r w:rsidRPr="00285B9E">
        <w:rPr>
          <w:spacing w:val="2"/>
          <w:szCs w:val="24"/>
        </w:rPr>
        <w:t xml:space="preserve">Vandens telkiniuose, nesančiuose saugomose teritorijose, nuo </w:t>
      </w:r>
      <w:r w:rsidRPr="00531FB8">
        <w:rPr>
          <w:spacing w:val="2"/>
          <w:szCs w:val="24"/>
        </w:rPr>
        <w:t>birželio 21 d.</w:t>
      </w:r>
      <w:r>
        <w:rPr>
          <w:b/>
          <w:spacing w:val="2"/>
          <w:szCs w:val="24"/>
        </w:rPr>
        <w:t xml:space="preserve"> </w:t>
      </w:r>
      <w:r w:rsidRPr="00285B9E">
        <w:rPr>
          <w:spacing w:val="2"/>
          <w:szCs w:val="24"/>
        </w:rPr>
        <w:t>iki navigacijos sezono pabaigos plaukioti savaeigėmis plaukiojimo priemonėmis</w:t>
      </w:r>
      <w:r>
        <w:rPr>
          <w:spacing w:val="2"/>
          <w:szCs w:val="24"/>
        </w:rPr>
        <w:t xml:space="preserve"> − </w:t>
      </w:r>
      <w:r w:rsidRPr="00856DEB">
        <w:rPr>
          <w:spacing w:val="2"/>
          <w:szCs w:val="24"/>
        </w:rPr>
        <w:t>leidžiama</w:t>
      </w:r>
      <w:r w:rsidRPr="00AF319A">
        <w:rPr>
          <w:b/>
          <w:spacing w:val="2"/>
          <w:szCs w:val="24"/>
        </w:rPr>
        <w:t xml:space="preserve"> </w:t>
      </w:r>
      <w:r w:rsidRPr="00531FB8">
        <w:rPr>
          <w:spacing w:val="2"/>
          <w:szCs w:val="24"/>
        </w:rPr>
        <w:t>laikantis šių reikalavimų:</w:t>
      </w:r>
      <w:r>
        <w:rPr>
          <w:color w:val="000000"/>
          <w:szCs w:val="24"/>
          <w:lang w:eastAsia="lt-LT"/>
        </w:rPr>
        <w:t xml:space="preserve">“.    </w:t>
      </w:r>
    </w:p>
    <w:p w:rsidR="006F4D6A" w:rsidRPr="00856DEB" w:rsidRDefault="006F4D6A" w:rsidP="000F27B2">
      <w:pPr>
        <w:shd w:val="clear" w:color="auto" w:fill="FFFFFF"/>
        <w:ind w:firstLine="902"/>
        <w:jc w:val="both"/>
        <w:rPr>
          <w:szCs w:val="24"/>
        </w:rPr>
      </w:pPr>
      <w:r>
        <w:rPr>
          <w:color w:val="000000"/>
          <w:szCs w:val="24"/>
          <w:lang w:eastAsia="lt-LT"/>
        </w:rPr>
        <w:t xml:space="preserve">      1.3. „27.1. </w:t>
      </w:r>
      <w:r w:rsidRPr="00856DEB">
        <w:rPr>
          <w:spacing w:val="2"/>
          <w:szCs w:val="24"/>
        </w:rPr>
        <w:t>Ne mažesniuose kaip 10 ha ploto vandens telkiniuose ir kai bendras variklių galingumas neviršija 10 AG (8 Kw).</w:t>
      </w:r>
      <w:r>
        <w:rPr>
          <w:spacing w:val="2"/>
          <w:szCs w:val="24"/>
        </w:rPr>
        <w:t>“.</w:t>
      </w:r>
    </w:p>
    <w:p w:rsidR="006F4D6A" w:rsidRPr="0064224F" w:rsidRDefault="006F4D6A" w:rsidP="000F27B2">
      <w:pPr>
        <w:shd w:val="clear" w:color="auto" w:fill="FFFFFF"/>
        <w:ind w:firstLine="902"/>
        <w:jc w:val="both"/>
        <w:rPr>
          <w:spacing w:val="2"/>
          <w:szCs w:val="24"/>
        </w:rPr>
      </w:pPr>
      <w:r>
        <w:rPr>
          <w:spacing w:val="2"/>
          <w:szCs w:val="24"/>
        </w:rPr>
        <w:t xml:space="preserve">      1.4. „</w:t>
      </w:r>
      <w:r w:rsidRPr="00AF319A">
        <w:rPr>
          <w:spacing w:val="2"/>
          <w:szCs w:val="24"/>
        </w:rPr>
        <w:t xml:space="preserve">27.2. </w:t>
      </w:r>
      <w:r w:rsidRPr="00856DEB">
        <w:rPr>
          <w:spacing w:val="2"/>
          <w:szCs w:val="24"/>
        </w:rPr>
        <w:t>Ne mažesniuose kaip 100 ha</w:t>
      </w:r>
      <w:r>
        <w:rPr>
          <w:spacing w:val="2"/>
          <w:szCs w:val="24"/>
        </w:rPr>
        <w:t xml:space="preserve"> </w:t>
      </w:r>
      <w:r w:rsidRPr="00AF319A">
        <w:rPr>
          <w:spacing w:val="2"/>
          <w:szCs w:val="24"/>
        </w:rPr>
        <w:t xml:space="preserve">ploto vandens telkiniuose, jeigu savaeigės plaukiojimo priemonės variklių bendras galingumas </w:t>
      </w:r>
      <w:r w:rsidRPr="00856DEB">
        <w:rPr>
          <w:spacing w:val="2"/>
          <w:szCs w:val="24"/>
        </w:rPr>
        <w:t>11 AG (9 Kw)-20 AG (15 Kw).</w:t>
      </w:r>
      <w:r>
        <w:rPr>
          <w:spacing w:val="2"/>
          <w:szCs w:val="24"/>
        </w:rPr>
        <w:t>“.</w:t>
      </w:r>
    </w:p>
    <w:p w:rsidR="006F4D6A" w:rsidRPr="0062616F" w:rsidRDefault="006F4D6A" w:rsidP="000F27B2">
      <w:pPr>
        <w:jc w:val="both"/>
        <w:rPr>
          <w:sz w:val="22"/>
        </w:rPr>
      </w:pPr>
      <w:r>
        <w:rPr>
          <w:spacing w:val="2"/>
          <w:szCs w:val="24"/>
        </w:rPr>
        <w:tab/>
        <w:t xml:space="preserve">2. </w:t>
      </w:r>
      <w:r w:rsidRPr="0062616F">
        <w:t xml:space="preserve">Papildyti </w:t>
      </w:r>
      <w:r>
        <w:rPr>
          <w:szCs w:val="24"/>
        </w:rPr>
        <w:t xml:space="preserve">Taisykles </w:t>
      </w:r>
      <w:r w:rsidRPr="0062616F">
        <w:t xml:space="preserve">27.3 ir </w:t>
      </w:r>
      <w:r w:rsidRPr="0062616F">
        <w:rPr>
          <w:color w:val="000000"/>
          <w:szCs w:val="24"/>
          <w:lang w:eastAsia="lt-LT"/>
        </w:rPr>
        <w:t>27.4</w:t>
      </w:r>
      <w:r w:rsidRPr="0062616F">
        <w:rPr>
          <w:b/>
          <w:szCs w:val="24"/>
          <w:lang w:eastAsia="lt-LT"/>
        </w:rPr>
        <w:t xml:space="preserve"> </w:t>
      </w:r>
      <w:r w:rsidRPr="0062616F">
        <w:t xml:space="preserve"> papunkčiais ir juos išdėstyti taip:</w:t>
      </w:r>
    </w:p>
    <w:p w:rsidR="006F4D6A" w:rsidRDefault="006F4D6A" w:rsidP="000F27B2">
      <w:pPr>
        <w:shd w:val="clear" w:color="auto" w:fill="FFFFFF"/>
        <w:ind w:firstLine="902"/>
        <w:jc w:val="both"/>
        <w:rPr>
          <w:color w:val="000000"/>
          <w:szCs w:val="24"/>
          <w:lang w:eastAsia="lt-LT"/>
        </w:rPr>
      </w:pPr>
      <w:r>
        <w:rPr>
          <w:szCs w:val="24"/>
        </w:rPr>
        <w:t xml:space="preserve">      </w:t>
      </w:r>
      <w:r w:rsidRPr="005933D1">
        <w:rPr>
          <w:szCs w:val="24"/>
        </w:rPr>
        <w:t>2.1. „</w:t>
      </w:r>
      <w:r w:rsidRPr="005933D1">
        <w:rPr>
          <w:color w:val="000000"/>
          <w:szCs w:val="24"/>
          <w:lang w:eastAsia="lt-LT"/>
        </w:rPr>
        <w:t>27.3.</w:t>
      </w:r>
      <w:r w:rsidRPr="005933D1">
        <w:rPr>
          <w:szCs w:val="24"/>
          <w:lang w:eastAsia="lt-LT"/>
        </w:rPr>
        <w:t xml:space="preserve"> kai </w:t>
      </w:r>
      <w:r w:rsidRPr="005933D1">
        <w:rPr>
          <w:color w:val="000000"/>
          <w:szCs w:val="24"/>
          <w:lang w:eastAsia="lt-LT"/>
        </w:rPr>
        <w:t>bendras variklių galingumas 21 AG (16 kW)</w:t>
      </w:r>
      <w:r w:rsidRPr="005933D1">
        <w:rPr>
          <w:szCs w:val="24"/>
          <w:lang w:eastAsia="lt-LT"/>
        </w:rPr>
        <w:t>–</w:t>
      </w:r>
      <w:r w:rsidRPr="005933D1">
        <w:rPr>
          <w:color w:val="000000"/>
          <w:szCs w:val="24"/>
          <w:lang w:eastAsia="lt-LT"/>
        </w:rPr>
        <w:t>150 AG (110 kW) – nuo birželio 21 d. iki navigacijos sezono pabaigos</w:t>
      </w:r>
      <w:r w:rsidRPr="005933D1">
        <w:rPr>
          <w:szCs w:val="24"/>
          <w:lang w:eastAsia="lt-LT"/>
        </w:rPr>
        <w:t xml:space="preserve"> – </w:t>
      </w:r>
      <w:r w:rsidRPr="005933D1">
        <w:rPr>
          <w:color w:val="000000"/>
          <w:szCs w:val="24"/>
          <w:lang w:eastAsia="lt-LT"/>
        </w:rPr>
        <w:t>didesniuose kaip 200 ha vandens telkiniuose;“.</w:t>
      </w:r>
    </w:p>
    <w:p w:rsidR="006F4D6A" w:rsidRPr="005933D1" w:rsidRDefault="006F4D6A" w:rsidP="000F27B2">
      <w:pPr>
        <w:shd w:val="clear" w:color="auto" w:fill="FFFFFF"/>
        <w:ind w:firstLine="902"/>
        <w:jc w:val="both"/>
        <w:rPr>
          <w:strike/>
          <w:spacing w:val="2"/>
          <w:szCs w:val="24"/>
        </w:rPr>
      </w:pPr>
      <w:r>
        <w:rPr>
          <w:color w:val="000000"/>
          <w:szCs w:val="24"/>
          <w:lang w:eastAsia="lt-LT"/>
        </w:rPr>
        <w:t xml:space="preserve">      2.2. „27.4. </w:t>
      </w:r>
      <w:r w:rsidRPr="005933D1">
        <w:rPr>
          <w:szCs w:val="24"/>
          <w:lang w:eastAsia="lt-LT"/>
        </w:rPr>
        <w:t>kai bendras variklių galingumas 151 AG (111 kW)–300 AG (220 kW) – nuo birželio 21 d. iki navigacijos sezono pabaigos vandens telkiniuose, didesniuose kaip 500 ha ploto, plaukioti vandens telkinio dalimi (akvatorija), patvirtinta teritorijų planavimo dokumentuose.</w:t>
      </w:r>
      <w:r>
        <w:rPr>
          <w:szCs w:val="24"/>
          <w:lang w:eastAsia="lt-LT"/>
        </w:rPr>
        <w:t>“.</w:t>
      </w:r>
    </w:p>
    <w:p w:rsidR="006F4D6A" w:rsidRDefault="006F4D6A" w:rsidP="000F27B2">
      <w:pPr>
        <w:shd w:val="clear" w:color="auto" w:fill="FFFFFF"/>
        <w:ind w:firstLine="902"/>
        <w:jc w:val="both"/>
        <w:rPr>
          <w:szCs w:val="24"/>
        </w:rPr>
      </w:pPr>
      <w:r>
        <w:rPr>
          <w:color w:val="000000"/>
          <w:szCs w:val="24"/>
          <w:lang w:eastAsia="lt-LT"/>
        </w:rPr>
        <w:t xml:space="preserve">      3. </w:t>
      </w:r>
      <w:r w:rsidRPr="003E3BAA">
        <w:t>Pakeisti</w:t>
      </w:r>
      <w:r>
        <w:t xml:space="preserve"> </w:t>
      </w:r>
      <w:r>
        <w:rPr>
          <w:szCs w:val="24"/>
        </w:rPr>
        <w:t>Taisyklių 29 punktą ir 29.1, 29.2 papunkčius ir juos išdėstyti taip:</w:t>
      </w:r>
    </w:p>
    <w:p w:rsidR="006F4D6A" w:rsidRDefault="006F4D6A" w:rsidP="000F27B2">
      <w:pPr>
        <w:shd w:val="clear" w:color="auto" w:fill="FFFFFF"/>
        <w:ind w:firstLine="902"/>
        <w:jc w:val="both"/>
        <w:rPr>
          <w:spacing w:val="2"/>
          <w:szCs w:val="24"/>
        </w:rPr>
      </w:pPr>
      <w:r>
        <w:rPr>
          <w:color w:val="000000"/>
          <w:szCs w:val="24"/>
          <w:lang w:eastAsia="lt-LT"/>
        </w:rPr>
        <w:t xml:space="preserve">      3.1. „</w:t>
      </w:r>
      <w:r w:rsidRPr="00C8071A">
        <w:rPr>
          <w:spacing w:val="2"/>
          <w:szCs w:val="24"/>
        </w:rPr>
        <w:t xml:space="preserve">29. Saugomose teritorijose, esančiuose vandens telkiniuose  nuo </w:t>
      </w:r>
      <w:r w:rsidRPr="00AD6B84">
        <w:rPr>
          <w:spacing w:val="2"/>
          <w:szCs w:val="24"/>
        </w:rPr>
        <w:t>birželio 21 d</w:t>
      </w:r>
      <w:r w:rsidRPr="00600663">
        <w:rPr>
          <w:spacing w:val="2"/>
          <w:szCs w:val="24"/>
        </w:rPr>
        <w:t>.</w:t>
      </w:r>
      <w:r w:rsidRPr="00C8071A">
        <w:rPr>
          <w:spacing w:val="2"/>
          <w:szCs w:val="24"/>
        </w:rPr>
        <w:t xml:space="preserve"> iki navigacijos sezono pabaigos plaukioti savaeigėmis plaukiojimo priemonėmis draudžiama</w:t>
      </w:r>
      <w:r>
        <w:rPr>
          <w:spacing w:val="2"/>
          <w:szCs w:val="24"/>
        </w:rPr>
        <w:t xml:space="preserve">, </w:t>
      </w:r>
      <w:r w:rsidRPr="00AD6B84">
        <w:rPr>
          <w:spacing w:val="2"/>
          <w:szCs w:val="24"/>
        </w:rPr>
        <w:t>išskyrus</w:t>
      </w:r>
      <w:r w:rsidRPr="00C8071A">
        <w:rPr>
          <w:spacing w:val="2"/>
          <w:szCs w:val="24"/>
        </w:rPr>
        <w:t>:</w:t>
      </w:r>
      <w:r>
        <w:rPr>
          <w:spacing w:val="2"/>
          <w:szCs w:val="24"/>
        </w:rPr>
        <w:t>“.</w:t>
      </w:r>
    </w:p>
    <w:p w:rsidR="006F4D6A" w:rsidRDefault="006F4D6A" w:rsidP="000F27B2">
      <w:pPr>
        <w:shd w:val="clear" w:color="auto" w:fill="FFFFFF"/>
        <w:ind w:firstLine="902"/>
        <w:jc w:val="both"/>
        <w:rPr>
          <w:szCs w:val="24"/>
          <w:lang w:eastAsia="lt-LT"/>
        </w:rPr>
      </w:pPr>
      <w:r>
        <w:rPr>
          <w:spacing w:val="2"/>
          <w:szCs w:val="24"/>
        </w:rPr>
        <w:t xml:space="preserve">       3.2. „</w:t>
      </w:r>
      <w:r w:rsidRPr="00AF3F2D">
        <w:rPr>
          <w:szCs w:val="24"/>
          <w:lang w:eastAsia="lt-LT"/>
        </w:rPr>
        <w:t xml:space="preserve">29.1. kai bendras variklių galingumas neviršija </w:t>
      </w:r>
      <w:r w:rsidRPr="00AF3F2D">
        <w:rPr>
          <w:color w:val="000000"/>
          <w:szCs w:val="24"/>
          <w:lang w:eastAsia="lt-LT"/>
        </w:rPr>
        <w:t>10 AG (8 kW),</w:t>
      </w:r>
      <w:r w:rsidRPr="00AF3F2D">
        <w:rPr>
          <w:szCs w:val="24"/>
          <w:lang w:eastAsia="lt-LT"/>
        </w:rPr>
        <w:t xml:space="preserve"> galima plaukioti nuo birželio 21 d. iki navigacijos sezono pabaigos. Šias plaukiojimo priemones</w:t>
      </w:r>
      <w:r w:rsidRPr="00500481">
        <w:rPr>
          <w:b/>
          <w:szCs w:val="24"/>
          <w:lang w:eastAsia="lt-LT"/>
        </w:rPr>
        <w:t xml:space="preserve"> </w:t>
      </w:r>
      <w:r w:rsidRPr="00AF3F2D">
        <w:rPr>
          <w:szCs w:val="24"/>
          <w:lang w:eastAsia="lt-LT"/>
        </w:rPr>
        <w:t>švartuoti galima įrengtose prieplaukose, prie lieptų, vandens turistų įlipimo</w:t>
      </w:r>
      <w:r w:rsidRPr="00AF3F2D">
        <w:rPr>
          <w:color w:val="000000"/>
          <w:szCs w:val="24"/>
          <w:lang w:eastAsia="lt-LT"/>
        </w:rPr>
        <w:t xml:space="preserve"> ir </w:t>
      </w:r>
      <w:r w:rsidRPr="00AF3F2D">
        <w:rPr>
          <w:szCs w:val="24"/>
          <w:lang w:eastAsia="lt-LT"/>
        </w:rPr>
        <w:t>išlipimo vietose;</w:t>
      </w:r>
      <w:r>
        <w:rPr>
          <w:szCs w:val="24"/>
          <w:lang w:eastAsia="lt-LT"/>
        </w:rPr>
        <w:t>“.</w:t>
      </w:r>
    </w:p>
    <w:p w:rsidR="006F4D6A" w:rsidRDefault="006F4D6A" w:rsidP="000F27B2">
      <w:pPr>
        <w:shd w:val="clear" w:color="auto" w:fill="FFFFFF"/>
        <w:ind w:firstLine="902"/>
        <w:jc w:val="both"/>
        <w:rPr>
          <w:szCs w:val="24"/>
          <w:lang w:eastAsia="lt-LT"/>
        </w:rPr>
      </w:pPr>
      <w:r>
        <w:rPr>
          <w:szCs w:val="24"/>
          <w:lang w:eastAsia="lt-LT"/>
        </w:rPr>
        <w:t xml:space="preserve">         3.3. „</w:t>
      </w:r>
      <w:r w:rsidRPr="00AF3F2D">
        <w:rPr>
          <w:szCs w:val="24"/>
          <w:lang w:eastAsia="lt-LT"/>
        </w:rPr>
        <w:t>29.2. kai bendras variklių galingumas neviršija 150 AG (110 kW), galima plaukioti visą navigacijos sezoną teikiant viešąsias paslaugas tik pažintinio vandens turizmo trasomis, nustatytomis valstybinių parkų, valstybinių draustinių ir (ar) jų dalių tvarkymo planuose, kituose teritorijų planavimo dokumentuose. Šias plaukiojimo priemones švartuoti galima tik įrengtose prieplaukose, prie lieptų ir vandens turistų įlipimo ir išlipimo vietose. Prieplaukos, turistų įlipimo ir išlipimo, trasų informacinių ženklų statymo vietos, plaukiojimo laikas, plaukiojimo atstumai nuo kranto, kiti plaukiojimo apribojimai – nustatomi pagal išvardintų teritorijų planavimo dokumentų nuostatas parengtose pažintinio vandens turizmo schemose, suderintose su savivaldybės administracija ir saugomos teritorijos direkcija;</w:t>
      </w:r>
      <w:r>
        <w:rPr>
          <w:szCs w:val="24"/>
          <w:lang w:eastAsia="lt-LT"/>
        </w:rPr>
        <w:t>“.</w:t>
      </w:r>
    </w:p>
    <w:p w:rsidR="006F4D6A" w:rsidRPr="00AF3F2D" w:rsidRDefault="006F4D6A" w:rsidP="000F27B2">
      <w:pPr>
        <w:shd w:val="clear" w:color="auto" w:fill="FFFFFF"/>
        <w:ind w:firstLine="902"/>
        <w:jc w:val="both"/>
        <w:rPr>
          <w:strike/>
          <w:spacing w:val="2"/>
          <w:szCs w:val="24"/>
        </w:rPr>
      </w:pPr>
      <w:r w:rsidRPr="00AF3F2D">
        <w:rPr>
          <w:spacing w:val="2"/>
          <w:szCs w:val="24"/>
        </w:rPr>
        <w:t xml:space="preserve">         4.</w:t>
      </w:r>
      <w:r>
        <w:rPr>
          <w:spacing w:val="2"/>
          <w:szCs w:val="24"/>
        </w:rPr>
        <w:t xml:space="preserve"> </w:t>
      </w:r>
      <w:r w:rsidRPr="0062616F">
        <w:t xml:space="preserve">Papildyti </w:t>
      </w:r>
      <w:r>
        <w:rPr>
          <w:szCs w:val="24"/>
        </w:rPr>
        <w:t>Taisykles 29.3 papunkčiu ir jį išdėstyti taip:</w:t>
      </w:r>
    </w:p>
    <w:p w:rsidR="006F4D6A" w:rsidRPr="000F27B2" w:rsidRDefault="006F4D6A" w:rsidP="000F27B2">
      <w:pPr>
        <w:shd w:val="clear" w:color="auto" w:fill="FFFFFF"/>
        <w:ind w:firstLine="902"/>
        <w:jc w:val="both"/>
        <w:rPr>
          <w:strike/>
          <w:szCs w:val="24"/>
        </w:rPr>
      </w:pPr>
      <w:r>
        <w:rPr>
          <w:b/>
        </w:rPr>
        <w:t xml:space="preserve">         </w:t>
      </w:r>
      <w:r w:rsidRPr="000F27B2">
        <w:t>„29.3. kai vykdomos sporto pratybos, sporto renginiai.</w:t>
      </w:r>
      <w:r>
        <w:t>“.</w:t>
      </w:r>
    </w:p>
    <w:p w:rsidR="006F4D6A" w:rsidRPr="000F27B2" w:rsidRDefault="006F4D6A" w:rsidP="000F27B2">
      <w:pPr>
        <w:ind w:firstLine="1260"/>
      </w:pPr>
      <w:r>
        <w:rPr>
          <w:spacing w:val="2"/>
          <w:szCs w:val="24"/>
        </w:rPr>
        <w:t xml:space="preserve">   </w:t>
      </w:r>
      <w:r w:rsidRPr="000F27B2">
        <w:t>5.</w:t>
      </w:r>
      <w:r>
        <w:t xml:space="preserve"> </w:t>
      </w:r>
      <w:r w:rsidRPr="000F27B2">
        <w:t>Sprendimą paskelbti Teisės aktų registre ir Pagėgių savivaldybės interneto svetainėje www.pagegiai.lt.</w:t>
      </w:r>
    </w:p>
    <w:p w:rsidR="006F4D6A" w:rsidRPr="0059365B" w:rsidRDefault="006F4D6A" w:rsidP="000F27B2">
      <w:pPr>
        <w:ind w:firstLine="1260"/>
        <w:jc w:val="both"/>
      </w:pPr>
      <w:r>
        <w:t xml:space="preserve">   </w:t>
      </w:r>
      <w:r w:rsidRPr="0059365B">
        <w:t>Šis sprendimas gali būti skundžiamas Lietuvos Respublikos administracinių bylų teisenos įstatymo nustatyta tvarka.</w:t>
      </w:r>
    </w:p>
    <w:p w:rsidR="006F4D6A" w:rsidRPr="0059365B" w:rsidRDefault="006F4D6A" w:rsidP="000F27B2">
      <w:pPr>
        <w:jc w:val="both"/>
      </w:pPr>
    </w:p>
    <w:p w:rsidR="006F4D6A" w:rsidRDefault="006F4D6A" w:rsidP="000F27B2">
      <w:pPr>
        <w:spacing w:line="360" w:lineRule="auto"/>
        <w:jc w:val="both"/>
      </w:pPr>
    </w:p>
    <w:p w:rsidR="006F4D6A" w:rsidRDefault="006F4D6A" w:rsidP="000F27B2">
      <w:pPr>
        <w:spacing w:line="360" w:lineRule="auto"/>
        <w:jc w:val="both"/>
      </w:pPr>
    </w:p>
    <w:p w:rsidR="006F4D6A" w:rsidRDefault="006F4D6A" w:rsidP="000F27B2">
      <w:pPr>
        <w:spacing w:line="360" w:lineRule="auto"/>
        <w:jc w:val="both"/>
      </w:pPr>
    </w:p>
    <w:p w:rsidR="006F4D6A" w:rsidRDefault="006F4D6A" w:rsidP="000F27B2">
      <w:pPr>
        <w:spacing w:line="360" w:lineRule="auto"/>
      </w:pPr>
      <w:r>
        <w:t xml:space="preserve">Savivaldybės meras </w:t>
      </w:r>
      <w:r>
        <w:tab/>
      </w:r>
      <w:r>
        <w:tab/>
      </w:r>
      <w:r>
        <w:tab/>
      </w:r>
      <w:r>
        <w:tab/>
        <w:t>Virginijus Komskis</w:t>
      </w:r>
    </w:p>
    <w:p w:rsidR="006F4D6A" w:rsidRDefault="006F4D6A" w:rsidP="000F27B2">
      <w:pPr>
        <w:spacing w:line="360" w:lineRule="auto"/>
      </w:pPr>
    </w:p>
    <w:p w:rsidR="006F4D6A" w:rsidRDefault="006F4D6A" w:rsidP="009919A6">
      <w:pPr>
        <w:ind w:left="1080"/>
      </w:pPr>
    </w:p>
    <w:p w:rsidR="006F4D6A" w:rsidRPr="006738DE" w:rsidRDefault="006F4D6A" w:rsidP="006738DE"/>
    <w:p w:rsidR="006F4D6A" w:rsidRPr="006738DE" w:rsidRDefault="006F4D6A" w:rsidP="006738DE"/>
    <w:p w:rsidR="006F4D6A" w:rsidRPr="006738DE" w:rsidRDefault="006F4D6A" w:rsidP="006738DE"/>
    <w:p w:rsidR="006F4D6A" w:rsidRDefault="006F4D6A" w:rsidP="006738DE"/>
    <w:p w:rsidR="006F4D6A" w:rsidRDefault="006F4D6A" w:rsidP="006738DE"/>
    <w:p w:rsidR="006F4D6A" w:rsidRDefault="006F4D6A" w:rsidP="006738DE">
      <w:pPr>
        <w:tabs>
          <w:tab w:val="left" w:pos="1965"/>
        </w:tabs>
      </w:pPr>
      <w:r>
        <w:tab/>
      </w:r>
    </w:p>
    <w:sectPr w:rsidR="006F4D6A" w:rsidSect="00606DE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CA3"/>
    <w:multiLevelType w:val="hybridMultilevel"/>
    <w:tmpl w:val="D61A542A"/>
    <w:lvl w:ilvl="0" w:tplc="678495EA">
      <w:start w:val="1"/>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
    <w:nsid w:val="0AC442B8"/>
    <w:multiLevelType w:val="hybridMultilevel"/>
    <w:tmpl w:val="8C482C82"/>
    <w:lvl w:ilvl="0" w:tplc="CF8226B6">
      <w:start w:val="1"/>
      <w:numFmt w:val="decimal"/>
      <w:lvlText w:val="%1."/>
      <w:lvlJc w:val="left"/>
      <w:pPr>
        <w:tabs>
          <w:tab w:val="num" w:pos="1620"/>
        </w:tabs>
        <w:ind w:left="1620" w:hanging="360"/>
      </w:pPr>
      <w:rPr>
        <w:rFonts w:cs="Times New Roman"/>
        <w:sz w:val="24"/>
        <w:szCs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18CB56C3"/>
    <w:multiLevelType w:val="multilevel"/>
    <w:tmpl w:val="65F8427E"/>
    <w:lvl w:ilvl="0">
      <w:start w:val="1"/>
      <w:numFmt w:val="decimal"/>
      <w:lvlText w:val="%1."/>
      <w:lvlJc w:val="left"/>
      <w:pPr>
        <w:tabs>
          <w:tab w:val="num" w:pos="1725"/>
        </w:tabs>
        <w:ind w:left="1725" w:hanging="1725"/>
      </w:pPr>
      <w:rPr>
        <w:rFonts w:cs="Times New Roman" w:hint="default"/>
      </w:rPr>
    </w:lvl>
    <w:lvl w:ilvl="1">
      <w:start w:val="1"/>
      <w:numFmt w:val="decimal"/>
      <w:lvlText w:val="%1.%2."/>
      <w:lvlJc w:val="left"/>
      <w:pPr>
        <w:tabs>
          <w:tab w:val="num" w:pos="2985"/>
        </w:tabs>
        <w:ind w:left="2985" w:hanging="1725"/>
      </w:pPr>
      <w:rPr>
        <w:rFonts w:cs="Times New Roman" w:hint="default"/>
      </w:rPr>
    </w:lvl>
    <w:lvl w:ilvl="2">
      <w:start w:val="1"/>
      <w:numFmt w:val="decimal"/>
      <w:lvlText w:val="%1.%2.%3."/>
      <w:lvlJc w:val="left"/>
      <w:pPr>
        <w:tabs>
          <w:tab w:val="num" w:pos="4245"/>
        </w:tabs>
        <w:ind w:left="4245" w:hanging="1725"/>
      </w:pPr>
      <w:rPr>
        <w:rFonts w:cs="Times New Roman" w:hint="default"/>
      </w:rPr>
    </w:lvl>
    <w:lvl w:ilvl="3">
      <w:start w:val="1"/>
      <w:numFmt w:val="decimal"/>
      <w:lvlText w:val="%1.%2.%3.%4."/>
      <w:lvlJc w:val="left"/>
      <w:pPr>
        <w:tabs>
          <w:tab w:val="num" w:pos="5505"/>
        </w:tabs>
        <w:ind w:left="5505" w:hanging="1725"/>
      </w:pPr>
      <w:rPr>
        <w:rFonts w:cs="Times New Roman" w:hint="default"/>
      </w:rPr>
    </w:lvl>
    <w:lvl w:ilvl="4">
      <w:start w:val="1"/>
      <w:numFmt w:val="decimal"/>
      <w:lvlText w:val="%1.%2.%3.%4.%5."/>
      <w:lvlJc w:val="left"/>
      <w:pPr>
        <w:tabs>
          <w:tab w:val="num" w:pos="6765"/>
        </w:tabs>
        <w:ind w:left="6765" w:hanging="1725"/>
      </w:pPr>
      <w:rPr>
        <w:rFonts w:cs="Times New Roman" w:hint="default"/>
      </w:rPr>
    </w:lvl>
    <w:lvl w:ilvl="5">
      <w:start w:val="1"/>
      <w:numFmt w:val="decimal"/>
      <w:lvlText w:val="%1.%2.%3.%4.%5.%6."/>
      <w:lvlJc w:val="left"/>
      <w:pPr>
        <w:tabs>
          <w:tab w:val="num" w:pos="8025"/>
        </w:tabs>
        <w:ind w:left="8025" w:hanging="1725"/>
      </w:pPr>
      <w:rPr>
        <w:rFonts w:cs="Times New Roman" w:hint="default"/>
      </w:rPr>
    </w:lvl>
    <w:lvl w:ilvl="6">
      <w:start w:val="1"/>
      <w:numFmt w:val="decimal"/>
      <w:lvlText w:val="%1.%2.%3.%4.%5.%6.%7."/>
      <w:lvlJc w:val="left"/>
      <w:pPr>
        <w:tabs>
          <w:tab w:val="num" w:pos="9285"/>
        </w:tabs>
        <w:ind w:left="9285" w:hanging="1725"/>
      </w:pPr>
      <w:rPr>
        <w:rFonts w:cs="Times New Roman" w:hint="default"/>
      </w:rPr>
    </w:lvl>
    <w:lvl w:ilvl="7">
      <w:start w:val="1"/>
      <w:numFmt w:val="decimal"/>
      <w:lvlText w:val="%1.%2.%3.%4.%5.%6.%7.%8."/>
      <w:lvlJc w:val="left"/>
      <w:pPr>
        <w:tabs>
          <w:tab w:val="num" w:pos="10545"/>
        </w:tabs>
        <w:ind w:left="10545" w:hanging="1725"/>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3">
    <w:nsid w:val="22FF5486"/>
    <w:multiLevelType w:val="hybridMultilevel"/>
    <w:tmpl w:val="A0707BFE"/>
    <w:lvl w:ilvl="0" w:tplc="4A8AF22E">
      <w:start w:val="1"/>
      <w:numFmt w:val="decimal"/>
      <w:lvlText w:val="%1."/>
      <w:lvlJc w:val="left"/>
      <w:pPr>
        <w:ind w:left="1080" w:hanging="360"/>
      </w:pPr>
      <w:rPr>
        <w:rFonts w:cs="Times New Roman"/>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5EB34544"/>
    <w:multiLevelType w:val="hybridMultilevel"/>
    <w:tmpl w:val="F0EA02CE"/>
    <w:lvl w:ilvl="0" w:tplc="CF8226B6">
      <w:start w:val="1"/>
      <w:numFmt w:val="decimal"/>
      <w:lvlText w:val="%1."/>
      <w:lvlJc w:val="left"/>
      <w:pPr>
        <w:tabs>
          <w:tab w:val="num" w:pos="1620"/>
        </w:tabs>
        <w:ind w:left="1620" w:hanging="360"/>
      </w:pPr>
      <w:rPr>
        <w:rFonts w:cs="Times New Roman"/>
        <w:sz w:val="24"/>
        <w:szCs w:val="24"/>
      </w:rPr>
    </w:lvl>
    <w:lvl w:ilvl="1" w:tplc="04270019">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4F4"/>
    <w:rsid w:val="00023CE6"/>
    <w:rsid w:val="000425A2"/>
    <w:rsid w:val="00056BCA"/>
    <w:rsid w:val="000A108C"/>
    <w:rsid w:val="000B1E82"/>
    <w:rsid w:val="000C5664"/>
    <w:rsid w:val="000E509E"/>
    <w:rsid w:val="000F27B2"/>
    <w:rsid w:val="00112761"/>
    <w:rsid w:val="00123DFE"/>
    <w:rsid w:val="00182979"/>
    <w:rsid w:val="001B6855"/>
    <w:rsid w:val="00256F03"/>
    <w:rsid w:val="0027055A"/>
    <w:rsid w:val="00285B9E"/>
    <w:rsid w:val="00297D9F"/>
    <w:rsid w:val="002B3B38"/>
    <w:rsid w:val="00361CA8"/>
    <w:rsid w:val="00384075"/>
    <w:rsid w:val="003953E3"/>
    <w:rsid w:val="003A6438"/>
    <w:rsid w:val="003C59A9"/>
    <w:rsid w:val="003D66C0"/>
    <w:rsid w:val="003E0F18"/>
    <w:rsid w:val="003E3BAA"/>
    <w:rsid w:val="004279BF"/>
    <w:rsid w:val="004B0BF9"/>
    <w:rsid w:val="004B50F9"/>
    <w:rsid w:val="00500481"/>
    <w:rsid w:val="00531FB8"/>
    <w:rsid w:val="005743CA"/>
    <w:rsid w:val="005828E3"/>
    <w:rsid w:val="005933D1"/>
    <w:rsid w:val="0059365B"/>
    <w:rsid w:val="00600663"/>
    <w:rsid w:val="00606DE2"/>
    <w:rsid w:val="00614E8E"/>
    <w:rsid w:val="0062616F"/>
    <w:rsid w:val="00633EA9"/>
    <w:rsid w:val="006347D1"/>
    <w:rsid w:val="0064224F"/>
    <w:rsid w:val="0066284C"/>
    <w:rsid w:val="00671198"/>
    <w:rsid w:val="006738DE"/>
    <w:rsid w:val="00683F48"/>
    <w:rsid w:val="006B48B5"/>
    <w:rsid w:val="006F4D6A"/>
    <w:rsid w:val="006F7506"/>
    <w:rsid w:val="00714C2B"/>
    <w:rsid w:val="00742E65"/>
    <w:rsid w:val="007443A1"/>
    <w:rsid w:val="00747610"/>
    <w:rsid w:val="00754FD2"/>
    <w:rsid w:val="00787EE5"/>
    <w:rsid w:val="008334F4"/>
    <w:rsid w:val="00856DEB"/>
    <w:rsid w:val="00870571"/>
    <w:rsid w:val="008877C3"/>
    <w:rsid w:val="00893100"/>
    <w:rsid w:val="009334CB"/>
    <w:rsid w:val="00943A8F"/>
    <w:rsid w:val="009919A6"/>
    <w:rsid w:val="00A0767A"/>
    <w:rsid w:val="00A51998"/>
    <w:rsid w:val="00AB77B0"/>
    <w:rsid w:val="00AC2A63"/>
    <w:rsid w:val="00AD6B84"/>
    <w:rsid w:val="00AF319A"/>
    <w:rsid w:val="00AF3F2D"/>
    <w:rsid w:val="00B230A4"/>
    <w:rsid w:val="00B47BC7"/>
    <w:rsid w:val="00B55443"/>
    <w:rsid w:val="00BA7F05"/>
    <w:rsid w:val="00BF1901"/>
    <w:rsid w:val="00C04C11"/>
    <w:rsid w:val="00C27593"/>
    <w:rsid w:val="00C8071A"/>
    <w:rsid w:val="00D25253"/>
    <w:rsid w:val="00D461FE"/>
    <w:rsid w:val="00D76F88"/>
    <w:rsid w:val="00E05C62"/>
    <w:rsid w:val="00E42ED2"/>
    <w:rsid w:val="00E45649"/>
    <w:rsid w:val="00E71F3E"/>
    <w:rsid w:val="00E809F4"/>
    <w:rsid w:val="00E875F7"/>
    <w:rsid w:val="00F060BD"/>
    <w:rsid w:val="00F33D05"/>
    <w:rsid w:val="00F7352A"/>
    <w:rsid w:val="00FB6EA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F4"/>
    <w:rPr>
      <w:sz w:val="24"/>
      <w:szCs w:val="20"/>
      <w:lang w:eastAsia="en-US"/>
    </w:rPr>
  </w:style>
  <w:style w:type="paragraph" w:styleId="Heading2">
    <w:name w:val="heading 2"/>
    <w:basedOn w:val="Normal"/>
    <w:next w:val="Normal"/>
    <w:link w:val="Heading2Char"/>
    <w:uiPriority w:val="99"/>
    <w:qFormat/>
    <w:rsid w:val="008334F4"/>
    <w:pPr>
      <w:keepNext/>
      <w:spacing w:before="240" w:after="60"/>
      <w:outlineLvl w:val="1"/>
    </w:pPr>
    <w:rPr>
      <w:rFonts w:ascii="Arial" w:hAnsi="Arial" w:cs="Arial"/>
      <w:b/>
      <w:bCs/>
      <w:i/>
      <w:iCs/>
      <w:sz w:val="28"/>
      <w:szCs w:val="28"/>
      <w:lang w:eastAsia="lt-LT"/>
    </w:rPr>
  </w:style>
  <w:style w:type="paragraph" w:styleId="Heading3">
    <w:name w:val="heading 3"/>
    <w:basedOn w:val="Normal"/>
    <w:next w:val="Normal"/>
    <w:link w:val="Heading3Char"/>
    <w:uiPriority w:val="99"/>
    <w:qFormat/>
    <w:rsid w:val="008334F4"/>
    <w:pPr>
      <w:keepNext/>
      <w:spacing w:before="240" w:after="60"/>
      <w:outlineLvl w:val="2"/>
    </w:pPr>
    <w:rPr>
      <w:rFonts w:ascii="Arial" w:hAnsi="Arial" w:cs="Arial"/>
      <w:b/>
      <w:bCs/>
      <w:sz w:val="26"/>
      <w:szCs w:val="2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743C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743CA"/>
    <w:rPr>
      <w:rFonts w:ascii="Cambria" w:hAnsi="Cambria" w:cs="Times New Roman"/>
      <w:b/>
      <w:bCs/>
      <w:sz w:val="26"/>
      <w:szCs w:val="26"/>
      <w:lang w:eastAsia="en-US"/>
    </w:rPr>
  </w:style>
  <w:style w:type="paragraph" w:styleId="BodyText">
    <w:name w:val="Body Text"/>
    <w:basedOn w:val="Normal"/>
    <w:link w:val="BodyTextChar"/>
    <w:uiPriority w:val="99"/>
    <w:rsid w:val="008334F4"/>
    <w:pPr>
      <w:spacing w:after="120"/>
    </w:pPr>
    <w:rPr>
      <w:szCs w:val="24"/>
      <w:lang w:eastAsia="lt-LT"/>
    </w:rPr>
  </w:style>
  <w:style w:type="character" w:customStyle="1" w:styleId="BodyTextChar">
    <w:name w:val="Body Text Char"/>
    <w:basedOn w:val="DefaultParagraphFont"/>
    <w:link w:val="BodyText"/>
    <w:uiPriority w:val="99"/>
    <w:semiHidden/>
    <w:locked/>
    <w:rsid w:val="005743CA"/>
    <w:rPr>
      <w:rFonts w:cs="Times New Roman"/>
      <w:sz w:val="20"/>
      <w:szCs w:val="20"/>
      <w:lang w:eastAsia="en-US"/>
    </w:rPr>
  </w:style>
  <w:style w:type="character" w:styleId="Hyperlink">
    <w:name w:val="Hyperlink"/>
    <w:basedOn w:val="DefaultParagraphFont"/>
    <w:uiPriority w:val="99"/>
    <w:rsid w:val="008334F4"/>
    <w:rPr>
      <w:rFonts w:cs="Times New Roman"/>
      <w:color w:val="0000FF"/>
      <w:u w:val="single"/>
    </w:rPr>
  </w:style>
  <w:style w:type="paragraph" w:styleId="BodyTextIndent2">
    <w:name w:val="Body Text Indent 2"/>
    <w:basedOn w:val="Normal"/>
    <w:link w:val="BodyTextIndent2Char"/>
    <w:uiPriority w:val="99"/>
    <w:rsid w:val="008334F4"/>
    <w:pPr>
      <w:spacing w:after="120" w:line="480" w:lineRule="auto"/>
      <w:ind w:left="283"/>
    </w:pPr>
    <w:rPr>
      <w:sz w:val="20"/>
      <w:lang w:eastAsia="lt-LT"/>
    </w:rPr>
  </w:style>
  <w:style w:type="character" w:customStyle="1" w:styleId="BodyTextIndent2Char">
    <w:name w:val="Body Text Indent 2 Char"/>
    <w:basedOn w:val="DefaultParagraphFont"/>
    <w:link w:val="BodyTextIndent2"/>
    <w:uiPriority w:val="99"/>
    <w:semiHidden/>
    <w:locked/>
    <w:rsid w:val="005743CA"/>
    <w:rPr>
      <w:rFonts w:cs="Times New Roman"/>
      <w:sz w:val="20"/>
      <w:szCs w:val="20"/>
      <w:lang w:eastAsia="en-US"/>
    </w:rPr>
  </w:style>
  <w:style w:type="paragraph" w:styleId="NormalWeb">
    <w:name w:val="Normal (Web)"/>
    <w:basedOn w:val="Normal"/>
    <w:uiPriority w:val="99"/>
    <w:rsid w:val="008334F4"/>
    <w:pPr>
      <w:spacing w:before="100" w:beforeAutospacing="1" w:after="100" w:afterAutospacing="1"/>
    </w:pPr>
    <w:rPr>
      <w:rFonts w:ascii="Tahoma" w:hAnsi="Tahoma" w:cs="Tahoma"/>
      <w:color w:val="333333"/>
      <w:sz w:val="14"/>
      <w:szCs w:val="14"/>
      <w:lang w:eastAsia="lt-LT"/>
    </w:rPr>
  </w:style>
  <w:style w:type="paragraph" w:customStyle="1" w:styleId="Char1CharChar">
    <w:name w:val="Char1 Char Char"/>
    <w:basedOn w:val="Normal"/>
    <w:uiPriority w:val="99"/>
    <w:rsid w:val="008334F4"/>
    <w:pPr>
      <w:spacing w:after="160" w:line="240" w:lineRule="exact"/>
    </w:pPr>
    <w:rPr>
      <w:rFonts w:ascii="Verdana" w:hAnsi="Verdana" w:cs="Verdana"/>
      <w:sz w:val="20"/>
      <w:lang w:val="en-US" w:eastAsia="lt-LT"/>
    </w:rPr>
  </w:style>
</w:styles>
</file>

<file path=word/webSettings.xml><?xml version="1.0" encoding="utf-8"?>
<w:webSettings xmlns:r="http://schemas.openxmlformats.org/officeDocument/2006/relationships" xmlns:w="http://schemas.openxmlformats.org/wordprocessingml/2006/main">
  <w:divs>
    <w:div w:id="1318148075">
      <w:marLeft w:val="0"/>
      <w:marRight w:val="0"/>
      <w:marTop w:val="0"/>
      <w:marBottom w:val="0"/>
      <w:divBdr>
        <w:top w:val="none" w:sz="0" w:space="0" w:color="auto"/>
        <w:left w:val="none" w:sz="0" w:space="0" w:color="auto"/>
        <w:bottom w:val="none" w:sz="0" w:space="0" w:color="auto"/>
        <w:right w:val="none" w:sz="0" w:space="0" w:color="auto"/>
      </w:divBdr>
      <w:divsChild>
        <w:div w:id="1318148070">
          <w:marLeft w:val="0"/>
          <w:marRight w:val="0"/>
          <w:marTop w:val="0"/>
          <w:marBottom w:val="0"/>
          <w:divBdr>
            <w:top w:val="none" w:sz="0" w:space="0" w:color="auto"/>
            <w:left w:val="none" w:sz="0" w:space="0" w:color="auto"/>
            <w:bottom w:val="none" w:sz="0" w:space="0" w:color="auto"/>
            <w:right w:val="none" w:sz="0" w:space="0" w:color="auto"/>
          </w:divBdr>
        </w:div>
        <w:div w:id="1318148071">
          <w:marLeft w:val="0"/>
          <w:marRight w:val="0"/>
          <w:marTop w:val="0"/>
          <w:marBottom w:val="0"/>
          <w:divBdr>
            <w:top w:val="none" w:sz="0" w:space="0" w:color="auto"/>
            <w:left w:val="none" w:sz="0" w:space="0" w:color="auto"/>
            <w:bottom w:val="none" w:sz="0" w:space="0" w:color="auto"/>
            <w:right w:val="none" w:sz="0" w:space="0" w:color="auto"/>
          </w:divBdr>
        </w:div>
        <w:div w:id="1318148073">
          <w:marLeft w:val="0"/>
          <w:marRight w:val="0"/>
          <w:marTop w:val="0"/>
          <w:marBottom w:val="0"/>
          <w:divBdr>
            <w:top w:val="none" w:sz="0" w:space="0" w:color="auto"/>
            <w:left w:val="none" w:sz="0" w:space="0" w:color="auto"/>
            <w:bottom w:val="none" w:sz="0" w:space="0" w:color="auto"/>
            <w:right w:val="none" w:sz="0" w:space="0" w:color="auto"/>
          </w:divBdr>
          <w:divsChild>
            <w:div w:id="1318148067">
              <w:marLeft w:val="0"/>
              <w:marRight w:val="0"/>
              <w:marTop w:val="0"/>
              <w:marBottom w:val="0"/>
              <w:divBdr>
                <w:top w:val="none" w:sz="0" w:space="0" w:color="auto"/>
                <w:left w:val="none" w:sz="0" w:space="0" w:color="auto"/>
                <w:bottom w:val="none" w:sz="0" w:space="0" w:color="auto"/>
                <w:right w:val="none" w:sz="0" w:space="0" w:color="auto"/>
              </w:divBdr>
            </w:div>
            <w:div w:id="1318148068">
              <w:marLeft w:val="0"/>
              <w:marRight w:val="0"/>
              <w:marTop w:val="0"/>
              <w:marBottom w:val="0"/>
              <w:divBdr>
                <w:top w:val="none" w:sz="0" w:space="0" w:color="auto"/>
                <w:left w:val="none" w:sz="0" w:space="0" w:color="auto"/>
                <w:bottom w:val="none" w:sz="0" w:space="0" w:color="auto"/>
                <w:right w:val="none" w:sz="0" w:space="0" w:color="auto"/>
              </w:divBdr>
            </w:div>
          </w:divsChild>
        </w:div>
        <w:div w:id="1318148080">
          <w:marLeft w:val="0"/>
          <w:marRight w:val="0"/>
          <w:marTop w:val="0"/>
          <w:marBottom w:val="0"/>
          <w:divBdr>
            <w:top w:val="none" w:sz="0" w:space="0" w:color="auto"/>
            <w:left w:val="none" w:sz="0" w:space="0" w:color="auto"/>
            <w:bottom w:val="none" w:sz="0" w:space="0" w:color="auto"/>
            <w:right w:val="none" w:sz="0" w:space="0" w:color="auto"/>
          </w:divBdr>
          <w:divsChild>
            <w:div w:id="1318148069">
              <w:marLeft w:val="0"/>
              <w:marRight w:val="0"/>
              <w:marTop w:val="0"/>
              <w:marBottom w:val="0"/>
              <w:divBdr>
                <w:top w:val="none" w:sz="0" w:space="0" w:color="auto"/>
                <w:left w:val="none" w:sz="0" w:space="0" w:color="auto"/>
                <w:bottom w:val="none" w:sz="0" w:space="0" w:color="auto"/>
                <w:right w:val="none" w:sz="0" w:space="0" w:color="auto"/>
              </w:divBdr>
            </w:div>
            <w:div w:id="13181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8077">
      <w:marLeft w:val="0"/>
      <w:marRight w:val="0"/>
      <w:marTop w:val="0"/>
      <w:marBottom w:val="0"/>
      <w:divBdr>
        <w:top w:val="none" w:sz="0" w:space="0" w:color="auto"/>
        <w:left w:val="none" w:sz="0" w:space="0" w:color="auto"/>
        <w:bottom w:val="none" w:sz="0" w:space="0" w:color="auto"/>
        <w:right w:val="none" w:sz="0" w:space="0" w:color="auto"/>
      </w:divBdr>
      <w:divsChild>
        <w:div w:id="1318148072">
          <w:marLeft w:val="0"/>
          <w:marRight w:val="0"/>
          <w:marTop w:val="0"/>
          <w:marBottom w:val="0"/>
          <w:divBdr>
            <w:top w:val="none" w:sz="0" w:space="0" w:color="auto"/>
            <w:left w:val="none" w:sz="0" w:space="0" w:color="auto"/>
            <w:bottom w:val="none" w:sz="0" w:space="0" w:color="auto"/>
            <w:right w:val="none" w:sz="0" w:space="0" w:color="auto"/>
          </w:divBdr>
        </w:div>
        <w:div w:id="1318148076">
          <w:marLeft w:val="0"/>
          <w:marRight w:val="0"/>
          <w:marTop w:val="0"/>
          <w:marBottom w:val="0"/>
          <w:divBdr>
            <w:top w:val="none" w:sz="0" w:space="0" w:color="auto"/>
            <w:left w:val="none" w:sz="0" w:space="0" w:color="auto"/>
            <w:bottom w:val="none" w:sz="0" w:space="0" w:color="auto"/>
            <w:right w:val="none" w:sz="0" w:space="0" w:color="auto"/>
          </w:divBdr>
        </w:div>
      </w:divsChild>
    </w:div>
    <w:div w:id="1318148078">
      <w:marLeft w:val="0"/>
      <w:marRight w:val="0"/>
      <w:marTop w:val="0"/>
      <w:marBottom w:val="0"/>
      <w:divBdr>
        <w:top w:val="none" w:sz="0" w:space="0" w:color="auto"/>
        <w:left w:val="none" w:sz="0" w:space="0" w:color="auto"/>
        <w:bottom w:val="none" w:sz="0" w:space="0" w:color="auto"/>
        <w:right w:val="none" w:sz="0" w:space="0" w:color="auto"/>
      </w:divBdr>
    </w:div>
    <w:div w:id="1318148079">
      <w:marLeft w:val="0"/>
      <w:marRight w:val="0"/>
      <w:marTop w:val="0"/>
      <w:marBottom w:val="0"/>
      <w:divBdr>
        <w:top w:val="none" w:sz="0" w:space="0" w:color="auto"/>
        <w:left w:val="none" w:sz="0" w:space="0" w:color="auto"/>
        <w:bottom w:val="none" w:sz="0" w:space="0" w:color="auto"/>
        <w:right w:val="none" w:sz="0" w:space="0" w:color="auto"/>
      </w:divBdr>
    </w:div>
    <w:div w:id="1318148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2772</Words>
  <Characters>1581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dgyd</dc:creator>
  <cp:keywords/>
  <dc:description/>
  <cp:lastModifiedBy>Comp</cp:lastModifiedBy>
  <cp:revision>4</cp:revision>
  <cp:lastPrinted>2018-04-13T06:06:00Z</cp:lastPrinted>
  <dcterms:created xsi:type="dcterms:W3CDTF">2018-04-16T07:00:00Z</dcterms:created>
  <dcterms:modified xsi:type="dcterms:W3CDTF">2018-04-26T07:49:00Z</dcterms:modified>
</cp:coreProperties>
</file>