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23" w:rsidRPr="00011556" w:rsidRDefault="00E60C23" w:rsidP="00E60C2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bookmarkEnd w:id="0"/>
    <w:p w:rsidR="00E60C23" w:rsidRPr="00011556" w:rsidRDefault="00E60C23" w:rsidP="00E60C2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E60C23" w:rsidRDefault="00E60C23" w:rsidP="00E60C23">
      <w:pPr>
        <w:spacing w:after="0" w:line="240" w:lineRule="auto"/>
        <w:jc w:val="both"/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8E2E5C">
        <w:rPr>
          <w:b/>
          <w:noProof/>
        </w:rPr>
        <w:t>D</w:t>
      </w:r>
      <w:r w:rsidR="008E2E5C" w:rsidRPr="002E7A08">
        <w:rPr>
          <w:b/>
          <w:noProof/>
        </w:rPr>
        <w:t xml:space="preserve">ėl </w:t>
      </w:r>
      <w:r w:rsidR="002116D1">
        <w:rPr>
          <w:b/>
          <w:caps/>
          <w:noProof/>
        </w:rPr>
        <w:t>"</w:t>
      </w:r>
      <w:r w:rsidR="00E12AF5">
        <w:rPr>
          <w:b/>
          <w:noProof/>
        </w:rPr>
        <w:t>M</w:t>
      </w:r>
      <w:r w:rsidR="00E12AF5" w:rsidRPr="00E12AF5">
        <w:rPr>
          <w:b/>
          <w:noProof/>
        </w:rPr>
        <w:t>olėtų rajono savivaldybė</w:t>
      </w:r>
      <w:r w:rsidR="00E12AF5">
        <w:rPr>
          <w:b/>
          <w:noProof/>
        </w:rPr>
        <w:t>s užimtumo didinimo 2017 metų II</w:t>
      </w:r>
      <w:r w:rsidR="00E12AF5" w:rsidRPr="00E12AF5">
        <w:rPr>
          <w:b/>
          <w:noProof/>
        </w:rPr>
        <w:t xml:space="preserve"> pusmečio programos patvirtinimo </w:t>
      </w:r>
      <w:r w:rsidR="002116D1">
        <w:rPr>
          <w:b/>
          <w:noProof/>
        </w:rPr>
        <w:t>"</w:t>
      </w:r>
    </w:p>
    <w:p w:rsidR="00E60C23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Pr="00F84EA4">
        <w:rPr>
          <w:rFonts w:eastAsia="Times New Roman" w:cs="Times New Roman"/>
          <w:szCs w:val="24"/>
          <w:lang w:eastAsia="lt-LT"/>
        </w:rPr>
        <w:t xml:space="preserve">Statybos ir vietinio ūkio skyriaus </w:t>
      </w:r>
      <w:r w:rsidR="008E2E5C" w:rsidRPr="008E2E5C">
        <w:rPr>
          <w:rFonts w:eastAsiaTheme="minorEastAsia" w:cs="Times New Roman"/>
          <w:noProof/>
          <w:szCs w:val="24"/>
          <w:lang w:eastAsia="lt-LT"/>
        </w:rPr>
        <w:t>vyriausiasis specialistas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8E2E5C">
        <w:rPr>
          <w:rFonts w:eastAsia="Times New Roman" w:cs="Times New Roman"/>
          <w:szCs w:val="24"/>
          <w:lang w:eastAsia="lt-LT"/>
        </w:rPr>
        <w:t>Kęstutis Grainys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 xml:space="preserve">: 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3124"/>
        <w:gridCol w:w="2525"/>
        <w:gridCol w:w="1870"/>
        <w:gridCol w:w="1559"/>
      </w:tblGrid>
      <w:tr w:rsidR="00E60C23" w:rsidRPr="00011556" w:rsidTr="00077FD5">
        <w:trPr>
          <w:trHeight w:val="23"/>
          <w:tblHeader/>
        </w:trPr>
        <w:tc>
          <w:tcPr>
            <w:tcW w:w="591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124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525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ind w:left="-135" w:firstLine="135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1870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559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12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525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1870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559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Nesudaro 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525" w:type="dxa"/>
          </w:tcPr>
          <w:p w:rsidR="00E60C23" w:rsidRPr="002116D1" w:rsidRDefault="00E60C23" w:rsidP="00E60C23">
            <w:pPr>
              <w:spacing w:after="0" w:line="240" w:lineRule="auto"/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2116D1" w:rsidRPr="002116D1">
              <w:rPr>
                <w:caps/>
                <w:noProof/>
              </w:rPr>
              <w:t>"</w:t>
            </w:r>
            <w:r w:rsidR="00E12AF5">
              <w:t>M</w:t>
            </w:r>
            <w:r w:rsidR="00E12AF5" w:rsidRPr="00E12AF5">
              <w:rPr>
                <w:noProof/>
              </w:rPr>
              <w:t>olėtų rajono savivaldybė</w:t>
            </w:r>
            <w:r w:rsidR="00E12AF5">
              <w:rPr>
                <w:noProof/>
              </w:rPr>
              <w:t>s užimtumo didinimo 2017 metų II</w:t>
            </w:r>
            <w:r w:rsidR="00E12AF5" w:rsidRPr="00E12AF5">
              <w:rPr>
                <w:noProof/>
              </w:rPr>
              <w:t xml:space="preserve"> pusmečio programos patvirtinimo</w:t>
            </w:r>
            <w:r w:rsidR="002116D1" w:rsidRPr="002116D1">
              <w:rPr>
                <w:noProof/>
              </w:rPr>
              <w:t>"</w:t>
            </w:r>
            <w:r w:rsidR="00E12AF5">
              <w:rPr>
                <w:noProof/>
              </w:rPr>
              <w:t xml:space="preserve"> 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priima Molėtų rajono savivaldybės taryba.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LR Vyriausybės atstovas, lėšų panaudojimo teisėtumą kontroliuoja Savivaldybės kontrolierius, prižiūri Molėtų rajono savivaldybės administracijos direktorius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492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E60C23" w:rsidRPr="00F84EA4" w:rsidRDefault="00E60C23" w:rsidP="00077FD5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E60C23" w:rsidRPr="00F84EA4" w:rsidRDefault="00E60C23" w:rsidP="00077FD5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F84EA4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lastRenderedPageBreak/>
              <w:t>9.5. veiklos pobūdis laiko atžvilgiu;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F84EA4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Visos procedūros numatytos ir būtinos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2525" w:type="dxa"/>
          </w:tcPr>
          <w:p w:rsidR="00E60C23" w:rsidRPr="00F84EA4" w:rsidRDefault="00BB309D" w:rsidP="00BB309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F84EA4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2525" w:type="dxa"/>
          </w:tcPr>
          <w:p w:rsidR="00E60C23" w:rsidRPr="00F84EA4" w:rsidRDefault="00BB309D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lastRenderedPageBreak/>
              <w:t>ir nustatyta aiški jos skyrimo procedūra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Viešojo sektoriaus subjektų atsakomybė numatyta biudžeto sandaros įstatyme, viešojo sektoriaus atskaitomybės įstatyme,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viešojo sektoriaus apskaitos ir finansinės atskaitomybės standartuose ir kituose teisės aktuose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6"/>
        <w:gridCol w:w="3897"/>
        <w:gridCol w:w="1661"/>
        <w:gridCol w:w="2639"/>
      </w:tblGrid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Cs w:val="24"/>
                <w:lang w:eastAsia="lt-LT"/>
              </w:rPr>
              <w:t xml:space="preserve">Statybos ir vietinio ūkio skyriaus </w:t>
            </w:r>
            <w:r w:rsidR="008E2E5C" w:rsidRPr="008E2E5C">
              <w:rPr>
                <w:rFonts w:eastAsiaTheme="minorEastAsia" w:cs="Times New Roman"/>
                <w:noProof/>
                <w:szCs w:val="24"/>
                <w:lang w:eastAsia="lt-LT"/>
              </w:rPr>
              <w:t>vyriausiasis specialistas</w:t>
            </w:r>
            <w:r w:rsidR="008E2E5C">
              <w:rPr>
                <w:rFonts w:eastAsia="Times New Roman" w:cs="Times New Roman"/>
                <w:szCs w:val="24"/>
                <w:lang w:eastAsia="lt-LT"/>
              </w:rPr>
              <w:t xml:space="preserve"> Kęstutis Grainys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E60C23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E60C23" w:rsidRPr="00011556" w:rsidRDefault="00E60C23" w:rsidP="00077FD5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                            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E60C23" w:rsidRDefault="00E60C23" w:rsidP="00E60C23">
      <w:pPr>
        <w:jc w:val="center"/>
      </w:pPr>
    </w:p>
    <w:p w:rsidR="00495AA6" w:rsidRDefault="00495AA6"/>
    <w:sectPr w:rsidR="00495AA6" w:rsidSect="00F84EA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A5" w:rsidRDefault="00372AA5" w:rsidP="00E60C23">
      <w:pPr>
        <w:spacing w:after="0" w:line="240" w:lineRule="auto"/>
      </w:pPr>
      <w:r>
        <w:separator/>
      </w:r>
    </w:p>
  </w:endnote>
  <w:endnote w:type="continuationSeparator" w:id="0">
    <w:p w:rsidR="00372AA5" w:rsidRDefault="00372AA5" w:rsidP="00E6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A5" w:rsidRDefault="00372AA5" w:rsidP="00E60C23">
      <w:pPr>
        <w:spacing w:after="0" w:line="240" w:lineRule="auto"/>
      </w:pPr>
      <w:r>
        <w:separator/>
      </w:r>
    </w:p>
  </w:footnote>
  <w:footnote w:type="continuationSeparator" w:id="0">
    <w:p w:rsidR="00372AA5" w:rsidRDefault="00372AA5" w:rsidP="00E60C23">
      <w:pPr>
        <w:spacing w:after="0" w:line="240" w:lineRule="auto"/>
      </w:pPr>
      <w:r>
        <w:continuationSeparator/>
      </w:r>
    </w:p>
  </w:footnote>
  <w:footnote w:id="1">
    <w:p w:rsidR="00E60C23" w:rsidRDefault="00E60C23" w:rsidP="00E60C23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E60C23" w:rsidRDefault="00E60C23" w:rsidP="00E60C23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E60C23" w:rsidRDefault="00E60C23" w:rsidP="00E60C23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3"/>
    <w:rsid w:val="001121C9"/>
    <w:rsid w:val="001F3751"/>
    <w:rsid w:val="002116D1"/>
    <w:rsid w:val="00372AA5"/>
    <w:rsid w:val="00495AA6"/>
    <w:rsid w:val="0078623A"/>
    <w:rsid w:val="008B3CBA"/>
    <w:rsid w:val="008E2E5C"/>
    <w:rsid w:val="00A63BFC"/>
    <w:rsid w:val="00BB309D"/>
    <w:rsid w:val="00C2620C"/>
    <w:rsid w:val="00E12AF5"/>
    <w:rsid w:val="00E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4782DD6-8382-4630-B4CE-D376A86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0C2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E60C2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E60C23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semiHidden/>
    <w:rsid w:val="00E60C23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C2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620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2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262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3819</Words>
  <Characters>2178</Characters>
  <Application>Microsoft Office Word</Application>
  <DocSecurity>4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Grainys Kęstutis</cp:lastModifiedBy>
  <cp:revision>2</cp:revision>
  <dcterms:created xsi:type="dcterms:W3CDTF">2017-06-16T11:46:00Z</dcterms:created>
  <dcterms:modified xsi:type="dcterms:W3CDTF">2017-06-16T11:46:00Z</dcterms:modified>
</cp:coreProperties>
</file>