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1D" w:rsidRDefault="008A651D" w:rsidP="008A651D">
      <w:pPr>
        <w:ind w:left="1296" w:firstLine="1296"/>
      </w:pPr>
      <w:r>
        <w:t>AIŠKINAMASIS RAŠTAS</w:t>
      </w:r>
    </w:p>
    <w:p w:rsidR="008A651D" w:rsidRDefault="008A651D" w:rsidP="008A651D"/>
    <w:p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294856">
        <w:rPr>
          <w:lang w:val="pt-BR"/>
        </w:rPr>
        <w:t>Savivaldybių skolinimosi taisyklių</w:t>
      </w:r>
      <w:r w:rsidR="00A90139">
        <w:rPr>
          <w:lang w:val="pt-BR"/>
        </w:rPr>
        <w:t>,</w:t>
      </w:r>
      <w:r w:rsidR="00294856">
        <w:rPr>
          <w:lang w:val="pt-BR"/>
        </w:rPr>
        <w:t xml:space="preserve"> patvirtintų Lietuvos Respublikos Vyriausybės 2004 </w:t>
      </w:r>
      <w:r w:rsidR="00A90139">
        <w:rPr>
          <w:lang w:val="pt-BR"/>
        </w:rPr>
        <w:t xml:space="preserve">m. </w:t>
      </w:r>
      <w:r w:rsidR="00294856">
        <w:rPr>
          <w:lang w:val="pt-BR"/>
        </w:rPr>
        <w:t xml:space="preserve">kovo 26 d. </w:t>
      </w:r>
      <w:r w:rsidR="00A90139">
        <w:rPr>
          <w:lang w:val="pt-BR"/>
        </w:rPr>
        <w:t>n</w:t>
      </w:r>
      <w:r w:rsidR="00294856">
        <w:rPr>
          <w:lang w:val="pt-BR"/>
        </w:rPr>
        <w:t>utarimu Nr</w:t>
      </w:r>
      <w:r w:rsidR="00A90139">
        <w:rPr>
          <w:lang w:val="pt-BR"/>
        </w:rPr>
        <w:t>.</w:t>
      </w:r>
      <w:r w:rsidR="00294856">
        <w:rPr>
          <w:lang w:val="pt-BR"/>
        </w:rPr>
        <w:t xml:space="preserve"> 345</w:t>
      </w:r>
      <w:r w:rsidR="00A90139">
        <w:rPr>
          <w:lang w:val="pt-BR"/>
        </w:rPr>
        <w:t>,</w:t>
      </w:r>
      <w:r w:rsidR="00294856">
        <w:rPr>
          <w:lang w:val="pt-BR"/>
        </w:rPr>
        <w:t xml:space="preserve"> </w:t>
      </w:r>
      <w:r w:rsidR="005A25BB">
        <w:rPr>
          <w:lang w:val="pt-BR"/>
        </w:rPr>
        <w:t>3 punkte nurodyta, kad savivaldybė, turėdama</w:t>
      </w:r>
      <w:r w:rsidR="00A90139">
        <w:rPr>
          <w:lang w:val="pt-BR"/>
        </w:rPr>
        <w:t xml:space="preserve"> savivaldybės kontrolieriaus  (</w:t>
      </w:r>
      <w:r w:rsidR="00AD4E68">
        <w:rPr>
          <w:lang w:val="pt-BR"/>
        </w:rPr>
        <w:t>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tarnybos)</w:t>
      </w:r>
      <w:r w:rsidR="005A25BB">
        <w:rPr>
          <w:lang w:val="pt-BR"/>
        </w:rPr>
        <w:t xml:space="preserve"> išvadą, tarybos sprendimu gali imti ilgalaikes paskolas iš vidaus ir užsienio kreditorių investicijų projektams finansuoti, nesunaudojamiems kilnojamiems ir nekilnojamiems daiktams įsigyti, skoloms padengti.</w:t>
      </w:r>
    </w:p>
    <w:p w:rsidR="0046677C" w:rsidRDefault="00A2266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2017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nustatyti saviv</w:t>
      </w:r>
      <w:r>
        <w:t>aldybių skolinimosi limitai 2017</w:t>
      </w:r>
      <w:r w:rsidR="0046677C">
        <w:t xml:space="preserve"> metams:</w:t>
      </w:r>
    </w:p>
    <w:p w:rsidR="0046677C" w:rsidRDefault="00A9013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6677C">
        <w:t>1. Savivaldybės skola negali viršyti 70 procentų įstatyme nurodytų prognozuojamų savivaldybės</w:t>
      </w:r>
      <w:r w:rsidR="008A651D">
        <w:t xml:space="preserve"> </w:t>
      </w:r>
      <w:r w:rsidR="0046677C">
        <w:t xml:space="preserve"> biudžeto pajamų ir valstybės biudžeto bendrosios dotacijos kompensacijų savivaldybės biudžetui sumos. </w:t>
      </w:r>
    </w:p>
    <w:p w:rsidR="008A651D" w:rsidRDefault="00A9013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6677C">
        <w:t>2. Savivaldybė, kurios biudžeto planuojami asignavimai neviršija 0,3 procento praėjusių metų BVP to meto kainomis, metinio grynojo skolinimosi suma negali</w:t>
      </w:r>
      <w:r w:rsidR="00A22669">
        <w:t xml:space="preserve"> būti teigiamas dydis</w:t>
      </w:r>
      <w:r w:rsidR="003E6159">
        <w:t>.</w:t>
      </w:r>
      <w:r w:rsidR="00A22669">
        <w:t xml:space="preserve"> </w:t>
      </w:r>
      <w:r w:rsidR="008A651D">
        <w:t>Molėtų rajo</w:t>
      </w:r>
      <w:r w:rsidR="00A252BE">
        <w:t>no savivaldybė paėmusi</w:t>
      </w:r>
      <w:r w:rsidR="00A22669">
        <w:t xml:space="preserve"> 370,0</w:t>
      </w:r>
      <w:r w:rsidR="008A651D">
        <w:t xml:space="preserve"> </w:t>
      </w:r>
      <w:r w:rsidR="00A252BE">
        <w:t>tūkstanči</w:t>
      </w:r>
      <w:r w:rsidR="00AD4E68">
        <w:t>ų</w:t>
      </w:r>
      <w:r w:rsidR="00A252BE">
        <w:t xml:space="preserve"> eurų </w:t>
      </w:r>
      <w:r>
        <w:t xml:space="preserve">dydžio </w:t>
      </w:r>
      <w:r w:rsidR="00A252BE">
        <w:t>paskolą</w:t>
      </w:r>
      <w:r w:rsidR="007075E2">
        <w:t>,</w:t>
      </w:r>
      <w:r w:rsidR="00A252BE">
        <w:t xml:space="preserve"> iš kurios</w:t>
      </w:r>
      <w:r w:rsidR="00A22669">
        <w:t xml:space="preserve"> 187,0</w:t>
      </w:r>
      <w:r w:rsidR="007075E2">
        <w:t xml:space="preserve"> tūkstanči</w:t>
      </w:r>
      <w:r w:rsidR="00AD4E68">
        <w:t>us</w:t>
      </w:r>
      <w:r w:rsidR="007075E2">
        <w:t xml:space="preserve"> eurų planuojama panaudoti ankstesniais metais paimt</w:t>
      </w:r>
      <w:r>
        <w:t>oms</w:t>
      </w:r>
      <w:r w:rsidR="007075E2">
        <w:t xml:space="preserve"> paskol</w:t>
      </w:r>
      <w:r>
        <w:t>oms</w:t>
      </w:r>
      <w:r w:rsidR="007075E2">
        <w:t xml:space="preserve"> grąžin</w:t>
      </w:r>
      <w:r>
        <w:t>ti</w:t>
      </w:r>
      <w:r w:rsidR="003E6159">
        <w:t>,</w:t>
      </w:r>
      <w:r w:rsidR="00A22669">
        <w:t xml:space="preserve"> </w:t>
      </w:r>
      <w:r w:rsidR="00AD4E68">
        <w:t xml:space="preserve">iš </w:t>
      </w:r>
      <w:r w:rsidR="00A22669">
        <w:t xml:space="preserve">viso </w:t>
      </w:r>
      <w:r w:rsidR="003E6159">
        <w:t>su  190,0 tūkst</w:t>
      </w:r>
      <w:r w:rsidR="00AD4E68">
        <w:t>ančių eurų</w:t>
      </w:r>
      <w:r w:rsidR="00A22669">
        <w:t xml:space="preserve"> </w:t>
      </w:r>
      <w:r w:rsidR="003E6159">
        <w:t xml:space="preserve">nuosavų lėšų </w:t>
      </w:r>
      <w:r w:rsidR="00A22669">
        <w:t>grąžintų 377,0 tūkst</w:t>
      </w:r>
      <w:r w:rsidR="00AD4E68">
        <w:t>ančius</w:t>
      </w:r>
      <w:r w:rsidR="00A22669">
        <w:t xml:space="preserve"> </w:t>
      </w:r>
      <w:r w:rsidR="00AD4E68">
        <w:t>eurų</w:t>
      </w:r>
      <w:r w:rsidR="00A22669">
        <w:t xml:space="preserve"> </w:t>
      </w:r>
      <w:r w:rsidR="003E6159">
        <w:t xml:space="preserve">ankstesniais metais paimtų paskolų. Taigi planuojama pasiskolinti </w:t>
      </w:r>
      <w:r w:rsidR="00AD4E68">
        <w:t>suma 2017 metais būtų 7,0 tūkstančiais</w:t>
      </w:r>
      <w:r w:rsidR="003E6159">
        <w:t xml:space="preserve"> </w:t>
      </w:r>
      <w:r w:rsidR="00AD4E68">
        <w:t>eurų</w:t>
      </w:r>
      <w:r w:rsidR="003E6159">
        <w:t xml:space="preserve"> mažesnė už grąžinamą sumą.</w:t>
      </w:r>
      <w:r w:rsidR="008A651D">
        <w:t xml:space="preserve">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įstatymas;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įstatymas;</w:t>
      </w:r>
    </w:p>
    <w:p w:rsidR="008A651D" w:rsidRDefault="00F608A7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2017</w:t>
      </w:r>
      <w:bookmarkStart w:id="0" w:name="_GoBack"/>
      <w:bookmarkEnd w:id="0"/>
      <w:r w:rsidR="008A651D">
        <w:t xml:space="preserve"> metų valstybės biudžeto ir savivaldybių biudžetų finansinių rodiklių patvirtinimo įstatymas.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8A651D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</w:t>
      </w:r>
      <w:r w:rsidR="008A651D">
        <w:t xml:space="preserve"> pasekmės </w:t>
      </w:r>
      <w:r>
        <w:t>–</w:t>
      </w:r>
      <w:r w:rsidR="008A651D">
        <w:t xml:space="preserve"> </w:t>
      </w:r>
      <w:r>
        <w:t>savivaldybės administracija gavusi teigiamą savivaldybės kontrolie</w:t>
      </w:r>
      <w:r w:rsidR="00D049CA">
        <w:t>riaus išvadą, galės rengti savi</w:t>
      </w:r>
      <w:r>
        <w:t>v</w:t>
      </w:r>
      <w:r w:rsidR="00D049CA">
        <w:t>a</w:t>
      </w:r>
      <w:r>
        <w:t>ldybės tarybos sprendimo projektą dėl paskolos ėmimo</w:t>
      </w:r>
      <w:r w:rsidR="008A651D"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Kredito ti</w:t>
      </w:r>
      <w:r w:rsidR="00AE33C0">
        <w:t xml:space="preserve">ekėjo </w:t>
      </w:r>
      <w:r w:rsidR="00A90139">
        <w:t xml:space="preserve">parinkimas </w:t>
      </w:r>
      <w:r w:rsidR="00AE33C0">
        <w:t>apklausos</w:t>
      </w:r>
      <w:r>
        <w:t xml:space="preserve"> būdu</w:t>
      </w:r>
      <w:r w:rsidR="00AE33C0">
        <w:t xml:space="preserve">, netaikant </w:t>
      </w:r>
      <w:r w:rsidR="00A90139">
        <w:t xml:space="preserve">LR </w:t>
      </w:r>
      <w:r w:rsidR="00AD4E68">
        <w:t>v</w:t>
      </w:r>
      <w:r w:rsidR="00AE33C0">
        <w:t>iešųjų pirkimų įstatymo nuostatų</w:t>
      </w:r>
      <w:r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 prireikus skaičiavimai ir išlaidų sąmatos)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8A651D" w:rsidRDefault="0093651C" w:rsidP="00AD4E68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kontrolierius</w:t>
      </w:r>
      <w:r w:rsidR="008A651D">
        <w:t>.</w:t>
      </w:r>
      <w:r>
        <w:t xml:space="preserve"> Išvadą paren</w:t>
      </w:r>
      <w:r w:rsidR="00AD4E68">
        <w:t>gti iki 2016 m. balandžio 20 d.</w:t>
      </w:r>
    </w:p>
    <w:sectPr w:rsidR="008A651D" w:rsidSect="00A9013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C" w:rsidRDefault="002A161C" w:rsidP="00A90139">
      <w:r>
        <w:separator/>
      </w:r>
    </w:p>
  </w:endnote>
  <w:endnote w:type="continuationSeparator" w:id="0">
    <w:p w:rsidR="002A161C" w:rsidRDefault="002A161C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C" w:rsidRDefault="002A161C" w:rsidP="00A90139">
      <w:r>
        <w:separator/>
      </w:r>
    </w:p>
  </w:footnote>
  <w:footnote w:type="continuationSeparator" w:id="0">
    <w:p w:rsidR="002A161C" w:rsidRDefault="002A161C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31873"/>
      <w:docPartObj>
        <w:docPartGallery w:val="Page Numbers (Top of Page)"/>
        <w:docPartUnique/>
      </w:docPartObj>
    </w:sdtPr>
    <w:sdtEndPr/>
    <w:sdtContent>
      <w:p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68">
          <w:rPr>
            <w:noProof/>
          </w:rPr>
          <w:t>2</w:t>
        </w:r>
        <w:r>
          <w:fldChar w:fldCharType="end"/>
        </w:r>
      </w:p>
    </w:sdtContent>
  </w:sdt>
  <w:p w:rsidR="00A90139" w:rsidRDefault="00A901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D"/>
    <w:rsid w:val="000B6302"/>
    <w:rsid w:val="00294856"/>
    <w:rsid w:val="002A161C"/>
    <w:rsid w:val="0031122C"/>
    <w:rsid w:val="003A4E4B"/>
    <w:rsid w:val="003E6159"/>
    <w:rsid w:val="003F0D81"/>
    <w:rsid w:val="00404578"/>
    <w:rsid w:val="0046677C"/>
    <w:rsid w:val="004C53C4"/>
    <w:rsid w:val="005A25BB"/>
    <w:rsid w:val="007075E2"/>
    <w:rsid w:val="007B1254"/>
    <w:rsid w:val="008A651D"/>
    <w:rsid w:val="00914CC6"/>
    <w:rsid w:val="0093651C"/>
    <w:rsid w:val="00A22669"/>
    <w:rsid w:val="00A252BE"/>
    <w:rsid w:val="00A90139"/>
    <w:rsid w:val="00AC3E00"/>
    <w:rsid w:val="00AD4E68"/>
    <w:rsid w:val="00AE33C0"/>
    <w:rsid w:val="00D049CA"/>
    <w:rsid w:val="00D562E4"/>
    <w:rsid w:val="00F03269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868E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dcterms:created xsi:type="dcterms:W3CDTF">2017-02-15T09:03:00Z</dcterms:created>
  <dcterms:modified xsi:type="dcterms:W3CDTF">2017-02-15T09:17:00Z</dcterms:modified>
</cp:coreProperties>
</file>