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2D" w:rsidRPr="0020133B" w:rsidRDefault="00487F2D" w:rsidP="0017419A">
      <w:pPr>
        <w:tabs>
          <w:tab w:val="num" w:pos="0"/>
        </w:tabs>
        <w:spacing w:line="360" w:lineRule="auto"/>
        <w:ind w:firstLine="142"/>
        <w:jc w:val="center"/>
        <w:rPr>
          <w:sz w:val="28"/>
          <w:szCs w:val="28"/>
          <w:lang w:val="lt-LT"/>
        </w:rPr>
      </w:pPr>
      <w:r w:rsidRPr="0020133B">
        <w:rPr>
          <w:sz w:val="28"/>
          <w:szCs w:val="28"/>
          <w:lang w:val="lt-LT"/>
        </w:rPr>
        <w:t>AIŠKINAMASIS RAŠTAS</w:t>
      </w:r>
    </w:p>
    <w:p w:rsidR="00CC2137" w:rsidRDefault="00CC2137" w:rsidP="0017419A">
      <w:pPr>
        <w:tabs>
          <w:tab w:val="num" w:pos="0"/>
        </w:tabs>
        <w:spacing w:line="360" w:lineRule="auto"/>
        <w:ind w:firstLine="142"/>
        <w:jc w:val="center"/>
        <w:rPr>
          <w:lang w:val="pt-BR"/>
        </w:rPr>
      </w:pPr>
      <w:r w:rsidRPr="0020133B">
        <w:rPr>
          <w:lang w:val="pt-BR"/>
        </w:rPr>
        <w:t>Dėl Molėtų rajono savivaldybės</w:t>
      </w:r>
      <w:r w:rsidR="00A03D72">
        <w:rPr>
          <w:lang w:val="pt-BR"/>
        </w:rPr>
        <w:t xml:space="preserve"> 2015 m. spalio 29 d. sprendimo Nr. B1-240</w:t>
      </w:r>
      <w:r w:rsidR="007E7B7D">
        <w:rPr>
          <w:lang w:val="pt-BR"/>
        </w:rPr>
        <w:t xml:space="preserve"> “Dėl</w:t>
      </w:r>
      <w:r w:rsidRPr="0020133B">
        <w:rPr>
          <w:lang w:val="pt-BR"/>
        </w:rPr>
        <w:t xml:space="preserve"> </w:t>
      </w:r>
      <w:r w:rsidR="00913220">
        <w:rPr>
          <w:lang w:val="pt-BR"/>
        </w:rPr>
        <w:t xml:space="preserve">Molėtų rajono savivaldybės </w:t>
      </w:r>
      <w:r w:rsidRPr="0020133B">
        <w:rPr>
          <w:lang w:val="pt-BR"/>
        </w:rPr>
        <w:t xml:space="preserve">piniginės socialinės paramos nepasiturintiems gyventojams </w:t>
      </w:r>
      <w:r w:rsidR="00B93C04" w:rsidRPr="0020133B">
        <w:rPr>
          <w:lang w:val="pt-BR"/>
        </w:rPr>
        <w:t xml:space="preserve">teikimo </w:t>
      </w:r>
      <w:r w:rsidRPr="0020133B">
        <w:rPr>
          <w:lang w:val="pt-BR"/>
        </w:rPr>
        <w:t>tvarkos aprašo patvirtinimo</w:t>
      </w:r>
      <w:r w:rsidR="00CF6BFD">
        <w:rPr>
          <w:lang w:val="pt-BR"/>
        </w:rPr>
        <w:t>” pakeitimo</w:t>
      </w:r>
    </w:p>
    <w:p w:rsidR="00913220" w:rsidRPr="0020133B" w:rsidRDefault="00913220" w:rsidP="0017419A">
      <w:pPr>
        <w:tabs>
          <w:tab w:val="num" w:pos="0"/>
        </w:tabs>
        <w:spacing w:line="360" w:lineRule="auto"/>
        <w:ind w:firstLine="142"/>
        <w:jc w:val="center"/>
        <w:rPr>
          <w:lang w:val="pt-BR"/>
        </w:rPr>
      </w:pPr>
    </w:p>
    <w:p w:rsidR="0017419A" w:rsidRDefault="00BC301D" w:rsidP="0017419A">
      <w:pPr>
        <w:pStyle w:val="HTMLiankstoformatuotas"/>
        <w:numPr>
          <w:ilvl w:val="0"/>
          <w:numId w:val="2"/>
        </w:numPr>
        <w:tabs>
          <w:tab w:val="clear" w:pos="916"/>
          <w:tab w:val="clear" w:pos="1832"/>
          <w:tab w:val="left" w:pos="284"/>
          <w:tab w:val="left" w:pos="1276"/>
        </w:tabs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C301D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Parengto tarybos sprendimo projekto tikslai ir uždaviniai </w:t>
      </w:r>
    </w:p>
    <w:p w:rsidR="002417CB" w:rsidRDefault="00913220" w:rsidP="0017419A">
      <w:pPr>
        <w:pStyle w:val="HTMLiankstoformatuotas"/>
        <w:tabs>
          <w:tab w:val="clear" w:pos="916"/>
          <w:tab w:val="num" w:pos="0"/>
          <w:tab w:val="left" w:pos="284"/>
          <w:tab w:val="left" w:pos="567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Siekiant tobulinti Molėtų rajono savivaldybės</w:t>
      </w:r>
      <w:r w:rsidR="002417CB">
        <w:rPr>
          <w:rFonts w:ascii="Times New Roman" w:hAnsi="Times New Roman" w:cs="Times New Roman"/>
          <w:sz w:val="24"/>
          <w:szCs w:val="24"/>
        </w:rPr>
        <w:t xml:space="preserve"> piniginės socialinės paramos nepasiturtintiems gyventojams tvarkos aprašą ir</w:t>
      </w:r>
      <w:r w:rsidR="00422284">
        <w:rPr>
          <w:rFonts w:ascii="Times New Roman" w:hAnsi="Times New Roman" w:cs="Times New Roman"/>
          <w:sz w:val="24"/>
          <w:szCs w:val="24"/>
        </w:rPr>
        <w:t xml:space="preserve"> reglamentuoti vienkartinės paramos skyrimą šeimai</w:t>
      </w:r>
      <w:r w:rsidR="002417CB">
        <w:rPr>
          <w:rFonts w:ascii="Times New Roman" w:hAnsi="Times New Roman" w:cs="Times New Roman"/>
          <w:sz w:val="24"/>
          <w:szCs w:val="24"/>
        </w:rPr>
        <w:t xml:space="preserve">, kurioje </w:t>
      </w:r>
      <w:r w:rsidR="00441BBF">
        <w:rPr>
          <w:rFonts w:ascii="Times New Roman" w:hAnsi="Times New Roman" w:cs="Times New Roman"/>
          <w:sz w:val="24"/>
          <w:szCs w:val="24"/>
        </w:rPr>
        <w:t>gimė trynukai</w:t>
      </w:r>
      <w:r w:rsidR="00241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 daugiau va</w:t>
      </w:r>
      <w:r w:rsidR="002417CB">
        <w:rPr>
          <w:rFonts w:ascii="Times New Roman" w:hAnsi="Times New Roman" w:cs="Times New Roman"/>
          <w:sz w:val="24"/>
          <w:szCs w:val="24"/>
        </w:rPr>
        <w:t xml:space="preserve">ikų, siūlome Molėtų rajono savivaldybės tarybai papildyti </w:t>
      </w:r>
      <w:r>
        <w:rPr>
          <w:rFonts w:ascii="Times New Roman" w:hAnsi="Times New Roman" w:cs="Times New Roman"/>
          <w:sz w:val="24"/>
          <w:szCs w:val="24"/>
        </w:rPr>
        <w:t>Molėtų rajono savivaldybės p</w:t>
      </w:r>
      <w:r w:rsidR="002417CB">
        <w:rPr>
          <w:rFonts w:ascii="Times New Roman" w:hAnsi="Times New Roman" w:cs="Times New Roman"/>
          <w:sz w:val="24"/>
          <w:szCs w:val="24"/>
        </w:rPr>
        <w:t>iniginės socialinės paramos nepasiturintiems gy</w:t>
      </w:r>
      <w:r>
        <w:rPr>
          <w:rFonts w:ascii="Times New Roman" w:hAnsi="Times New Roman" w:cs="Times New Roman"/>
          <w:sz w:val="24"/>
          <w:szCs w:val="24"/>
        </w:rPr>
        <w:t>ventojams teikimo tvarkos aprašą</w:t>
      </w:r>
      <w:r w:rsidR="002417CB">
        <w:rPr>
          <w:rFonts w:ascii="Times New Roman" w:hAnsi="Times New Roman" w:cs="Times New Roman"/>
          <w:sz w:val="24"/>
          <w:szCs w:val="24"/>
        </w:rPr>
        <w:t xml:space="preserve"> ir nustatyti, kad teisę į </w:t>
      </w:r>
      <w:r>
        <w:rPr>
          <w:rFonts w:ascii="Times New Roman" w:hAnsi="Times New Roman" w:cs="Times New Roman"/>
          <w:sz w:val="24"/>
          <w:szCs w:val="24"/>
        </w:rPr>
        <w:t>vienkartinę</w:t>
      </w:r>
      <w:r w:rsidR="002417CB">
        <w:rPr>
          <w:rFonts w:ascii="Times New Roman" w:hAnsi="Times New Roman" w:cs="Times New Roman"/>
          <w:sz w:val="24"/>
          <w:szCs w:val="24"/>
        </w:rPr>
        <w:t xml:space="preserve"> paramą turi asmenys, kurių šeimoje gimė trynukai ar daugiau vaikų. Taip pat nustatyti, kad vienkartinė parama yra skiriama neatsižvelgiant į šeimos narių gaunamas pajamas ir kiekvienam vaikui vienkartinė parama </w:t>
      </w:r>
      <w:r w:rsidR="00441BBF">
        <w:rPr>
          <w:rFonts w:ascii="Times New Roman" w:hAnsi="Times New Roman" w:cs="Times New Roman"/>
          <w:sz w:val="24"/>
          <w:szCs w:val="24"/>
        </w:rPr>
        <w:t xml:space="preserve">yra </w:t>
      </w:r>
      <w:r w:rsidR="002417CB">
        <w:rPr>
          <w:rFonts w:ascii="Times New Roman" w:hAnsi="Times New Roman" w:cs="Times New Roman"/>
          <w:sz w:val="24"/>
          <w:szCs w:val="24"/>
        </w:rPr>
        <w:t>25 ba</w:t>
      </w:r>
      <w:r w:rsidR="00580E7C">
        <w:rPr>
          <w:rFonts w:ascii="Times New Roman" w:hAnsi="Times New Roman" w:cs="Times New Roman"/>
          <w:sz w:val="24"/>
          <w:szCs w:val="24"/>
        </w:rPr>
        <w:t>zinės soc</w:t>
      </w:r>
      <w:r w:rsidR="0092367A">
        <w:rPr>
          <w:rFonts w:ascii="Times New Roman" w:hAnsi="Times New Roman" w:cs="Times New Roman"/>
          <w:sz w:val="24"/>
          <w:szCs w:val="24"/>
        </w:rPr>
        <w:t>ialinės išmokos dydžio (950 Eur</w:t>
      </w:r>
      <w:r w:rsidR="00580E7C">
        <w:rPr>
          <w:rFonts w:ascii="Times New Roman" w:hAnsi="Times New Roman" w:cs="Times New Roman"/>
          <w:sz w:val="24"/>
          <w:szCs w:val="24"/>
        </w:rPr>
        <w:t>)</w:t>
      </w:r>
      <w:r w:rsidR="0092367A">
        <w:rPr>
          <w:rFonts w:ascii="Times New Roman" w:hAnsi="Times New Roman" w:cs="Times New Roman"/>
          <w:sz w:val="24"/>
          <w:szCs w:val="24"/>
        </w:rPr>
        <w:t>.</w:t>
      </w:r>
      <w:r w:rsidRPr="00913220">
        <w:rPr>
          <w:lang w:val="pt-BR"/>
        </w:rPr>
        <w:t xml:space="preserve"> </w:t>
      </w:r>
      <w:r w:rsidR="00A03D72">
        <w:rPr>
          <w:rFonts w:ascii="Times New Roman" w:hAnsi="Times New Roman" w:cs="Times New Roman"/>
          <w:sz w:val="24"/>
          <w:szCs w:val="24"/>
          <w:lang w:val="pt-BR"/>
        </w:rPr>
        <w:t>2015 m. spalio 29</w:t>
      </w:r>
      <w:bookmarkStart w:id="0" w:name="_GoBack"/>
      <w:bookmarkEnd w:id="0"/>
      <w:r w:rsidRPr="00913220">
        <w:rPr>
          <w:rFonts w:ascii="Times New Roman" w:hAnsi="Times New Roman" w:cs="Times New Roman"/>
          <w:sz w:val="24"/>
          <w:szCs w:val="24"/>
          <w:lang w:val="pt-BR"/>
        </w:rPr>
        <w:t xml:space="preserve"> d. Molėtų rajono savivaldybės tarybos patvirtintas Molėtų rajono savivaldybės piniginės socia</w:t>
      </w:r>
      <w:r w:rsidR="00580E7C">
        <w:rPr>
          <w:rFonts w:ascii="Times New Roman" w:hAnsi="Times New Roman" w:cs="Times New Roman"/>
          <w:sz w:val="24"/>
          <w:szCs w:val="24"/>
          <w:lang w:val="pt-BR"/>
        </w:rPr>
        <w:t xml:space="preserve">linės paramos nepasiturintiems </w:t>
      </w:r>
      <w:r w:rsidRPr="00913220">
        <w:rPr>
          <w:rFonts w:ascii="Times New Roman" w:hAnsi="Times New Roman" w:cs="Times New Roman"/>
          <w:sz w:val="24"/>
          <w:szCs w:val="24"/>
          <w:lang w:val="pt-BR"/>
        </w:rPr>
        <w:t>gyventojams tvarkos aprašas tokios teisės asmenims</w:t>
      </w:r>
      <w:r w:rsidR="00441BBF">
        <w:rPr>
          <w:rFonts w:ascii="Times New Roman" w:hAnsi="Times New Roman" w:cs="Times New Roman"/>
          <w:sz w:val="24"/>
          <w:szCs w:val="24"/>
          <w:lang w:val="pt-BR"/>
        </w:rPr>
        <w:t>, kurių šeimoje gimė trynukai ar</w:t>
      </w:r>
      <w:r w:rsidRPr="00913220">
        <w:rPr>
          <w:rFonts w:ascii="Times New Roman" w:hAnsi="Times New Roman" w:cs="Times New Roman"/>
          <w:sz w:val="24"/>
          <w:szCs w:val="24"/>
          <w:lang w:val="pt-BR"/>
        </w:rPr>
        <w:t xml:space="preserve"> daugiau vaikų, </w:t>
      </w:r>
      <w:r w:rsidR="00580E7C">
        <w:rPr>
          <w:rFonts w:ascii="Times New Roman" w:hAnsi="Times New Roman" w:cs="Times New Roman"/>
          <w:sz w:val="24"/>
          <w:szCs w:val="24"/>
          <w:lang w:val="pt-BR"/>
        </w:rPr>
        <w:t>nereglamentavo.</w:t>
      </w:r>
    </w:p>
    <w:p w:rsidR="00BC301D" w:rsidRPr="00BC301D" w:rsidRDefault="00BC301D" w:rsidP="0017419A">
      <w:pPr>
        <w:tabs>
          <w:tab w:val="num" w:pos="0"/>
          <w:tab w:val="left" w:pos="284"/>
        </w:tabs>
        <w:spacing w:line="360" w:lineRule="auto"/>
        <w:jc w:val="both"/>
        <w:rPr>
          <w:b/>
          <w:lang w:val="pt-BR"/>
        </w:rPr>
      </w:pPr>
      <w:r w:rsidRPr="00BC301D">
        <w:rPr>
          <w:b/>
          <w:lang w:val="pt-BR"/>
        </w:rPr>
        <w:t xml:space="preserve">2. Šiuo metu esantis teisinis reglamentavimas </w:t>
      </w:r>
    </w:p>
    <w:p w:rsidR="00D90B78" w:rsidRPr="00544EA1" w:rsidRDefault="00D90B78" w:rsidP="00544EA1">
      <w:pPr>
        <w:tabs>
          <w:tab w:val="left" w:pos="680"/>
          <w:tab w:val="left" w:pos="1206"/>
        </w:tabs>
        <w:spacing w:line="360" w:lineRule="auto"/>
        <w:ind w:firstLine="567"/>
        <w:jc w:val="both"/>
        <w:rPr>
          <w:lang w:val="lt-LT"/>
        </w:rPr>
      </w:pPr>
      <w:r w:rsidRPr="00544EA1">
        <w:rPr>
          <w:lang w:val="lt-LT"/>
        </w:rPr>
        <w:t>Lietuvos Respublikos vietos savivaldos įs</w:t>
      </w:r>
      <w:r w:rsidR="007E7B7D">
        <w:rPr>
          <w:lang w:val="lt-LT"/>
        </w:rPr>
        <w:t xml:space="preserve">tatymo </w:t>
      </w:r>
      <w:r w:rsidR="00544EA1" w:rsidRPr="00544EA1">
        <w:rPr>
          <w:lang w:val="lt-LT"/>
        </w:rPr>
        <w:t>18 straipsnio 1 dalis</w:t>
      </w:r>
      <w:r w:rsidRPr="00544EA1">
        <w:rPr>
          <w:lang w:val="lt-LT"/>
        </w:rPr>
        <w:t>;</w:t>
      </w:r>
    </w:p>
    <w:p w:rsidR="00BC301D" w:rsidRPr="00544EA1" w:rsidRDefault="00D90B78" w:rsidP="00544EA1">
      <w:pPr>
        <w:tabs>
          <w:tab w:val="left" w:pos="680"/>
          <w:tab w:val="left" w:pos="1206"/>
        </w:tabs>
        <w:spacing w:line="360" w:lineRule="auto"/>
        <w:ind w:firstLine="567"/>
        <w:jc w:val="both"/>
        <w:rPr>
          <w:lang w:val="lt-LT"/>
        </w:rPr>
      </w:pPr>
      <w:r w:rsidRPr="00544EA1">
        <w:rPr>
          <w:lang w:val="lt-LT"/>
        </w:rPr>
        <w:t xml:space="preserve"> Lietuvos Respublikos piniginės socialinės paramos nepasiturintiems gyventojams įstatymo 4 straips</w:t>
      </w:r>
      <w:r w:rsidR="00544EA1" w:rsidRPr="00544EA1">
        <w:rPr>
          <w:lang w:val="lt-LT"/>
        </w:rPr>
        <w:t>nio 2 dalis.</w:t>
      </w:r>
    </w:p>
    <w:p w:rsidR="00BC301D" w:rsidRPr="00BC301D" w:rsidRDefault="00BC301D" w:rsidP="0017419A">
      <w:pPr>
        <w:tabs>
          <w:tab w:val="num" w:pos="0"/>
          <w:tab w:val="left" w:pos="284"/>
        </w:tabs>
        <w:spacing w:line="360" w:lineRule="auto"/>
        <w:jc w:val="both"/>
        <w:rPr>
          <w:b/>
          <w:lang w:val="pt-BR"/>
        </w:rPr>
      </w:pPr>
      <w:r w:rsidRPr="00BC301D">
        <w:rPr>
          <w:b/>
          <w:lang w:val="pt-BR"/>
        </w:rPr>
        <w:t xml:space="preserve">3. Galimos teigiamos ir neigiamos pasekmės priėmus siūlomą tarybos sprendimo projektą </w:t>
      </w:r>
    </w:p>
    <w:p w:rsidR="00913220" w:rsidRDefault="00BC301D" w:rsidP="00913220">
      <w:pPr>
        <w:tabs>
          <w:tab w:val="num" w:pos="0"/>
          <w:tab w:val="left" w:pos="284"/>
        </w:tabs>
        <w:spacing w:line="360" w:lineRule="auto"/>
        <w:ind w:firstLine="567"/>
        <w:jc w:val="both"/>
        <w:rPr>
          <w:lang w:val="pt-BR"/>
        </w:rPr>
      </w:pPr>
      <w:r>
        <w:rPr>
          <w:lang w:val="pt-BR"/>
        </w:rPr>
        <w:t xml:space="preserve">Teigiamos pasekmės </w:t>
      </w:r>
      <w:r w:rsidR="00913220">
        <w:rPr>
          <w:lang w:val="pt-BR"/>
        </w:rPr>
        <w:t>–</w:t>
      </w:r>
      <w:r>
        <w:rPr>
          <w:lang w:val="pt-BR"/>
        </w:rPr>
        <w:t xml:space="preserve"> </w:t>
      </w:r>
      <w:r w:rsidR="00913220">
        <w:rPr>
          <w:lang w:val="pt-BR"/>
        </w:rPr>
        <w:t>papildytas Molėtų rajono savivaldybės p</w:t>
      </w:r>
      <w:r w:rsidRPr="00D90B78">
        <w:rPr>
          <w:lang w:val="pt-BR"/>
        </w:rPr>
        <w:t>iniginės socia</w:t>
      </w:r>
      <w:r w:rsidR="00441BBF">
        <w:rPr>
          <w:lang w:val="pt-BR"/>
        </w:rPr>
        <w:t xml:space="preserve">linės paramos nepasiturintiems </w:t>
      </w:r>
      <w:r w:rsidRPr="00D90B78">
        <w:rPr>
          <w:lang w:val="pt-BR"/>
        </w:rPr>
        <w:t>g</w:t>
      </w:r>
      <w:r w:rsidR="00913220">
        <w:rPr>
          <w:lang w:val="pt-BR"/>
        </w:rPr>
        <w:t>yventojams tvarkos aprašas suteiks teisę į vienkartinę paramą asmenims, kurių šeimoje gimė trynukai ar daugiau vaikų.</w:t>
      </w:r>
    </w:p>
    <w:p w:rsidR="00BC301D" w:rsidRPr="00BC301D" w:rsidRDefault="00BC301D" w:rsidP="0017419A">
      <w:pPr>
        <w:tabs>
          <w:tab w:val="num" w:pos="0"/>
          <w:tab w:val="left" w:pos="284"/>
        </w:tabs>
        <w:spacing w:line="360" w:lineRule="auto"/>
        <w:ind w:firstLine="567"/>
        <w:jc w:val="both"/>
        <w:rPr>
          <w:lang w:val="pt-BR"/>
        </w:rPr>
      </w:pPr>
      <w:r w:rsidRPr="00BC301D">
        <w:rPr>
          <w:lang w:val="pt-BR"/>
        </w:rPr>
        <w:t>Neigiamų pasekmių nenumatoma.</w:t>
      </w:r>
      <w:r>
        <w:rPr>
          <w:lang w:val="pt-BR"/>
        </w:rPr>
        <w:t xml:space="preserve"> </w:t>
      </w:r>
    </w:p>
    <w:p w:rsidR="00BC301D" w:rsidRPr="00BC301D" w:rsidRDefault="00BC301D" w:rsidP="0017419A">
      <w:pPr>
        <w:tabs>
          <w:tab w:val="num" w:pos="0"/>
          <w:tab w:val="left" w:pos="284"/>
        </w:tabs>
        <w:spacing w:line="360" w:lineRule="auto"/>
        <w:jc w:val="both"/>
        <w:rPr>
          <w:b/>
          <w:lang w:val="pt-BR"/>
        </w:rPr>
      </w:pPr>
      <w:r w:rsidRPr="00BC301D">
        <w:rPr>
          <w:b/>
          <w:lang w:val="pt-BR"/>
        </w:rPr>
        <w:t>4. Pr</w:t>
      </w:r>
      <w:r w:rsidR="0017419A">
        <w:rPr>
          <w:b/>
          <w:lang w:val="pt-BR"/>
        </w:rPr>
        <w:t xml:space="preserve">iemonės sprendimui įgyvendinti </w:t>
      </w:r>
    </w:p>
    <w:p w:rsidR="00BC301D" w:rsidRPr="00BC301D" w:rsidRDefault="00913220" w:rsidP="0017419A">
      <w:pPr>
        <w:tabs>
          <w:tab w:val="num" w:pos="0"/>
          <w:tab w:val="left" w:pos="284"/>
        </w:tabs>
        <w:spacing w:line="360" w:lineRule="auto"/>
        <w:ind w:firstLine="567"/>
        <w:jc w:val="both"/>
        <w:rPr>
          <w:lang w:val="pt-BR"/>
        </w:rPr>
      </w:pPr>
      <w:r>
        <w:rPr>
          <w:lang w:val="pt-BR"/>
        </w:rPr>
        <w:t>Nėra</w:t>
      </w:r>
      <w:r w:rsidR="00441BBF">
        <w:rPr>
          <w:lang w:val="pt-BR"/>
        </w:rPr>
        <w:t>.</w:t>
      </w:r>
    </w:p>
    <w:p w:rsidR="00BC301D" w:rsidRDefault="00BC301D" w:rsidP="0017419A">
      <w:pPr>
        <w:tabs>
          <w:tab w:val="num" w:pos="0"/>
          <w:tab w:val="left" w:pos="284"/>
        </w:tabs>
        <w:spacing w:line="360" w:lineRule="auto"/>
        <w:jc w:val="both"/>
        <w:rPr>
          <w:b/>
          <w:lang w:val="pt-BR"/>
        </w:rPr>
      </w:pPr>
      <w:r w:rsidRPr="00BC301D">
        <w:rPr>
          <w:b/>
          <w:lang w:val="pt-BR"/>
        </w:rPr>
        <w:t>5. Lėšų poreikis ir jų šaltiniai (prireikus sk</w:t>
      </w:r>
      <w:r w:rsidR="00913220">
        <w:rPr>
          <w:b/>
          <w:lang w:val="pt-BR"/>
        </w:rPr>
        <w:t xml:space="preserve">aičiavimai ir išlaidų sąmatos) </w:t>
      </w:r>
    </w:p>
    <w:p w:rsidR="00913220" w:rsidRPr="00913220" w:rsidRDefault="00580E7C" w:rsidP="00913220">
      <w:pPr>
        <w:tabs>
          <w:tab w:val="num" w:pos="0"/>
          <w:tab w:val="left" w:pos="284"/>
        </w:tabs>
        <w:spacing w:line="360" w:lineRule="auto"/>
        <w:ind w:firstLine="567"/>
        <w:jc w:val="both"/>
        <w:rPr>
          <w:lang w:val="pt-BR"/>
        </w:rPr>
      </w:pPr>
      <w:r>
        <w:rPr>
          <w:lang w:val="pt-BR"/>
        </w:rPr>
        <w:t>Nėra.</w:t>
      </w:r>
    </w:p>
    <w:p w:rsidR="00BC301D" w:rsidRPr="00BC301D" w:rsidRDefault="00BC301D" w:rsidP="0017419A">
      <w:pPr>
        <w:tabs>
          <w:tab w:val="num" w:pos="0"/>
          <w:tab w:val="left" w:pos="284"/>
        </w:tabs>
        <w:spacing w:line="360" w:lineRule="auto"/>
        <w:jc w:val="both"/>
        <w:rPr>
          <w:b/>
          <w:lang w:val="pt-BR"/>
        </w:rPr>
      </w:pPr>
      <w:r w:rsidRPr="00BC301D">
        <w:rPr>
          <w:b/>
          <w:lang w:val="pt-BR"/>
        </w:rPr>
        <w:t>6.Vykdytojai, įvykdymo terminai</w:t>
      </w:r>
    </w:p>
    <w:p w:rsidR="0017419A" w:rsidRDefault="0017419A" w:rsidP="0017419A">
      <w:pPr>
        <w:tabs>
          <w:tab w:val="num" w:pos="0"/>
          <w:tab w:val="left" w:pos="284"/>
        </w:tabs>
        <w:spacing w:line="360" w:lineRule="auto"/>
        <w:ind w:firstLine="567"/>
        <w:jc w:val="both"/>
        <w:rPr>
          <w:lang w:val="pt-BR"/>
        </w:rPr>
      </w:pPr>
      <w:r>
        <w:rPr>
          <w:lang w:val="pt-BR"/>
        </w:rPr>
        <w:t>Molėtų rajono sa</w:t>
      </w:r>
      <w:r w:rsidRPr="00D90B78">
        <w:rPr>
          <w:lang w:val="pt-BR"/>
        </w:rPr>
        <w:t>vivaldybės</w:t>
      </w:r>
      <w:r>
        <w:rPr>
          <w:lang w:val="pt-BR"/>
        </w:rPr>
        <w:t xml:space="preserve"> administracijos Socialinės paramos skyrius ir Buhalterinės apskaitos skyrius.</w:t>
      </w:r>
    </w:p>
    <w:p w:rsidR="00BC301D" w:rsidRPr="00BC301D" w:rsidRDefault="0017419A" w:rsidP="00580E7C">
      <w:pPr>
        <w:tabs>
          <w:tab w:val="num" w:pos="0"/>
          <w:tab w:val="left" w:pos="284"/>
        </w:tabs>
        <w:spacing w:line="360" w:lineRule="auto"/>
        <w:ind w:firstLine="567"/>
        <w:jc w:val="both"/>
        <w:rPr>
          <w:lang w:val="pt-BR"/>
        </w:rPr>
      </w:pPr>
      <w:r>
        <w:rPr>
          <w:lang w:val="pt-BR"/>
        </w:rPr>
        <w:t>Vykdymo terminas – neterminuotai.</w:t>
      </w:r>
    </w:p>
    <w:sectPr w:rsidR="00BC301D" w:rsidRPr="00BC301D" w:rsidSect="00CC2137">
      <w:headerReference w:type="even" r:id="rId7"/>
      <w:headerReference w:type="default" r:id="rId8"/>
      <w:pgSz w:w="11906" w:h="16838"/>
      <w:pgMar w:top="1260" w:right="567" w:bottom="72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7AE" w:rsidRDefault="00BE77AE">
      <w:r>
        <w:separator/>
      </w:r>
    </w:p>
  </w:endnote>
  <w:endnote w:type="continuationSeparator" w:id="0">
    <w:p w:rsidR="00BE77AE" w:rsidRDefault="00BE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7AE" w:rsidRDefault="00BE77AE">
      <w:r>
        <w:separator/>
      </w:r>
    </w:p>
  </w:footnote>
  <w:footnote w:type="continuationSeparator" w:id="0">
    <w:p w:rsidR="00BE77AE" w:rsidRDefault="00BE7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37" w:rsidRDefault="00CC2137" w:rsidP="00363A7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C2137" w:rsidRDefault="00CC213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37" w:rsidRDefault="00CC2137" w:rsidP="00363A7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80E7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C2137" w:rsidRDefault="00CC213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146"/>
    <w:multiLevelType w:val="hybridMultilevel"/>
    <w:tmpl w:val="8806E0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67A81"/>
    <w:multiLevelType w:val="hybridMultilevel"/>
    <w:tmpl w:val="2C7AB2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2D"/>
    <w:rsid w:val="00005EA0"/>
    <w:rsid w:val="00037CBB"/>
    <w:rsid w:val="00064D4E"/>
    <w:rsid w:val="00066480"/>
    <w:rsid w:val="0008369E"/>
    <w:rsid w:val="000854A5"/>
    <w:rsid w:val="00095E92"/>
    <w:rsid w:val="000A17A9"/>
    <w:rsid w:val="000A56D6"/>
    <w:rsid w:val="000B29DC"/>
    <w:rsid w:val="000E2059"/>
    <w:rsid w:val="000E61E0"/>
    <w:rsid w:val="000F0389"/>
    <w:rsid w:val="000F5A73"/>
    <w:rsid w:val="0014045F"/>
    <w:rsid w:val="00163551"/>
    <w:rsid w:val="00164EBB"/>
    <w:rsid w:val="0017419A"/>
    <w:rsid w:val="00180892"/>
    <w:rsid w:val="00197176"/>
    <w:rsid w:val="001A0EAE"/>
    <w:rsid w:val="001B2FDB"/>
    <w:rsid w:val="001E45B8"/>
    <w:rsid w:val="0020133B"/>
    <w:rsid w:val="00221BD2"/>
    <w:rsid w:val="002276B7"/>
    <w:rsid w:val="002308F9"/>
    <w:rsid w:val="00232061"/>
    <w:rsid w:val="002417CB"/>
    <w:rsid w:val="00246020"/>
    <w:rsid w:val="00251BD1"/>
    <w:rsid w:val="00260264"/>
    <w:rsid w:val="00282CC8"/>
    <w:rsid w:val="002B22B7"/>
    <w:rsid w:val="002C5085"/>
    <w:rsid w:val="002C7BB9"/>
    <w:rsid w:val="002E5BA4"/>
    <w:rsid w:val="002F3F9A"/>
    <w:rsid w:val="00324FF7"/>
    <w:rsid w:val="00332DBA"/>
    <w:rsid w:val="003423A2"/>
    <w:rsid w:val="003616F1"/>
    <w:rsid w:val="00363A7F"/>
    <w:rsid w:val="0037516F"/>
    <w:rsid w:val="003B0E7C"/>
    <w:rsid w:val="003B4633"/>
    <w:rsid w:val="003B665A"/>
    <w:rsid w:val="003E3E98"/>
    <w:rsid w:val="003E7FA1"/>
    <w:rsid w:val="003F4B2C"/>
    <w:rsid w:val="00404D32"/>
    <w:rsid w:val="00413BD3"/>
    <w:rsid w:val="00422284"/>
    <w:rsid w:val="00437B53"/>
    <w:rsid w:val="00437D39"/>
    <w:rsid w:val="00440BF2"/>
    <w:rsid w:val="00441BBF"/>
    <w:rsid w:val="00442122"/>
    <w:rsid w:val="004465FB"/>
    <w:rsid w:val="0045767F"/>
    <w:rsid w:val="00487F2D"/>
    <w:rsid w:val="004A320D"/>
    <w:rsid w:val="004B3DBA"/>
    <w:rsid w:val="004D26D4"/>
    <w:rsid w:val="004F01BB"/>
    <w:rsid w:val="005062BE"/>
    <w:rsid w:val="0051614B"/>
    <w:rsid w:val="00544EA1"/>
    <w:rsid w:val="0055421A"/>
    <w:rsid w:val="00556296"/>
    <w:rsid w:val="00580E7C"/>
    <w:rsid w:val="005830C6"/>
    <w:rsid w:val="005907F3"/>
    <w:rsid w:val="0059221F"/>
    <w:rsid w:val="005A0A5A"/>
    <w:rsid w:val="005B088E"/>
    <w:rsid w:val="005C5979"/>
    <w:rsid w:val="005D5F53"/>
    <w:rsid w:val="005D76FC"/>
    <w:rsid w:val="00601731"/>
    <w:rsid w:val="00612EF2"/>
    <w:rsid w:val="00624FE9"/>
    <w:rsid w:val="00661452"/>
    <w:rsid w:val="00677BFE"/>
    <w:rsid w:val="00677F0E"/>
    <w:rsid w:val="0068506D"/>
    <w:rsid w:val="006852EC"/>
    <w:rsid w:val="006A1EE4"/>
    <w:rsid w:val="006B3B19"/>
    <w:rsid w:val="006E2C95"/>
    <w:rsid w:val="006E3CE2"/>
    <w:rsid w:val="006F28E2"/>
    <w:rsid w:val="007528AD"/>
    <w:rsid w:val="00762502"/>
    <w:rsid w:val="00763401"/>
    <w:rsid w:val="0077756A"/>
    <w:rsid w:val="007904D0"/>
    <w:rsid w:val="00790EE8"/>
    <w:rsid w:val="007A3E0F"/>
    <w:rsid w:val="007D7959"/>
    <w:rsid w:val="007E7B7D"/>
    <w:rsid w:val="008006E8"/>
    <w:rsid w:val="00822A1E"/>
    <w:rsid w:val="008344FA"/>
    <w:rsid w:val="008361D9"/>
    <w:rsid w:val="00861027"/>
    <w:rsid w:val="008842AA"/>
    <w:rsid w:val="00885138"/>
    <w:rsid w:val="008946A7"/>
    <w:rsid w:val="008C077B"/>
    <w:rsid w:val="008D01B9"/>
    <w:rsid w:val="008D5E2E"/>
    <w:rsid w:val="008E2647"/>
    <w:rsid w:val="008E2F71"/>
    <w:rsid w:val="008E6F3F"/>
    <w:rsid w:val="008E7CC2"/>
    <w:rsid w:val="008F2FE7"/>
    <w:rsid w:val="008F6559"/>
    <w:rsid w:val="00910C5A"/>
    <w:rsid w:val="00911DD5"/>
    <w:rsid w:val="00913220"/>
    <w:rsid w:val="0092277C"/>
    <w:rsid w:val="0092367A"/>
    <w:rsid w:val="00924D8E"/>
    <w:rsid w:val="0094263A"/>
    <w:rsid w:val="00952293"/>
    <w:rsid w:val="00954E0C"/>
    <w:rsid w:val="00955821"/>
    <w:rsid w:val="00956E7A"/>
    <w:rsid w:val="00986427"/>
    <w:rsid w:val="0099745A"/>
    <w:rsid w:val="009B7A99"/>
    <w:rsid w:val="009C7D52"/>
    <w:rsid w:val="009D1015"/>
    <w:rsid w:val="009D244C"/>
    <w:rsid w:val="009E398C"/>
    <w:rsid w:val="00A03D72"/>
    <w:rsid w:val="00A105EF"/>
    <w:rsid w:val="00A202B8"/>
    <w:rsid w:val="00A333A1"/>
    <w:rsid w:val="00A47821"/>
    <w:rsid w:val="00A535B1"/>
    <w:rsid w:val="00A74FA0"/>
    <w:rsid w:val="00A86D29"/>
    <w:rsid w:val="00A97C57"/>
    <w:rsid w:val="00AD7FFB"/>
    <w:rsid w:val="00AE3DD8"/>
    <w:rsid w:val="00AE74CF"/>
    <w:rsid w:val="00AF28B7"/>
    <w:rsid w:val="00B0133A"/>
    <w:rsid w:val="00B21A48"/>
    <w:rsid w:val="00B40460"/>
    <w:rsid w:val="00B45849"/>
    <w:rsid w:val="00B563CD"/>
    <w:rsid w:val="00B776FE"/>
    <w:rsid w:val="00B93C04"/>
    <w:rsid w:val="00BB6112"/>
    <w:rsid w:val="00BC1715"/>
    <w:rsid w:val="00BC301D"/>
    <w:rsid w:val="00BD387A"/>
    <w:rsid w:val="00BE737B"/>
    <w:rsid w:val="00BE77AE"/>
    <w:rsid w:val="00BF1871"/>
    <w:rsid w:val="00BF28D8"/>
    <w:rsid w:val="00C24752"/>
    <w:rsid w:val="00C36AFE"/>
    <w:rsid w:val="00C57623"/>
    <w:rsid w:val="00C839C7"/>
    <w:rsid w:val="00CA2BF3"/>
    <w:rsid w:val="00CB5290"/>
    <w:rsid w:val="00CC2137"/>
    <w:rsid w:val="00CE2C08"/>
    <w:rsid w:val="00CF6BFD"/>
    <w:rsid w:val="00CF7B34"/>
    <w:rsid w:val="00D27254"/>
    <w:rsid w:val="00D27EA8"/>
    <w:rsid w:val="00D446DE"/>
    <w:rsid w:val="00D459F8"/>
    <w:rsid w:val="00D6232B"/>
    <w:rsid w:val="00D906FC"/>
    <w:rsid w:val="00D90B78"/>
    <w:rsid w:val="00D929FE"/>
    <w:rsid w:val="00DE3415"/>
    <w:rsid w:val="00DF6B10"/>
    <w:rsid w:val="00E0559F"/>
    <w:rsid w:val="00E23AEA"/>
    <w:rsid w:val="00E47678"/>
    <w:rsid w:val="00E620B3"/>
    <w:rsid w:val="00E62DC8"/>
    <w:rsid w:val="00E67296"/>
    <w:rsid w:val="00E674B9"/>
    <w:rsid w:val="00E75058"/>
    <w:rsid w:val="00E77FA9"/>
    <w:rsid w:val="00E80C62"/>
    <w:rsid w:val="00E948E6"/>
    <w:rsid w:val="00EA1F61"/>
    <w:rsid w:val="00EB2959"/>
    <w:rsid w:val="00EC3D6E"/>
    <w:rsid w:val="00ED017C"/>
    <w:rsid w:val="00ED4963"/>
    <w:rsid w:val="00EE2875"/>
    <w:rsid w:val="00EF1ABB"/>
    <w:rsid w:val="00EF1DB3"/>
    <w:rsid w:val="00EF6730"/>
    <w:rsid w:val="00F036F3"/>
    <w:rsid w:val="00F23851"/>
    <w:rsid w:val="00F32B2E"/>
    <w:rsid w:val="00F36354"/>
    <w:rsid w:val="00F41298"/>
    <w:rsid w:val="00F618B0"/>
    <w:rsid w:val="00F641EA"/>
    <w:rsid w:val="00F7699A"/>
    <w:rsid w:val="00FC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4BA4F"/>
  <w15:chartTrackingRefBased/>
  <w15:docId w15:val="{F1023FB5-07D2-4355-A2A0-68E01484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87F2D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rsid w:val="00487F2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</w:pPr>
    <w:rPr>
      <w:rFonts w:ascii="Courier New" w:hAnsi="Courier New" w:cs="Courier New"/>
      <w:sz w:val="20"/>
      <w:szCs w:val="20"/>
      <w:lang w:val="lt-LT" w:eastAsia="lt-LT"/>
    </w:rPr>
  </w:style>
  <w:style w:type="paragraph" w:styleId="Antrats">
    <w:name w:val="header"/>
    <w:basedOn w:val="prastasis"/>
    <w:rsid w:val="00CC2137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CC2137"/>
  </w:style>
  <w:style w:type="paragraph" w:styleId="Debesliotekstas">
    <w:name w:val="Balloon Text"/>
    <w:basedOn w:val="prastasis"/>
    <w:link w:val="DebesliotekstasDiagrama"/>
    <w:rsid w:val="00441BB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441BBF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Liuba Ilčinskienė</dc:creator>
  <cp:keywords/>
  <dc:description/>
  <cp:lastModifiedBy>Bareikytė Miglė</cp:lastModifiedBy>
  <cp:revision>3</cp:revision>
  <cp:lastPrinted>2017-02-14T11:23:00Z</cp:lastPrinted>
  <dcterms:created xsi:type="dcterms:W3CDTF">2017-02-14T13:41:00Z</dcterms:created>
  <dcterms:modified xsi:type="dcterms:W3CDTF">2017-02-14T13:42:00Z</dcterms:modified>
</cp:coreProperties>
</file>