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23" w:rsidRPr="00011556" w:rsidRDefault="00E60C23" w:rsidP="00E60C2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E60C23" w:rsidRPr="00011556" w:rsidRDefault="00E60C23" w:rsidP="00E60C23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E60C23" w:rsidRDefault="00E60C23" w:rsidP="00E60C23">
      <w:pPr>
        <w:spacing w:after="0" w:line="240" w:lineRule="auto"/>
        <w:jc w:val="both"/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Pr="00E60C23">
        <w:rPr>
          <w:rFonts w:eastAsia="Times New Roman" w:cs="Times New Roman"/>
          <w:b/>
          <w:szCs w:val="24"/>
          <w:lang w:eastAsia="lt-LT"/>
        </w:rPr>
        <w:t xml:space="preserve">Dėl </w:t>
      </w:r>
      <w:r w:rsidRPr="00E60C23">
        <w:rPr>
          <w:b/>
        </w:rPr>
        <w:t>Molėtų rajono savivaldybės plėtros plano 2011-2017 metams, patvirtinto Molėtų rajono savivaldybės tarybos 2010 m. gruodžio 21 d. sprendimu Nr. B1-213  „Dėl Molėtų rajono savivaldybės plėtros plano 2011-2017 metams patvirtinimo“</w:t>
      </w:r>
      <w:r w:rsidRPr="00E60C23">
        <w:rPr>
          <w:b/>
        </w:rPr>
        <w:t xml:space="preserve"> pakeitimo</w:t>
      </w:r>
    </w:p>
    <w:p w:rsidR="00E60C23" w:rsidRDefault="00E60C23" w:rsidP="00E60C23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Pr="00F84EA4">
        <w:rPr>
          <w:rFonts w:eastAsia="Times New Roman" w:cs="Times New Roman"/>
          <w:szCs w:val="24"/>
          <w:lang w:eastAsia="lt-LT"/>
        </w:rPr>
        <w:t>Statybos ir vietinio ūkio skyriaus vedėjas, laikinai einantis Strateginio planavimo ir investicijų skyriaus vedėjo funkcijas</w:t>
      </w:r>
      <w:r>
        <w:rPr>
          <w:rFonts w:eastAsia="Times New Roman" w:cs="Times New Roman"/>
          <w:szCs w:val="24"/>
          <w:lang w:eastAsia="lt-LT"/>
        </w:rPr>
        <w:t xml:space="preserve"> </w:t>
      </w:r>
      <w:r w:rsidRPr="00F84EA4">
        <w:rPr>
          <w:rFonts w:eastAsia="Times New Roman" w:cs="Times New Roman"/>
          <w:szCs w:val="24"/>
          <w:lang w:eastAsia="lt-LT"/>
        </w:rPr>
        <w:t>Rimantas Šavelis</w:t>
      </w:r>
    </w:p>
    <w:p w:rsidR="00E60C23" w:rsidRPr="00011556" w:rsidRDefault="00E60C23" w:rsidP="00E60C23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</w:p>
    <w:p w:rsidR="00E60C23" w:rsidRPr="00011556" w:rsidRDefault="00E60C23" w:rsidP="00E60C23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 xml:space="preserve">: </w:t>
      </w:r>
    </w:p>
    <w:p w:rsidR="00E60C23" w:rsidRPr="00011556" w:rsidRDefault="00E60C23" w:rsidP="00E60C23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3124"/>
        <w:gridCol w:w="2525"/>
        <w:gridCol w:w="1870"/>
        <w:gridCol w:w="1559"/>
      </w:tblGrid>
      <w:tr w:rsidR="00E60C23" w:rsidRPr="00011556" w:rsidTr="00077FD5">
        <w:trPr>
          <w:trHeight w:val="23"/>
          <w:tblHeader/>
        </w:trPr>
        <w:tc>
          <w:tcPr>
            <w:tcW w:w="591" w:type="dxa"/>
            <w:vAlign w:val="center"/>
          </w:tcPr>
          <w:p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124" w:type="dxa"/>
            <w:vAlign w:val="center"/>
          </w:tcPr>
          <w:p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525" w:type="dxa"/>
            <w:vAlign w:val="center"/>
          </w:tcPr>
          <w:p w:rsidR="00E60C23" w:rsidRPr="00011556" w:rsidRDefault="00E60C23" w:rsidP="00077FD5">
            <w:pPr>
              <w:spacing w:after="0" w:line="240" w:lineRule="auto"/>
              <w:ind w:left="-135" w:firstLine="135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1870" w:type="dxa"/>
            <w:vAlign w:val="center"/>
          </w:tcPr>
          <w:p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559" w:type="dxa"/>
            <w:vAlign w:val="center"/>
          </w:tcPr>
          <w:p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124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525" w:type="dxa"/>
            <w:vAlign w:val="center"/>
          </w:tcPr>
          <w:p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1870" w:type="dxa"/>
            <w:vAlign w:val="center"/>
          </w:tcPr>
          <w:p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559" w:type="dxa"/>
            <w:vAlign w:val="center"/>
          </w:tcPr>
          <w:p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 xml:space="preserve">Nesudaro 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E60C23" w:rsidRPr="00F84EA4" w:rsidRDefault="00E60C23" w:rsidP="00077FD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  <w:p w:rsidR="00E60C23" w:rsidRPr="00F84EA4" w:rsidRDefault="00E60C23" w:rsidP="00E60C23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 xml:space="preserve">Sprendimą dėl savivaldybės </w:t>
            </w:r>
            <w:r>
              <w:rPr>
                <w:rFonts w:eastAsia="Times New Roman" w:cs="Times New Roman"/>
                <w:sz w:val="22"/>
                <w:lang w:eastAsia="lt-LT"/>
              </w:rPr>
              <w:t>plėtros</w:t>
            </w:r>
            <w:r w:rsidRPr="00F84EA4">
              <w:rPr>
                <w:rFonts w:eastAsia="Times New Roman" w:cs="Times New Roman"/>
                <w:sz w:val="22"/>
                <w:lang w:eastAsia="lt-LT"/>
              </w:rPr>
              <w:t xml:space="preserve"> plano 201</w:t>
            </w:r>
            <w:r>
              <w:rPr>
                <w:rFonts w:eastAsia="Times New Roman" w:cs="Times New Roman"/>
                <w:sz w:val="22"/>
                <w:lang w:eastAsia="lt-LT"/>
              </w:rPr>
              <w:t>1</w:t>
            </w:r>
            <w:r w:rsidRPr="00F84EA4">
              <w:rPr>
                <w:rFonts w:eastAsia="Times New Roman" w:cs="Times New Roman"/>
                <w:sz w:val="22"/>
                <w:lang w:eastAsia="lt-LT"/>
              </w:rPr>
              <w:t>-201</w:t>
            </w:r>
            <w:r>
              <w:rPr>
                <w:rFonts w:eastAsia="Times New Roman" w:cs="Times New Roman"/>
                <w:sz w:val="22"/>
                <w:lang w:eastAsia="lt-LT"/>
              </w:rPr>
              <w:t>7</w:t>
            </w:r>
            <w:r w:rsidRPr="00F84EA4">
              <w:rPr>
                <w:rFonts w:eastAsia="Times New Roman" w:cs="Times New Roman"/>
                <w:sz w:val="22"/>
                <w:lang w:eastAsia="lt-LT"/>
              </w:rPr>
              <w:t xml:space="preserve"> metams p</w:t>
            </w:r>
            <w:r>
              <w:rPr>
                <w:rFonts w:eastAsia="Times New Roman" w:cs="Times New Roman"/>
                <w:sz w:val="22"/>
                <w:lang w:eastAsia="lt-LT"/>
              </w:rPr>
              <w:t>riemonių</w:t>
            </w:r>
            <w:r w:rsidRPr="00F84EA4">
              <w:rPr>
                <w:rFonts w:eastAsia="Times New Roman" w:cs="Times New Roman"/>
                <w:sz w:val="22"/>
                <w:lang w:eastAsia="lt-LT"/>
              </w:rPr>
              <w:t xml:space="preserve"> įgyvendinimo, plano keitimo priima Molėtų rajono savivaldybės taryba. </w:t>
            </w:r>
            <w:r>
              <w:rPr>
                <w:rFonts w:eastAsia="Times New Roman" w:cs="Times New Roman"/>
                <w:sz w:val="22"/>
                <w:lang w:eastAsia="lt-LT"/>
              </w:rPr>
              <w:t>Administracinę priežiūrą atlieka LR Vyriausybės atstovas</w:t>
            </w:r>
            <w:r>
              <w:rPr>
                <w:rFonts w:eastAsia="Times New Roman" w:cs="Times New Roman"/>
                <w:sz w:val="22"/>
                <w:lang w:eastAsia="lt-LT"/>
              </w:rPr>
              <w:t>, l</w:t>
            </w:r>
            <w:r>
              <w:rPr>
                <w:rFonts w:eastAsia="Times New Roman" w:cs="Times New Roman"/>
                <w:sz w:val="22"/>
                <w:lang w:eastAsia="lt-LT"/>
              </w:rPr>
              <w:t>ėšų panaudojimo teisėtumą kontroliuoja Savivaldybės kontrolie</w:t>
            </w:r>
            <w:r>
              <w:rPr>
                <w:rFonts w:eastAsia="Times New Roman" w:cs="Times New Roman"/>
                <w:sz w:val="22"/>
                <w:lang w:eastAsia="lt-LT"/>
              </w:rPr>
              <w:t>r</w:t>
            </w:r>
            <w:r>
              <w:rPr>
                <w:rFonts w:eastAsia="Times New Roman" w:cs="Times New Roman"/>
                <w:sz w:val="22"/>
                <w:lang w:eastAsia="lt-LT"/>
              </w:rPr>
              <w:t>ius, prižiūri Molėtų rajono savivaldybės administracijos direktorius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 xml:space="preserve">Teisės akto projekte nustatyti subjekto įgaliojimai (teisės) </w:t>
            </w:r>
            <w:r w:rsidRPr="00F84EA4">
              <w:rPr>
                <w:rFonts w:eastAsia="Times New Roman" w:cs="Times New Roman"/>
                <w:sz w:val="22"/>
                <w:lang w:eastAsia="lt-LT"/>
              </w:rPr>
              <w:lastRenderedPageBreak/>
              <w:t>atitinka subjekto atliekamas funkcijas (pareigas)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492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E60C23" w:rsidRPr="00F84EA4" w:rsidRDefault="00E60C23" w:rsidP="00077FD5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F84EA4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E60C23" w:rsidRPr="00F84EA4" w:rsidRDefault="00E60C23" w:rsidP="00077FD5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F84EA4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F84EA4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84EA4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F84EA4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F84EA4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Visos procedūros numatytos ir būtinos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lastRenderedPageBreak/>
              <w:t>11.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  <w:r w:rsidRPr="00F84EA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2525" w:type="dxa"/>
          </w:tcPr>
          <w:p w:rsidR="00E60C23" w:rsidRPr="00F84EA4" w:rsidRDefault="00E60C23" w:rsidP="00E60C23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S</w:t>
            </w:r>
            <w:r w:rsidRPr="00F84EA4">
              <w:rPr>
                <w:rFonts w:eastAsia="Times New Roman" w:cs="Times New Roman"/>
                <w:sz w:val="22"/>
                <w:lang w:eastAsia="lt-LT"/>
              </w:rPr>
              <w:t xml:space="preserve">avivaldybės </w:t>
            </w:r>
            <w:r>
              <w:rPr>
                <w:rFonts w:eastAsia="Times New Roman" w:cs="Times New Roman"/>
                <w:sz w:val="22"/>
                <w:lang w:eastAsia="lt-LT"/>
              </w:rPr>
              <w:t>plėtros</w:t>
            </w:r>
            <w:r w:rsidRPr="00F84EA4">
              <w:rPr>
                <w:rFonts w:eastAsia="Times New Roman" w:cs="Times New Roman"/>
                <w:sz w:val="22"/>
                <w:lang w:eastAsia="lt-LT"/>
              </w:rPr>
              <w:t xml:space="preserve"> plano 201</w:t>
            </w:r>
            <w:r>
              <w:rPr>
                <w:rFonts w:eastAsia="Times New Roman" w:cs="Times New Roman"/>
                <w:sz w:val="22"/>
                <w:lang w:eastAsia="lt-LT"/>
              </w:rPr>
              <w:t>1</w:t>
            </w:r>
            <w:r w:rsidRPr="00F84EA4">
              <w:rPr>
                <w:rFonts w:eastAsia="Times New Roman" w:cs="Times New Roman"/>
                <w:sz w:val="22"/>
                <w:lang w:eastAsia="lt-LT"/>
              </w:rPr>
              <w:t>-201</w:t>
            </w:r>
            <w:r>
              <w:rPr>
                <w:rFonts w:eastAsia="Times New Roman" w:cs="Times New Roman"/>
                <w:sz w:val="22"/>
                <w:lang w:eastAsia="lt-LT"/>
              </w:rPr>
              <w:t>7</w:t>
            </w:r>
            <w:bookmarkStart w:id="0" w:name="_GoBack"/>
            <w:bookmarkEnd w:id="0"/>
            <w:r w:rsidRPr="00F84EA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metams viešinimo tvarką reglamentuoja Molėtų rajono savivaldybės tarybos veiklos reglamentas 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F84EA4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Nustatyta aukštesnės galios teisės aktuose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Viešojo sektoriaus subjektų atsakomybė numatyta biudžeto sandaros įstatyme, viešojo sektoriaus atskaitomybės įstatyme, viešojo sektoriaus apskaitos ir finansinės atskaitomybės standartuose ir kituose teisės aktuose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E60C23" w:rsidRPr="00011556" w:rsidRDefault="00E60C23" w:rsidP="00E60C23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6"/>
        <w:gridCol w:w="3897"/>
        <w:gridCol w:w="1661"/>
        <w:gridCol w:w="2639"/>
      </w:tblGrid>
      <w:tr w:rsidR="00E60C23" w:rsidRPr="00011556" w:rsidTr="00077FD5">
        <w:trPr>
          <w:trHeight w:val="23"/>
        </w:trPr>
        <w:tc>
          <w:tcPr>
            <w:tcW w:w="2457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Cs w:val="24"/>
                <w:lang w:eastAsia="lt-LT"/>
              </w:rPr>
              <w:t>Statybos ir vietinio ūkio skyriaus vedėjas, laikinai einantis Strateginio planavimo ir investicijų skyriaus vedėjo funkcijas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Pr="00F84EA4">
              <w:rPr>
                <w:rFonts w:eastAsia="Times New Roman" w:cs="Times New Roman"/>
                <w:szCs w:val="24"/>
                <w:lang w:eastAsia="lt-LT"/>
              </w:rPr>
              <w:t>Rimantas Šavelis</w:t>
            </w:r>
          </w:p>
        </w:tc>
        <w:tc>
          <w:tcPr>
            <w:tcW w:w="2434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E60C23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E60C23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 skyriaus vedėjas Remigijus Tamošiūnas</w:t>
            </w:r>
          </w:p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</w:tr>
      <w:tr w:rsidR="00E60C23" w:rsidRPr="00011556" w:rsidTr="00077FD5">
        <w:trPr>
          <w:trHeight w:val="23"/>
        </w:trPr>
        <w:tc>
          <w:tcPr>
            <w:tcW w:w="2457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E60C23" w:rsidRPr="00011556" w:rsidRDefault="00E60C23" w:rsidP="00077FD5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E60C23" w:rsidRPr="00011556" w:rsidRDefault="00E60C23" w:rsidP="00077FD5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E60C23" w:rsidRPr="00011556" w:rsidTr="00077FD5">
        <w:trPr>
          <w:trHeight w:val="23"/>
        </w:trPr>
        <w:tc>
          <w:tcPr>
            <w:tcW w:w="2457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E60C23" w:rsidRPr="00011556" w:rsidRDefault="00E60C23" w:rsidP="00077FD5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E60C23" w:rsidRPr="00011556" w:rsidRDefault="00E60C23" w:rsidP="00077FD5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                            </w:t>
            </w:r>
          </w:p>
        </w:tc>
        <w:tc>
          <w:tcPr>
            <w:tcW w:w="2434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E60C23" w:rsidRPr="00011556" w:rsidRDefault="00E60C23" w:rsidP="00077FD5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E60C23" w:rsidRPr="00011556" w:rsidRDefault="00E60C23" w:rsidP="00077FD5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E60C23" w:rsidRPr="00011556" w:rsidTr="00077FD5">
        <w:trPr>
          <w:trHeight w:val="23"/>
        </w:trPr>
        <w:tc>
          <w:tcPr>
            <w:tcW w:w="2457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E60C23" w:rsidRPr="00011556" w:rsidRDefault="00E60C23" w:rsidP="00077FD5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E60C23" w:rsidRPr="00011556" w:rsidRDefault="00E60C23" w:rsidP="00077FD5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E60C23" w:rsidRPr="00011556" w:rsidRDefault="00E60C23" w:rsidP="00E60C23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E60C23" w:rsidRPr="00011556" w:rsidRDefault="00E60C23" w:rsidP="00E60C23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E60C23" w:rsidRDefault="00E60C23" w:rsidP="00E60C23">
      <w:pPr>
        <w:jc w:val="center"/>
      </w:pPr>
    </w:p>
    <w:p w:rsidR="00495AA6" w:rsidRDefault="00495AA6"/>
    <w:sectPr w:rsidR="00495AA6" w:rsidSect="00F84EA4">
      <w:pgSz w:w="11906" w:h="16838"/>
      <w:pgMar w:top="567" w:right="567" w:bottom="567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C23" w:rsidRDefault="00E60C23" w:rsidP="00E60C23">
      <w:pPr>
        <w:spacing w:after="0" w:line="240" w:lineRule="auto"/>
      </w:pPr>
      <w:r>
        <w:separator/>
      </w:r>
    </w:p>
  </w:endnote>
  <w:endnote w:type="continuationSeparator" w:id="0">
    <w:p w:rsidR="00E60C23" w:rsidRDefault="00E60C23" w:rsidP="00E6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C23" w:rsidRDefault="00E60C23" w:rsidP="00E60C23">
      <w:pPr>
        <w:spacing w:after="0" w:line="240" w:lineRule="auto"/>
      </w:pPr>
      <w:r>
        <w:separator/>
      </w:r>
    </w:p>
  </w:footnote>
  <w:footnote w:type="continuationSeparator" w:id="0">
    <w:p w:rsidR="00E60C23" w:rsidRDefault="00E60C23" w:rsidP="00E60C23">
      <w:pPr>
        <w:spacing w:after="0" w:line="240" w:lineRule="auto"/>
      </w:pPr>
      <w:r>
        <w:continuationSeparator/>
      </w:r>
    </w:p>
  </w:footnote>
  <w:footnote w:id="1">
    <w:p w:rsidR="00E60C23" w:rsidRDefault="00E60C23" w:rsidP="00E60C23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E60C23" w:rsidRDefault="00E60C23" w:rsidP="00E60C23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</w:t>
      </w:r>
      <w:r>
        <w:t>Tas pat.</w:t>
      </w:r>
    </w:p>
  </w:footnote>
  <w:footnote w:id="3">
    <w:p w:rsidR="00E60C23" w:rsidRDefault="00E60C23" w:rsidP="00E60C23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23"/>
    <w:rsid w:val="00495AA6"/>
    <w:rsid w:val="00A63BFC"/>
    <w:rsid w:val="00E6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BB77"/>
  <w15:chartTrackingRefBased/>
  <w15:docId w15:val="{24782DD6-8382-4630-B4CE-D376A86E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60C23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E60C23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E60C23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semiHidden/>
    <w:rsid w:val="00E60C2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4085</Words>
  <Characters>2330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Rimantas Šavelis</cp:lastModifiedBy>
  <cp:revision>1</cp:revision>
  <dcterms:created xsi:type="dcterms:W3CDTF">2016-12-15T13:16:00Z</dcterms:created>
  <dcterms:modified xsi:type="dcterms:W3CDTF">2016-12-15T13:24:00Z</dcterms:modified>
</cp:coreProperties>
</file>