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84097" w:rsidRPr="00D84097">
        <w:rPr>
          <w:b/>
          <w:caps/>
        </w:rPr>
        <w:t>DĖL</w:t>
      </w:r>
      <w:r w:rsidR="00D84097">
        <w:rPr>
          <w:b/>
          <w:caps/>
        </w:rPr>
        <w:t xml:space="preserve"> MOLĖTŲ</w:t>
      </w:r>
      <w:r w:rsidR="00D84097" w:rsidRPr="00D84097">
        <w:rPr>
          <w:b/>
          <w:caps/>
        </w:rPr>
        <w:t xml:space="preserve"> RAJONO SAVIVALDYBĖS TARYBOS 201</w:t>
      </w:r>
      <w:r w:rsidR="00D84097">
        <w:rPr>
          <w:b/>
          <w:caps/>
        </w:rPr>
        <w:t>6</w:t>
      </w:r>
      <w:r w:rsidR="00D84097" w:rsidRPr="00D84097">
        <w:rPr>
          <w:b/>
          <w:caps/>
        </w:rPr>
        <w:t xml:space="preserve"> M. </w:t>
      </w:r>
      <w:r w:rsidR="00D84097">
        <w:rPr>
          <w:b/>
          <w:caps/>
        </w:rPr>
        <w:t>BIRŽELIO 23</w:t>
      </w:r>
      <w:r w:rsidR="00D84097" w:rsidRPr="00D84097">
        <w:rPr>
          <w:b/>
          <w:caps/>
        </w:rPr>
        <w:t xml:space="preserve"> D. SPRENDIMO NR. </w:t>
      </w:r>
      <w:r w:rsidR="00D84097">
        <w:rPr>
          <w:b/>
          <w:caps/>
        </w:rPr>
        <w:t>B1-155</w:t>
      </w:r>
      <w:r w:rsidR="00D84097" w:rsidRPr="00D84097">
        <w:rPr>
          <w:b/>
          <w:caps/>
        </w:rPr>
        <w:t xml:space="preserve"> „DĖL VIEŠAME AUKCIONE PARDUODAMO </w:t>
      </w:r>
      <w:r w:rsidR="00D84097">
        <w:rPr>
          <w:b/>
          <w:caps/>
        </w:rPr>
        <w:t>MOLĖTŲ</w:t>
      </w:r>
      <w:r w:rsidR="00D84097" w:rsidRPr="00D84097">
        <w:rPr>
          <w:b/>
          <w:caps/>
        </w:rPr>
        <w:t xml:space="preserve"> RAJONO SAVIVALDYBĖS NEKILNOJAMOJO TURTO IR KITŲ NEKILNOJAMŲJŲ DAIKTŲ SĄRAŠO 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84097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E25A30" w:rsidRDefault="003A1998" w:rsidP="00993641">
      <w:pPr>
        <w:spacing w:line="360" w:lineRule="auto"/>
        <w:ind w:firstLine="720"/>
        <w:jc w:val="both"/>
      </w:pPr>
      <w:r>
        <w:t>Vadovaudamasi Lietuvos Respubli</w:t>
      </w:r>
      <w:r w:rsidR="00250557">
        <w:t>kos vietos savivaldos įstatymo</w:t>
      </w:r>
      <w:r w:rsidR="00D309F3">
        <w:t xml:space="preserve"> </w:t>
      </w:r>
      <w:r w:rsidR="00250557">
        <w:t>16</w:t>
      </w:r>
      <w:r>
        <w:t xml:space="preserve"> straipsnio</w:t>
      </w:r>
      <w:r w:rsidR="00250557">
        <w:t xml:space="preserve"> 2 dalies </w:t>
      </w:r>
      <w:r>
        <w:t xml:space="preserve"> </w:t>
      </w:r>
      <w:r w:rsidR="00250557">
        <w:t>26</w:t>
      </w:r>
      <w:r>
        <w:t> punktu,</w:t>
      </w:r>
      <w:r w:rsidR="00250557">
        <w:t xml:space="preserve"> 18 straipsnio 1 dalimi, </w:t>
      </w:r>
      <w:r>
        <w:t>Lietuvos Respublikos valstybės ir savivaldybių turto valdymo, naudoj</w:t>
      </w:r>
      <w:r w:rsidR="00E8382E">
        <w:t>imo ir disponavimo juo įstatymo</w:t>
      </w:r>
      <w:r w:rsidR="009C58C3">
        <w:t xml:space="preserve"> 12 straipsnio 1 dalimi, </w:t>
      </w:r>
      <w:r w:rsidR="005A5FA0">
        <w:t>21 straipsnio 4</w:t>
      </w:r>
      <w:r>
        <w:t xml:space="preserve"> dalimi</w:t>
      </w:r>
      <w:r w:rsidR="00527755">
        <w:t>,</w:t>
      </w:r>
      <w:r>
        <w:t xml:space="preserve"> </w:t>
      </w:r>
      <w:r w:rsidR="000C16DF">
        <w:t>V</w:t>
      </w:r>
      <w:r w:rsidR="005A5FA0">
        <w:t>i</w:t>
      </w:r>
      <w:r w:rsidR="005A5FA0" w:rsidRPr="00436B5D">
        <w:t>ešame</w:t>
      </w:r>
      <w:r w:rsidR="005A5FA0">
        <w:t xml:space="preserve"> aukcione parduodamo valstybės ir savivaldybių nekilnojamojo turto ir kitų nekilnojamųjų daiktų sąrašo sudarymo tvarkos aprašo, patvirtinto Lietuvos Respublikos Vyriausybės 2014 m. s</w:t>
      </w:r>
      <w:r w:rsidR="000C16DF">
        <w:t>palio 28 d. nutarimu Nr. 1179 „</w:t>
      </w:r>
      <w:r w:rsidR="005A5FA0">
        <w:t xml:space="preserve">Dėl </w:t>
      </w:r>
      <w:r w:rsidR="004335D8">
        <w:t>V</w:t>
      </w:r>
      <w:r w:rsidR="005A5FA0">
        <w:t>iešame aukcione parduodamo valstybės ir savivaldybių nekilnojamojo turto ir kitų nekilnojamųjų daiktų sąrašo sudarymo tvarkos aprašo patvirtin</w:t>
      </w:r>
      <w:r w:rsidR="00C73927">
        <w:t>imo</w:t>
      </w:r>
      <w:r w:rsidR="005A5FA0">
        <w:t>“</w:t>
      </w:r>
      <w:r w:rsidR="004335D8">
        <w:t>,</w:t>
      </w:r>
      <w:r w:rsidR="005A5FA0">
        <w:t xml:space="preserve"> 3.2</w:t>
      </w:r>
      <w:r w:rsidR="00336919">
        <w:t xml:space="preserve"> </w:t>
      </w:r>
      <w:r w:rsidR="005A5FA0">
        <w:t xml:space="preserve"> papunkči</w:t>
      </w:r>
      <w:r w:rsidR="00336919">
        <w:t>u,</w:t>
      </w:r>
      <w:r w:rsidR="005A5FA0">
        <w:t xml:space="preserve"> </w:t>
      </w:r>
      <w:r w:rsidR="005677E0">
        <w:t>5,</w:t>
      </w:r>
      <w:r w:rsidR="009C58C3">
        <w:t xml:space="preserve"> 21</w:t>
      </w:r>
      <w:r w:rsidR="005A5FA0">
        <w:t xml:space="preserve"> punkt</w:t>
      </w:r>
      <w:r w:rsidR="009C58C3">
        <w:t>ais</w:t>
      </w:r>
      <w:r w:rsidR="000C16DF">
        <w:t>,</w:t>
      </w:r>
      <w:r w:rsidR="005A5FA0">
        <w:t xml:space="preserve"> atsižvelgdama į </w:t>
      </w:r>
      <w:r w:rsidR="005A5FA0" w:rsidRPr="005044AA">
        <w:t xml:space="preserve">Molėtų rajono savivaldybės administracijos direktoriaus 2016 m. </w:t>
      </w:r>
      <w:r w:rsidR="00E93E64">
        <w:t>spalio 10</w:t>
      </w:r>
      <w:r w:rsidR="005A5FA0" w:rsidRPr="005044AA">
        <w:t xml:space="preserve"> </w:t>
      </w:r>
      <w:r w:rsidR="000C16DF">
        <w:t xml:space="preserve">d. </w:t>
      </w:r>
      <w:r w:rsidR="00C32938">
        <w:t>įsakymą Nr.</w:t>
      </w:r>
      <w:r w:rsidR="00E93E64">
        <w:t xml:space="preserve"> B6-848</w:t>
      </w:r>
      <w:r w:rsidR="005A5FA0" w:rsidRPr="005044AA">
        <w:t xml:space="preserve"> „Dėl</w:t>
      </w:r>
      <w:r w:rsidR="00AC5499" w:rsidRPr="005044AA">
        <w:t xml:space="preserve"> </w:t>
      </w:r>
      <w:r w:rsidR="005A5FA0" w:rsidRPr="005044AA">
        <w:t xml:space="preserve">savivaldybės turto pripažinimo nereikalingu </w:t>
      </w:r>
      <w:r w:rsidR="00E93E64">
        <w:t xml:space="preserve">Molėtų rajono </w:t>
      </w:r>
      <w:r w:rsidR="005A5FA0" w:rsidRPr="005044AA">
        <w:t>savivaldybės</w:t>
      </w:r>
      <w:r w:rsidR="00E93E64">
        <w:t xml:space="preserve"> administracijos</w:t>
      </w:r>
      <w:r w:rsidR="005A5FA0" w:rsidRPr="005044AA">
        <w:t xml:space="preserve"> funkcijoms </w:t>
      </w:r>
      <w:r w:rsidR="00E93E64">
        <w:t>vykdyti</w:t>
      </w:r>
      <w:r w:rsidR="005A5FA0" w:rsidRPr="005044AA">
        <w:t>“</w:t>
      </w:r>
      <w:r w:rsidR="00C32938">
        <w:t>,</w:t>
      </w:r>
      <w:r w:rsidR="00E25A30">
        <w:t xml:space="preserve"> </w:t>
      </w:r>
    </w:p>
    <w:p w:rsidR="005A5FA0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572325">
        <w:t>n u s p r e n d ž i a:</w:t>
      </w:r>
    </w:p>
    <w:p w:rsidR="00A30D42" w:rsidRDefault="005E699B" w:rsidP="00A30D42">
      <w:pPr>
        <w:pStyle w:val="Pagrindinistekstas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</w:pPr>
      <w:r>
        <w:t xml:space="preserve">Pakeisti </w:t>
      </w:r>
      <w:r w:rsidR="005677E0">
        <w:t>V</w:t>
      </w:r>
      <w:r w:rsidR="00A30D42">
        <w:t>iešame aukcione parduodamo Molėtų rajono savivaldybės nekilnojamojo turto ir kitų nekilnojamųjų daiktų sąrašo, patvirtinto Molėtų rajono savival</w:t>
      </w:r>
      <w:r>
        <w:t>dybės tarybos 2016 m. birželio 23 d. sprendim</w:t>
      </w:r>
      <w:r w:rsidR="00A30D42">
        <w:t>u</w:t>
      </w:r>
      <w:r>
        <w:t xml:space="preserve"> Nr. B1-155 „Dėl </w:t>
      </w:r>
      <w:r w:rsidR="005677E0">
        <w:t>V</w:t>
      </w:r>
      <w:r>
        <w:t xml:space="preserve">iešame aukcione parduodamo Molėtų rajono savivaldybės nekilnojamojo turto ir kitų nekilnojamųjų daiktų sąrašo tvirtinimo“ 11 eilutę ir </w:t>
      </w:r>
      <w:r w:rsidR="005677E0">
        <w:t xml:space="preserve">ją </w:t>
      </w:r>
      <w:r>
        <w:t>išdėstyti taip:</w:t>
      </w:r>
    </w:p>
    <w:p w:rsidR="00A30D42" w:rsidRDefault="00A30D42" w:rsidP="00A30D42">
      <w:pPr>
        <w:pStyle w:val="Pagrindinistekstas"/>
        <w:tabs>
          <w:tab w:val="left" w:pos="993"/>
        </w:tabs>
        <w:spacing w:line="360" w:lineRule="auto"/>
      </w:pPr>
      <w:r>
        <w:t>„</w:t>
      </w:r>
    </w:p>
    <w:tbl>
      <w:tblPr>
        <w:tblW w:w="991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506"/>
        <w:gridCol w:w="1842"/>
        <w:gridCol w:w="1133"/>
        <w:gridCol w:w="1416"/>
        <w:gridCol w:w="2407"/>
      </w:tblGrid>
      <w:tr w:rsidR="00D03F7F" w:rsidTr="002A033E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D03F7F" w:rsidTr="002A033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F7F" w:rsidRDefault="00D03F7F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11.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Kultūros namai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6297-4011-4015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 w:rsidP="00D03F7F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449,87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22046,71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lang w:eastAsia="lt-LT"/>
              </w:rPr>
              <w:t>Suginčių</w:t>
            </w:r>
            <w:proofErr w:type="spellEnd"/>
            <w:r>
              <w:rPr>
                <w:bCs/>
                <w:lang w:eastAsia="lt-LT"/>
              </w:rPr>
              <w:t xml:space="preserve"> sen., </w:t>
            </w:r>
            <w:proofErr w:type="spellStart"/>
            <w:r>
              <w:rPr>
                <w:bCs/>
                <w:lang w:eastAsia="lt-LT"/>
              </w:rPr>
              <w:t>Verbiškių</w:t>
            </w:r>
            <w:proofErr w:type="spellEnd"/>
            <w:r>
              <w:rPr>
                <w:bCs/>
                <w:lang w:eastAsia="lt-LT"/>
              </w:rPr>
              <w:t xml:space="preserve"> k.,</w:t>
            </w:r>
          </w:p>
          <w:p w:rsidR="00D03F7F" w:rsidRDefault="00D03F7F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Draugystės g. 8</w:t>
            </w:r>
          </w:p>
        </w:tc>
      </w:tr>
    </w:tbl>
    <w:p w:rsidR="00B9761E" w:rsidRPr="00B9761E" w:rsidRDefault="00B9761E" w:rsidP="00B9761E">
      <w:pPr>
        <w:pStyle w:val="Sraopastraipa"/>
        <w:tabs>
          <w:tab w:val="left" w:pos="993"/>
        </w:tabs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„</w:t>
      </w:r>
    </w:p>
    <w:p w:rsidR="00B9761E" w:rsidRDefault="00E93E64" w:rsidP="00A30D42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A30D42">
        <w:rPr>
          <w:color w:val="000000"/>
        </w:rPr>
        <w:lastRenderedPageBreak/>
        <w:t>Pakeisti Viešame aukcione parduodamo Molėtų rajono savivaldybės nekilnojamojo turto ir kitų nekilnojamųjų daiktų sąrašą, patvirtintą Molėtų rajono savivaldybės tarybos 2016 m. birželio 23</w:t>
      </w:r>
      <w:r w:rsidR="00185D4B" w:rsidRPr="00A30D42">
        <w:rPr>
          <w:color w:val="000000"/>
        </w:rPr>
        <w:t xml:space="preserve"> </w:t>
      </w:r>
      <w:r w:rsidRPr="00A30D42">
        <w:rPr>
          <w:color w:val="000000"/>
        </w:rPr>
        <w:t xml:space="preserve">d. sprendimu Nr. B1-155 „Dėl </w:t>
      </w:r>
      <w:r w:rsidR="005677E0">
        <w:rPr>
          <w:color w:val="000000"/>
        </w:rPr>
        <w:t>V</w:t>
      </w:r>
      <w:r w:rsidRPr="00A30D42">
        <w:rPr>
          <w:color w:val="000000"/>
        </w:rPr>
        <w:t>iešame aukcione parduodamo Molėtų rajono savivaldybės nekilnojamojo turto ir kitų nekilnoj</w:t>
      </w:r>
      <w:r w:rsidR="000F054B" w:rsidRPr="00A30D42">
        <w:rPr>
          <w:color w:val="000000"/>
        </w:rPr>
        <w:t>amųjų daiktų sąrašo tvirtinimo“</w:t>
      </w:r>
      <w:r w:rsidRPr="00A30D42">
        <w:rPr>
          <w:color w:val="000000"/>
        </w:rPr>
        <w:t xml:space="preserve"> ir papildyti </w:t>
      </w:r>
      <w:r w:rsidR="005677E0">
        <w:rPr>
          <w:color w:val="000000"/>
        </w:rPr>
        <w:t xml:space="preserve">jį </w:t>
      </w:r>
      <w:r w:rsidR="0032493C" w:rsidRPr="00A30D42">
        <w:rPr>
          <w:color w:val="000000"/>
        </w:rPr>
        <w:t>29</w:t>
      </w:r>
      <w:r w:rsidRPr="00A30D42">
        <w:rPr>
          <w:color w:val="000000"/>
        </w:rPr>
        <w:t xml:space="preserve"> punkt</w:t>
      </w:r>
      <w:r w:rsidR="0032493C" w:rsidRPr="00A30D42">
        <w:rPr>
          <w:color w:val="000000"/>
        </w:rPr>
        <w:t>u</w:t>
      </w:r>
      <w:r w:rsidR="00A30D42" w:rsidRPr="00A30D42">
        <w:rPr>
          <w:color w:val="000000"/>
        </w:rPr>
        <w:t>:</w:t>
      </w:r>
    </w:p>
    <w:p w:rsidR="00A30D42" w:rsidRPr="00A30D42" w:rsidRDefault="00B9761E" w:rsidP="00B9761E">
      <w:pPr>
        <w:pStyle w:val="Sraopastraipa"/>
        <w:tabs>
          <w:tab w:val="left" w:pos="993"/>
        </w:tabs>
        <w:spacing w:line="360" w:lineRule="auto"/>
        <w:ind w:left="709" w:hanging="709"/>
        <w:jc w:val="both"/>
        <w:rPr>
          <w:color w:val="000000"/>
        </w:rPr>
      </w:pPr>
      <w:r>
        <w:t>„</w:t>
      </w:r>
      <w:r w:rsidR="00A30D42">
        <w:tab/>
      </w:r>
      <w:r w:rsidR="00A30D42">
        <w:tab/>
      </w:r>
      <w:r w:rsidR="00A30D42">
        <w:tab/>
      </w:r>
      <w:r w:rsidR="00A30D42">
        <w:tab/>
      </w:r>
      <w:r w:rsidR="00A30D42">
        <w:tab/>
      </w:r>
      <w:r w:rsidR="00A30D42">
        <w:tab/>
      </w:r>
      <w:r w:rsidR="00A30D42">
        <w:tab/>
      </w:r>
    </w:p>
    <w:tbl>
      <w:tblPr>
        <w:tblW w:w="992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508"/>
        <w:gridCol w:w="1843"/>
        <w:gridCol w:w="1134"/>
        <w:gridCol w:w="1417"/>
        <w:gridCol w:w="2409"/>
      </w:tblGrid>
      <w:tr w:rsidR="00A30D42" w:rsidRPr="008B35D2" w:rsidTr="00B52F1D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D42" w:rsidRPr="008B35D2" w:rsidRDefault="00A30D42" w:rsidP="00B52F1D">
            <w:pPr>
              <w:jc w:val="center"/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D42" w:rsidRPr="008B35D2" w:rsidRDefault="00A30D42" w:rsidP="00B52F1D">
            <w:pPr>
              <w:jc w:val="center"/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D42" w:rsidRPr="008B35D2" w:rsidRDefault="00A30D42" w:rsidP="00B52F1D">
            <w:pPr>
              <w:jc w:val="center"/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42" w:rsidRPr="008B35D2" w:rsidRDefault="00A30D42" w:rsidP="00B52F1D">
            <w:pPr>
              <w:jc w:val="center"/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2" w:rsidRPr="008B35D2" w:rsidRDefault="00A30D42" w:rsidP="00B52F1D">
            <w:pPr>
              <w:jc w:val="center"/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 w:rsidRPr="008B35D2"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D42" w:rsidRPr="008B35D2" w:rsidRDefault="00A30D42" w:rsidP="00B52F1D">
            <w:pPr>
              <w:jc w:val="center"/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A30D42" w:rsidRPr="008B35D2" w:rsidTr="00B52F1D">
        <w:trPr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D42" w:rsidRPr="008B35D2" w:rsidRDefault="00A30D42" w:rsidP="00B52F1D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29.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D42" w:rsidRPr="008B35D2" w:rsidRDefault="00A30D42" w:rsidP="00B52F1D">
            <w:pPr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>Pastatas – Mokykla</w:t>
            </w:r>
          </w:p>
          <w:p w:rsidR="00A30D42" w:rsidRPr="008B35D2" w:rsidRDefault="00A30D42" w:rsidP="00B52F1D">
            <w:pPr>
              <w:ind w:right="-108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42" w:rsidRPr="008B35D2" w:rsidRDefault="00A30D42" w:rsidP="00B52F1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42" w:rsidRPr="008B35D2" w:rsidRDefault="00A30D42" w:rsidP="00B52F1D">
            <w:pPr>
              <w:ind w:right="176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42" w:rsidRPr="008B35D2" w:rsidRDefault="00A30D42" w:rsidP="00B52F1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D42" w:rsidRPr="008B35D2" w:rsidRDefault="00A30D42" w:rsidP="00B52F1D">
            <w:pPr>
              <w:rPr>
                <w:bCs/>
                <w:color w:val="000000"/>
                <w:lang w:eastAsia="lt-LT"/>
              </w:rPr>
            </w:pPr>
            <w:r w:rsidRPr="008B35D2">
              <w:rPr>
                <w:bCs/>
                <w:color w:val="000000"/>
                <w:lang w:eastAsia="lt-LT"/>
              </w:rPr>
              <w:t xml:space="preserve">Molėtų r. sav., </w:t>
            </w:r>
            <w:r>
              <w:rPr>
                <w:bCs/>
                <w:color w:val="000000"/>
                <w:lang w:eastAsia="lt-LT"/>
              </w:rPr>
              <w:t>Molėtų m., Graužinių g. 7</w:t>
            </w:r>
          </w:p>
        </w:tc>
      </w:tr>
    </w:tbl>
    <w:p w:rsidR="00A30D42" w:rsidRPr="000F054B" w:rsidRDefault="00B9761E" w:rsidP="00B9761E">
      <w:pPr>
        <w:spacing w:line="360" w:lineRule="auto"/>
        <w:jc w:val="right"/>
      </w:pPr>
      <w:r>
        <w:t>„</w:t>
      </w:r>
    </w:p>
    <w:p w:rsidR="003A1998" w:rsidRDefault="003A1998" w:rsidP="009A39C5">
      <w:pPr>
        <w:spacing w:line="360" w:lineRule="auto"/>
        <w:ind w:firstLine="68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6A3D86" w:rsidRDefault="006A3D86" w:rsidP="00C73927">
      <w:pPr>
        <w:spacing w:line="360" w:lineRule="auto"/>
        <w:ind w:firstLine="680"/>
        <w:jc w:val="both"/>
      </w:pPr>
    </w:p>
    <w:p w:rsidR="006A3D86" w:rsidRDefault="006A3D86" w:rsidP="00C73927">
      <w:pPr>
        <w:spacing w:line="360" w:lineRule="auto"/>
        <w:ind w:firstLine="680"/>
        <w:jc w:val="both"/>
      </w:pP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8B35D2" w:rsidRDefault="008B35D2" w:rsidP="002267DF">
      <w:pPr>
        <w:tabs>
          <w:tab w:val="left" w:pos="7513"/>
        </w:tabs>
      </w:pPr>
    </w:p>
    <w:p w:rsidR="008B35D2" w:rsidRDefault="008B35D2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CC" w:rsidRDefault="00AC0DCC">
      <w:r>
        <w:separator/>
      </w:r>
    </w:p>
  </w:endnote>
  <w:endnote w:type="continuationSeparator" w:id="0">
    <w:p w:rsidR="00AC0DCC" w:rsidRDefault="00AC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CC" w:rsidRDefault="00AC0DCC">
      <w:r>
        <w:separator/>
      </w:r>
    </w:p>
  </w:footnote>
  <w:footnote w:type="continuationSeparator" w:id="0">
    <w:p w:rsidR="00AC0DCC" w:rsidRDefault="00AC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79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>
      <w:start w:val="1"/>
      <w:numFmt w:val="lowerLetter"/>
      <w:lvlText w:val="%2."/>
      <w:lvlJc w:val="left"/>
      <w:pPr>
        <w:ind w:left="3600" w:hanging="360"/>
      </w:pPr>
    </w:lvl>
    <w:lvl w:ilvl="2" w:tplc="0427001B">
      <w:start w:val="1"/>
      <w:numFmt w:val="lowerRoman"/>
      <w:lvlText w:val="%3."/>
      <w:lvlJc w:val="right"/>
      <w:pPr>
        <w:ind w:left="4320" w:hanging="180"/>
      </w:pPr>
    </w:lvl>
    <w:lvl w:ilvl="3" w:tplc="0427000F">
      <w:start w:val="1"/>
      <w:numFmt w:val="decimal"/>
      <w:lvlText w:val="%4."/>
      <w:lvlJc w:val="left"/>
      <w:pPr>
        <w:ind w:left="5040" w:hanging="360"/>
      </w:pPr>
    </w:lvl>
    <w:lvl w:ilvl="4" w:tplc="04270019">
      <w:start w:val="1"/>
      <w:numFmt w:val="lowerLetter"/>
      <w:lvlText w:val="%5."/>
      <w:lvlJc w:val="left"/>
      <w:pPr>
        <w:ind w:left="5760" w:hanging="360"/>
      </w:pPr>
    </w:lvl>
    <w:lvl w:ilvl="5" w:tplc="0427001B">
      <w:start w:val="1"/>
      <w:numFmt w:val="lowerRoman"/>
      <w:lvlText w:val="%6."/>
      <w:lvlJc w:val="right"/>
      <w:pPr>
        <w:ind w:left="6480" w:hanging="180"/>
      </w:pPr>
    </w:lvl>
    <w:lvl w:ilvl="6" w:tplc="0427000F">
      <w:start w:val="1"/>
      <w:numFmt w:val="decimal"/>
      <w:lvlText w:val="%7."/>
      <w:lvlJc w:val="left"/>
      <w:pPr>
        <w:ind w:left="7200" w:hanging="360"/>
      </w:pPr>
    </w:lvl>
    <w:lvl w:ilvl="7" w:tplc="04270019">
      <w:start w:val="1"/>
      <w:numFmt w:val="lowerLetter"/>
      <w:lvlText w:val="%8."/>
      <w:lvlJc w:val="left"/>
      <w:pPr>
        <w:ind w:left="7920" w:hanging="360"/>
      </w:pPr>
    </w:lvl>
    <w:lvl w:ilvl="8" w:tplc="0427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A5F45D0"/>
    <w:multiLevelType w:val="hybridMultilevel"/>
    <w:tmpl w:val="1DDCD84C"/>
    <w:lvl w:ilvl="0" w:tplc="8E72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11D6D"/>
    <w:rsid w:val="0002409F"/>
    <w:rsid w:val="00024751"/>
    <w:rsid w:val="00043CAC"/>
    <w:rsid w:val="00044AC7"/>
    <w:rsid w:val="000560EB"/>
    <w:rsid w:val="000A4222"/>
    <w:rsid w:val="000C16DF"/>
    <w:rsid w:val="000C7844"/>
    <w:rsid w:val="000D6458"/>
    <w:rsid w:val="000E6C1F"/>
    <w:rsid w:val="000F054B"/>
    <w:rsid w:val="000F774C"/>
    <w:rsid w:val="00112C24"/>
    <w:rsid w:val="001156B7"/>
    <w:rsid w:val="0012091C"/>
    <w:rsid w:val="00122853"/>
    <w:rsid w:val="00132437"/>
    <w:rsid w:val="00162592"/>
    <w:rsid w:val="00185D4B"/>
    <w:rsid w:val="00193671"/>
    <w:rsid w:val="00196E8D"/>
    <w:rsid w:val="001D3021"/>
    <w:rsid w:val="001E6F1A"/>
    <w:rsid w:val="001F07B5"/>
    <w:rsid w:val="001F2C03"/>
    <w:rsid w:val="00211F14"/>
    <w:rsid w:val="00214162"/>
    <w:rsid w:val="00215BBF"/>
    <w:rsid w:val="002227C2"/>
    <w:rsid w:val="002267DF"/>
    <w:rsid w:val="002354C9"/>
    <w:rsid w:val="00250557"/>
    <w:rsid w:val="00262456"/>
    <w:rsid w:val="0026394B"/>
    <w:rsid w:val="002756BB"/>
    <w:rsid w:val="0027733A"/>
    <w:rsid w:val="00297598"/>
    <w:rsid w:val="002A033E"/>
    <w:rsid w:val="002B3F02"/>
    <w:rsid w:val="002B5A97"/>
    <w:rsid w:val="002B6AA9"/>
    <w:rsid w:val="002C466A"/>
    <w:rsid w:val="002C5DD7"/>
    <w:rsid w:val="002E1AAA"/>
    <w:rsid w:val="002E384A"/>
    <w:rsid w:val="00305758"/>
    <w:rsid w:val="003077B3"/>
    <w:rsid w:val="0031521D"/>
    <w:rsid w:val="0032493C"/>
    <w:rsid w:val="00334400"/>
    <w:rsid w:val="00336919"/>
    <w:rsid w:val="00341416"/>
    <w:rsid w:val="00341D56"/>
    <w:rsid w:val="0034218F"/>
    <w:rsid w:val="003603AB"/>
    <w:rsid w:val="00362B8F"/>
    <w:rsid w:val="0037027A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C3A"/>
    <w:rsid w:val="004335D8"/>
    <w:rsid w:val="00436B5D"/>
    <w:rsid w:val="004652F0"/>
    <w:rsid w:val="00470EB5"/>
    <w:rsid w:val="0047286A"/>
    <w:rsid w:val="00475BF3"/>
    <w:rsid w:val="00482F35"/>
    <w:rsid w:val="00487B2B"/>
    <w:rsid w:val="004913ED"/>
    <w:rsid w:val="004968FC"/>
    <w:rsid w:val="00497061"/>
    <w:rsid w:val="004A145E"/>
    <w:rsid w:val="004A6916"/>
    <w:rsid w:val="004B0A1C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677E0"/>
    <w:rsid w:val="00572325"/>
    <w:rsid w:val="0057650E"/>
    <w:rsid w:val="00586863"/>
    <w:rsid w:val="00592630"/>
    <w:rsid w:val="00592899"/>
    <w:rsid w:val="005A1D3A"/>
    <w:rsid w:val="005A4424"/>
    <w:rsid w:val="005A5061"/>
    <w:rsid w:val="005A5FA0"/>
    <w:rsid w:val="005C2303"/>
    <w:rsid w:val="005C68C2"/>
    <w:rsid w:val="005E57AF"/>
    <w:rsid w:val="005E699B"/>
    <w:rsid w:val="005F38B6"/>
    <w:rsid w:val="00605672"/>
    <w:rsid w:val="00613ECB"/>
    <w:rsid w:val="0061769B"/>
    <w:rsid w:val="006213AE"/>
    <w:rsid w:val="00633AA1"/>
    <w:rsid w:val="00647E99"/>
    <w:rsid w:val="00652342"/>
    <w:rsid w:val="00656CF0"/>
    <w:rsid w:val="006710C3"/>
    <w:rsid w:val="00697486"/>
    <w:rsid w:val="006A3D86"/>
    <w:rsid w:val="006A60FC"/>
    <w:rsid w:val="006B5439"/>
    <w:rsid w:val="006D0340"/>
    <w:rsid w:val="00704E1D"/>
    <w:rsid w:val="00720AD5"/>
    <w:rsid w:val="0073042A"/>
    <w:rsid w:val="007375DA"/>
    <w:rsid w:val="00747439"/>
    <w:rsid w:val="00750F8F"/>
    <w:rsid w:val="00765497"/>
    <w:rsid w:val="00774792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94C89"/>
    <w:rsid w:val="008A401C"/>
    <w:rsid w:val="008B35D2"/>
    <w:rsid w:val="008D00AE"/>
    <w:rsid w:val="008E5B62"/>
    <w:rsid w:val="008F2B7C"/>
    <w:rsid w:val="00930D04"/>
    <w:rsid w:val="00930EBD"/>
    <w:rsid w:val="0093412A"/>
    <w:rsid w:val="00935D17"/>
    <w:rsid w:val="0095282C"/>
    <w:rsid w:val="00957080"/>
    <w:rsid w:val="00976454"/>
    <w:rsid w:val="00993641"/>
    <w:rsid w:val="0099623A"/>
    <w:rsid w:val="0099744D"/>
    <w:rsid w:val="009A39C5"/>
    <w:rsid w:val="009B2B5D"/>
    <w:rsid w:val="009B4614"/>
    <w:rsid w:val="009B555A"/>
    <w:rsid w:val="009C58C3"/>
    <w:rsid w:val="009E022F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1694"/>
    <w:rsid w:val="00A26CE8"/>
    <w:rsid w:val="00A2771E"/>
    <w:rsid w:val="00A30D42"/>
    <w:rsid w:val="00A5601D"/>
    <w:rsid w:val="00A57647"/>
    <w:rsid w:val="00A6798A"/>
    <w:rsid w:val="00A70230"/>
    <w:rsid w:val="00A90AB0"/>
    <w:rsid w:val="00AA0BF2"/>
    <w:rsid w:val="00AA113F"/>
    <w:rsid w:val="00AC0DCC"/>
    <w:rsid w:val="00AC5499"/>
    <w:rsid w:val="00AD0297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9761E"/>
    <w:rsid w:val="00BA5B9D"/>
    <w:rsid w:val="00BA65BB"/>
    <w:rsid w:val="00BB4A37"/>
    <w:rsid w:val="00BB70B1"/>
    <w:rsid w:val="00BC13BC"/>
    <w:rsid w:val="00BC425B"/>
    <w:rsid w:val="00BD6EC8"/>
    <w:rsid w:val="00BD731D"/>
    <w:rsid w:val="00BE31B6"/>
    <w:rsid w:val="00BF4603"/>
    <w:rsid w:val="00C041D3"/>
    <w:rsid w:val="00C16EA1"/>
    <w:rsid w:val="00C25514"/>
    <w:rsid w:val="00C32938"/>
    <w:rsid w:val="00C4385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16B5"/>
    <w:rsid w:val="00D03D5A"/>
    <w:rsid w:val="00D03F7F"/>
    <w:rsid w:val="00D0539B"/>
    <w:rsid w:val="00D22A89"/>
    <w:rsid w:val="00D309F3"/>
    <w:rsid w:val="00D42309"/>
    <w:rsid w:val="00D43E84"/>
    <w:rsid w:val="00D613AD"/>
    <w:rsid w:val="00D65A25"/>
    <w:rsid w:val="00D80DE9"/>
    <w:rsid w:val="00D8136A"/>
    <w:rsid w:val="00D829FB"/>
    <w:rsid w:val="00D84097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515F"/>
    <w:rsid w:val="00E73BBC"/>
    <w:rsid w:val="00E8382E"/>
    <w:rsid w:val="00E93E64"/>
    <w:rsid w:val="00EB5084"/>
    <w:rsid w:val="00ED6C19"/>
    <w:rsid w:val="00EE5281"/>
    <w:rsid w:val="00EE645F"/>
    <w:rsid w:val="00EF4348"/>
    <w:rsid w:val="00EF7C7F"/>
    <w:rsid w:val="00F076A8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BB9D1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4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47E99"/>
    <w:rPr>
      <w:rFonts w:ascii="Courier New" w:hAnsi="Courier New" w:cs="Courier New"/>
    </w:rPr>
  </w:style>
  <w:style w:type="paragraph" w:styleId="Betarp">
    <w:name w:val="No Spacing"/>
    <w:uiPriority w:val="1"/>
    <w:qFormat/>
    <w:rsid w:val="006A3D86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734F5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129A3"/>
    <w:rsid w:val="003474FC"/>
    <w:rsid w:val="00353A8E"/>
    <w:rsid w:val="00377A85"/>
    <w:rsid w:val="00413E84"/>
    <w:rsid w:val="00416851"/>
    <w:rsid w:val="00435528"/>
    <w:rsid w:val="00444D17"/>
    <w:rsid w:val="00451092"/>
    <w:rsid w:val="004C2B2F"/>
    <w:rsid w:val="00500B77"/>
    <w:rsid w:val="00574973"/>
    <w:rsid w:val="00580294"/>
    <w:rsid w:val="005B2701"/>
    <w:rsid w:val="005F1FBB"/>
    <w:rsid w:val="00602490"/>
    <w:rsid w:val="0060666D"/>
    <w:rsid w:val="00613EDC"/>
    <w:rsid w:val="0062169D"/>
    <w:rsid w:val="0064294B"/>
    <w:rsid w:val="006429FC"/>
    <w:rsid w:val="0066229A"/>
    <w:rsid w:val="00667052"/>
    <w:rsid w:val="006739BC"/>
    <w:rsid w:val="006952D3"/>
    <w:rsid w:val="006C32D1"/>
    <w:rsid w:val="007342B8"/>
    <w:rsid w:val="00766F09"/>
    <w:rsid w:val="00770BBE"/>
    <w:rsid w:val="00776013"/>
    <w:rsid w:val="0077609F"/>
    <w:rsid w:val="0078628A"/>
    <w:rsid w:val="007F4F20"/>
    <w:rsid w:val="0083470C"/>
    <w:rsid w:val="008456E2"/>
    <w:rsid w:val="00861E9E"/>
    <w:rsid w:val="00924724"/>
    <w:rsid w:val="00940CA5"/>
    <w:rsid w:val="0094626E"/>
    <w:rsid w:val="00961A22"/>
    <w:rsid w:val="0099679D"/>
    <w:rsid w:val="009E7FDF"/>
    <w:rsid w:val="009F385E"/>
    <w:rsid w:val="00A16DEF"/>
    <w:rsid w:val="00A24B2B"/>
    <w:rsid w:val="00A505CB"/>
    <w:rsid w:val="00A5746C"/>
    <w:rsid w:val="00A6201E"/>
    <w:rsid w:val="00A75DAC"/>
    <w:rsid w:val="00AB6179"/>
    <w:rsid w:val="00AF28C5"/>
    <w:rsid w:val="00B032A7"/>
    <w:rsid w:val="00B2053D"/>
    <w:rsid w:val="00B46C5A"/>
    <w:rsid w:val="00B47C4F"/>
    <w:rsid w:val="00B84A5C"/>
    <w:rsid w:val="00BF3B82"/>
    <w:rsid w:val="00C34304"/>
    <w:rsid w:val="00C7078F"/>
    <w:rsid w:val="00C86F9F"/>
    <w:rsid w:val="00CA277B"/>
    <w:rsid w:val="00CC78A9"/>
    <w:rsid w:val="00CE1B28"/>
    <w:rsid w:val="00D0662E"/>
    <w:rsid w:val="00D7497E"/>
    <w:rsid w:val="00D970CC"/>
    <w:rsid w:val="00DB0466"/>
    <w:rsid w:val="00DD0D58"/>
    <w:rsid w:val="00DD2CEC"/>
    <w:rsid w:val="00DD6589"/>
    <w:rsid w:val="00DD6E87"/>
    <w:rsid w:val="00DE0149"/>
    <w:rsid w:val="00E04CC9"/>
    <w:rsid w:val="00E06A26"/>
    <w:rsid w:val="00E144B5"/>
    <w:rsid w:val="00E17628"/>
    <w:rsid w:val="00E81314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BD44-F2C4-4259-8127-40AC814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2016-10-11T12:50:00Z</cp:lastPrinted>
  <dcterms:created xsi:type="dcterms:W3CDTF">2016-10-12T10:54:00Z</dcterms:created>
  <dcterms:modified xsi:type="dcterms:W3CDTF">2016-10-12T11:16:00Z</dcterms:modified>
</cp:coreProperties>
</file>