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76" w:rsidRPr="004F4876" w:rsidRDefault="004F4876" w:rsidP="004F48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4876">
        <w:rPr>
          <w:rFonts w:ascii="Times New Roman" w:eastAsia="Times New Roman" w:hAnsi="Times New Roman" w:cs="Times New Roman"/>
          <w:sz w:val="24"/>
          <w:szCs w:val="24"/>
        </w:rPr>
        <w:t>PATVIRTINTA</w:t>
      </w:r>
    </w:p>
    <w:p w:rsidR="00B91A30" w:rsidRDefault="004F4876" w:rsidP="004F4876">
      <w:pPr>
        <w:rPr>
          <w:rFonts w:ascii="Times New Roman" w:hAnsi="Times New Roman" w:cs="Times New Roman"/>
          <w:sz w:val="36"/>
          <w:szCs w:val="36"/>
        </w:rPr>
      </w:pPr>
      <w:r w:rsidRPr="004F487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4876">
        <w:rPr>
          <w:rFonts w:ascii="Times New Roman" w:eastAsia="Times New Roman" w:hAnsi="Times New Roman" w:cs="Times New Roman"/>
          <w:sz w:val="24"/>
          <w:szCs w:val="24"/>
        </w:rPr>
        <w:t>Molėtų rajono savivaldybės tarybos</w:t>
      </w:r>
      <w:r w:rsidRPr="004F4876">
        <w:rPr>
          <w:rFonts w:ascii="Times New Roman" w:eastAsia="Times New Roman" w:hAnsi="Times New Roman" w:cs="Times New Roman"/>
          <w:sz w:val="24"/>
          <w:szCs w:val="24"/>
        </w:rPr>
        <w:tab/>
      </w:r>
      <w:r w:rsidRPr="004F487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4876">
        <w:rPr>
          <w:rFonts w:ascii="Times New Roman" w:eastAsia="Times New Roman" w:hAnsi="Times New Roman" w:cs="Times New Roman"/>
          <w:sz w:val="24"/>
          <w:szCs w:val="24"/>
        </w:rPr>
        <w:t>2016 m. balandžio   d. sprendimu Nr</w:t>
      </w:r>
      <w:r>
        <w:rPr>
          <w:rFonts w:ascii="Times New Roman" w:eastAsia="Times New Roman" w:hAnsi="Times New Roman" w:cs="Times New Roman"/>
          <w:sz w:val="24"/>
          <w:szCs w:val="24"/>
        </w:rPr>
        <w:t>.</w:t>
      </w:r>
    </w:p>
    <w:p w:rsidR="00503474" w:rsidRDefault="00503474" w:rsidP="004E04CF">
      <w:pPr>
        <w:jc w:val="center"/>
        <w:rPr>
          <w:rFonts w:ascii="Times New Roman" w:hAnsi="Times New Roman" w:cs="Times New Roman"/>
          <w:b/>
          <w:sz w:val="24"/>
          <w:szCs w:val="24"/>
        </w:rPr>
      </w:pPr>
    </w:p>
    <w:p w:rsidR="00503474" w:rsidRDefault="00503474" w:rsidP="004E04CF">
      <w:pPr>
        <w:jc w:val="center"/>
        <w:rPr>
          <w:rFonts w:ascii="Times New Roman" w:hAnsi="Times New Roman" w:cs="Times New Roman"/>
          <w:b/>
          <w:sz w:val="24"/>
          <w:szCs w:val="24"/>
        </w:rPr>
      </w:pPr>
    </w:p>
    <w:p w:rsidR="004E04CF" w:rsidRPr="00B91A30" w:rsidRDefault="004E04CF" w:rsidP="004E04CF">
      <w:pPr>
        <w:jc w:val="center"/>
        <w:rPr>
          <w:rFonts w:ascii="Times New Roman" w:hAnsi="Times New Roman" w:cs="Times New Roman"/>
          <w:b/>
          <w:sz w:val="24"/>
          <w:szCs w:val="24"/>
        </w:rPr>
      </w:pPr>
      <w:r w:rsidRPr="00B91A30">
        <w:rPr>
          <w:rFonts w:ascii="Times New Roman" w:hAnsi="Times New Roman" w:cs="Times New Roman"/>
          <w:b/>
          <w:sz w:val="24"/>
          <w:szCs w:val="24"/>
        </w:rPr>
        <w:t>MOLĖTŲ RAJONO SAVIVALDYBĖS VISUOMENĖS SVEIKATOS STEBĖSENOS</w:t>
      </w:r>
    </w:p>
    <w:p w:rsidR="004E04CF" w:rsidRPr="00B91A30" w:rsidRDefault="004E04CF" w:rsidP="004E04CF">
      <w:pPr>
        <w:jc w:val="center"/>
        <w:rPr>
          <w:rFonts w:ascii="Times New Roman" w:hAnsi="Times New Roman" w:cs="Times New Roman"/>
          <w:b/>
          <w:sz w:val="24"/>
          <w:szCs w:val="24"/>
        </w:rPr>
      </w:pPr>
      <w:r w:rsidRPr="00B91A30">
        <w:rPr>
          <w:rFonts w:ascii="Times New Roman" w:hAnsi="Times New Roman" w:cs="Times New Roman"/>
          <w:b/>
          <w:sz w:val="24"/>
          <w:szCs w:val="24"/>
        </w:rPr>
        <w:t>2014 METŲ ATASKAITA</w:t>
      </w:r>
    </w:p>
    <w:p w:rsidR="004E04CF" w:rsidRDefault="004E04CF" w:rsidP="00E51A83">
      <w:pP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4E04CF" w:rsidRDefault="004E04CF" w:rsidP="004E04CF">
      <w:pPr>
        <w:jc w:val="center"/>
        <w:rPr>
          <w:rFonts w:ascii="Times New Roman" w:hAnsi="Times New Roman" w:cs="Times New Roman"/>
          <w:sz w:val="36"/>
          <w:szCs w:val="36"/>
        </w:rPr>
      </w:pPr>
    </w:p>
    <w:p w:rsidR="00547B38" w:rsidRDefault="00547B38" w:rsidP="00547B38">
      <w:pPr>
        <w:jc w:val="center"/>
        <w:rPr>
          <w:rFonts w:ascii="Times New Roman" w:hAnsi="Times New Roman" w:cs="Times New Roman"/>
          <w:sz w:val="36"/>
          <w:szCs w:val="36"/>
        </w:rPr>
      </w:pPr>
    </w:p>
    <w:p w:rsidR="00547B38" w:rsidRDefault="00547B38" w:rsidP="00547B38">
      <w:pPr>
        <w:jc w:val="center"/>
        <w:rPr>
          <w:rFonts w:ascii="Times New Roman" w:hAnsi="Times New Roman" w:cs="Times New Roman"/>
          <w:sz w:val="36"/>
          <w:szCs w:val="36"/>
        </w:rPr>
      </w:pPr>
    </w:p>
    <w:p w:rsidR="00547B38" w:rsidRDefault="00547B38" w:rsidP="00547B38">
      <w:pPr>
        <w:jc w:val="center"/>
        <w:rPr>
          <w:rFonts w:ascii="Times New Roman" w:hAnsi="Times New Roman" w:cs="Times New Roman"/>
          <w:noProof/>
          <w:sz w:val="36"/>
          <w:szCs w:val="36"/>
          <w:lang w:eastAsia="lt-LT"/>
        </w:rPr>
      </w:pPr>
      <w:r>
        <w:rPr>
          <w:rFonts w:ascii="Times New Roman" w:hAnsi="Times New Roman" w:cs="Times New Roman"/>
          <w:noProof/>
          <w:sz w:val="36"/>
          <w:szCs w:val="36"/>
          <w:lang w:eastAsia="lt-LT"/>
        </w:rPr>
        <w:drawing>
          <wp:anchor distT="0" distB="0" distL="114300" distR="114300" simplePos="0" relativeHeight="251658240" behindDoc="1" locked="0" layoutInCell="1" allowOverlap="1" wp14:anchorId="1BC72265" wp14:editId="417F4D8A">
            <wp:simplePos x="0" y="0"/>
            <wp:positionH relativeFrom="column">
              <wp:posOffset>2107565</wp:posOffset>
            </wp:positionH>
            <wp:positionV relativeFrom="paragraph">
              <wp:posOffset>341630</wp:posOffset>
            </wp:positionV>
            <wp:extent cx="2178050" cy="1168400"/>
            <wp:effectExtent l="0" t="0" r="0" b="0"/>
            <wp:wrapNone/>
            <wp:docPr id="1" name="Paveikslėlis 1"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5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4CF" w:rsidRDefault="004E04CF" w:rsidP="00547B38">
      <w:pPr>
        <w:jc w:val="center"/>
        <w:rPr>
          <w:rFonts w:ascii="Times New Roman" w:hAnsi="Times New Roman" w:cs="Times New Roman"/>
          <w:sz w:val="36"/>
          <w:szCs w:val="36"/>
        </w:rPr>
      </w:pPr>
    </w:p>
    <w:p w:rsidR="004E04CF" w:rsidRDefault="004E04CF" w:rsidP="004E04CF">
      <w:pPr>
        <w:rPr>
          <w:rFonts w:ascii="Times New Roman" w:hAnsi="Times New Roman" w:cs="Times New Roman"/>
          <w:sz w:val="36"/>
          <w:szCs w:val="36"/>
        </w:rPr>
      </w:pPr>
    </w:p>
    <w:p w:rsidR="004E04CF" w:rsidRDefault="004E04CF" w:rsidP="004E04CF">
      <w:pPr>
        <w:spacing w:after="0"/>
        <w:jc w:val="center"/>
        <w:rPr>
          <w:rFonts w:ascii="Times New Roman" w:hAnsi="Times New Roman" w:cs="Times New Roman"/>
          <w:sz w:val="24"/>
          <w:szCs w:val="24"/>
        </w:rPr>
      </w:pPr>
      <w:r>
        <w:rPr>
          <w:rFonts w:ascii="Times New Roman" w:hAnsi="Times New Roman" w:cs="Times New Roman"/>
          <w:sz w:val="24"/>
          <w:szCs w:val="24"/>
        </w:rPr>
        <w:t xml:space="preserve">Utena </w:t>
      </w:r>
    </w:p>
    <w:p w:rsidR="004E04CF" w:rsidRPr="00B91A30" w:rsidRDefault="004E04CF" w:rsidP="004E04CF">
      <w:pPr>
        <w:spacing w:after="0"/>
        <w:jc w:val="center"/>
        <w:rPr>
          <w:rFonts w:ascii="Times New Roman" w:hAnsi="Times New Roman" w:cs="Times New Roman"/>
          <w:b/>
          <w:sz w:val="24"/>
          <w:szCs w:val="24"/>
        </w:rPr>
      </w:pPr>
      <w:r>
        <w:rPr>
          <w:rFonts w:ascii="Times New Roman" w:hAnsi="Times New Roman" w:cs="Times New Roman"/>
          <w:sz w:val="24"/>
          <w:szCs w:val="24"/>
        </w:rPr>
        <w:t>2015</w:t>
      </w:r>
      <w:r w:rsidRPr="002F01E4">
        <w:rPr>
          <w:rFonts w:ascii="Times New Roman" w:hAnsi="Times New Roman" w:cs="Times New Roman"/>
          <w:sz w:val="36"/>
          <w:szCs w:val="36"/>
        </w:rPr>
        <w:br w:type="page"/>
      </w:r>
      <w:r w:rsidRPr="00B91A30">
        <w:rPr>
          <w:rFonts w:ascii="Times New Roman" w:hAnsi="Times New Roman" w:cs="Times New Roman"/>
          <w:b/>
          <w:sz w:val="24"/>
          <w:szCs w:val="24"/>
        </w:rPr>
        <w:lastRenderedPageBreak/>
        <w:t>TURINYS</w:t>
      </w:r>
    </w:p>
    <w:p w:rsidR="004E04CF" w:rsidRDefault="004E04CF" w:rsidP="00B91A30">
      <w:pPr>
        <w:spacing w:after="0"/>
        <w:rPr>
          <w:rFonts w:ascii="Times New Roman" w:hAnsi="Times New Roman" w:cs="Times New Roman"/>
          <w:sz w:val="36"/>
          <w:szCs w:val="36"/>
        </w:rPr>
      </w:pPr>
    </w:p>
    <w:p w:rsidR="004E04CF" w:rsidRDefault="00AA5A5E" w:rsidP="00AA5A5E">
      <w:pPr>
        <w:spacing w:after="0"/>
        <w:rPr>
          <w:rFonts w:ascii="Times New Roman" w:hAnsi="Times New Roman" w:cs="Times New Roman"/>
          <w:sz w:val="24"/>
          <w:szCs w:val="24"/>
        </w:rPr>
      </w:pPr>
      <w:r>
        <w:rPr>
          <w:rFonts w:ascii="Times New Roman" w:hAnsi="Times New Roman" w:cs="Times New Roman"/>
          <w:sz w:val="24"/>
          <w:szCs w:val="24"/>
        </w:rPr>
        <w:t xml:space="preserve"> ĮVADAS</w:t>
      </w:r>
      <w:r w:rsidR="00562D1B">
        <w:rPr>
          <w:rFonts w:ascii="Times New Roman" w:hAnsi="Times New Roman" w:cs="Times New Roman"/>
          <w:sz w:val="24"/>
          <w:szCs w:val="24"/>
        </w:rPr>
        <w:t>..........................................................................................</w:t>
      </w:r>
      <w:r w:rsidR="00B91A30">
        <w:rPr>
          <w:rFonts w:ascii="Times New Roman" w:hAnsi="Times New Roman" w:cs="Times New Roman"/>
          <w:sz w:val="24"/>
          <w:szCs w:val="24"/>
        </w:rPr>
        <w:t>..........................................</w:t>
      </w:r>
      <w:r w:rsidR="00562D1B">
        <w:rPr>
          <w:rFonts w:ascii="Times New Roman" w:hAnsi="Times New Roman" w:cs="Times New Roman"/>
          <w:sz w:val="24"/>
          <w:szCs w:val="24"/>
        </w:rPr>
        <w:t>3</w:t>
      </w:r>
    </w:p>
    <w:p w:rsidR="004E04CF" w:rsidRDefault="00B91A30" w:rsidP="00AA5A5E">
      <w:pPr>
        <w:spacing w:after="0"/>
        <w:rPr>
          <w:rFonts w:ascii="Times New Roman" w:hAnsi="Times New Roman" w:cs="Times New Roman"/>
          <w:sz w:val="24"/>
          <w:szCs w:val="24"/>
        </w:rPr>
      </w:pPr>
      <w:r>
        <w:rPr>
          <w:rFonts w:ascii="Times New Roman" w:hAnsi="Times New Roman" w:cs="Times New Roman"/>
          <w:sz w:val="24"/>
          <w:szCs w:val="24"/>
        </w:rPr>
        <w:t>1</w:t>
      </w:r>
      <w:r w:rsidR="00AA5A5E">
        <w:rPr>
          <w:rFonts w:ascii="Times New Roman" w:hAnsi="Times New Roman" w:cs="Times New Roman"/>
          <w:sz w:val="24"/>
          <w:szCs w:val="24"/>
        </w:rPr>
        <w:t>. BENDROJI DALIS</w:t>
      </w:r>
      <w:r w:rsidR="00562D1B">
        <w:rPr>
          <w:rFonts w:ascii="Times New Roman" w:hAnsi="Times New Roman" w:cs="Times New Roman"/>
          <w:sz w:val="24"/>
          <w:szCs w:val="24"/>
        </w:rPr>
        <w:t>.........................................................................</w:t>
      </w:r>
      <w:r>
        <w:rPr>
          <w:rFonts w:ascii="Times New Roman" w:hAnsi="Times New Roman" w:cs="Times New Roman"/>
          <w:sz w:val="24"/>
          <w:szCs w:val="24"/>
        </w:rPr>
        <w:t>.......................................</w:t>
      </w:r>
      <w:r w:rsidR="00562D1B">
        <w:rPr>
          <w:rFonts w:ascii="Times New Roman" w:hAnsi="Times New Roman" w:cs="Times New Roman"/>
          <w:sz w:val="24"/>
          <w:szCs w:val="24"/>
        </w:rPr>
        <w:t>4</w:t>
      </w:r>
    </w:p>
    <w:p w:rsidR="004E04CF" w:rsidRDefault="00AA5A5E" w:rsidP="00AA5A5E">
      <w:pPr>
        <w:spacing w:after="0"/>
        <w:rPr>
          <w:rFonts w:ascii="Times New Roman" w:hAnsi="Times New Roman" w:cs="Times New Roman"/>
          <w:sz w:val="24"/>
          <w:szCs w:val="24"/>
        </w:rPr>
      </w:pPr>
      <w:r>
        <w:rPr>
          <w:rFonts w:ascii="Times New Roman" w:hAnsi="Times New Roman" w:cs="Times New Roman"/>
          <w:sz w:val="24"/>
          <w:szCs w:val="24"/>
        </w:rPr>
        <w:t>PAGRINDINIŲ STEBĖSENOS RODIKLIŲ SAVIVALDYBĖJE ANALIZĖ IR INTERPRETAVIMAS</w:t>
      </w:r>
      <w:r w:rsidR="00B91A30">
        <w:rPr>
          <w:rFonts w:ascii="Times New Roman" w:hAnsi="Times New Roman" w:cs="Times New Roman"/>
          <w:sz w:val="24"/>
          <w:szCs w:val="24"/>
        </w:rPr>
        <w:t>(</w:t>
      </w:r>
      <w:r>
        <w:rPr>
          <w:rFonts w:ascii="Times New Roman" w:hAnsi="Times New Roman" w:cs="Times New Roman"/>
          <w:sz w:val="24"/>
          <w:szCs w:val="24"/>
        </w:rPr>
        <w:t xml:space="preserve"> „ŠVIESOFORAS“</w:t>
      </w:r>
      <w:r w:rsidR="00B91A30">
        <w:rPr>
          <w:rFonts w:ascii="Times New Roman" w:hAnsi="Times New Roman" w:cs="Times New Roman"/>
          <w:sz w:val="24"/>
          <w:szCs w:val="24"/>
        </w:rPr>
        <w:t>)</w:t>
      </w:r>
      <w:r w:rsidR="00562D1B">
        <w:rPr>
          <w:rFonts w:ascii="Times New Roman" w:hAnsi="Times New Roman" w:cs="Times New Roman"/>
          <w:sz w:val="24"/>
          <w:szCs w:val="24"/>
        </w:rPr>
        <w:t>........................................</w:t>
      </w:r>
      <w:r w:rsidR="00B91A30">
        <w:rPr>
          <w:rFonts w:ascii="Times New Roman" w:hAnsi="Times New Roman" w:cs="Times New Roman"/>
          <w:sz w:val="24"/>
          <w:szCs w:val="24"/>
        </w:rPr>
        <w:t>.....................................</w:t>
      </w:r>
      <w:r w:rsidR="00562D1B">
        <w:rPr>
          <w:rFonts w:ascii="Times New Roman" w:hAnsi="Times New Roman" w:cs="Times New Roman"/>
          <w:sz w:val="24"/>
          <w:szCs w:val="24"/>
        </w:rPr>
        <w:t>4</w:t>
      </w:r>
    </w:p>
    <w:p w:rsidR="004E04CF" w:rsidRDefault="00B91A30" w:rsidP="00AA5A5E">
      <w:pPr>
        <w:spacing w:after="0"/>
        <w:rPr>
          <w:rFonts w:ascii="Times New Roman" w:hAnsi="Times New Roman" w:cs="Times New Roman"/>
          <w:sz w:val="24"/>
          <w:szCs w:val="24"/>
        </w:rPr>
      </w:pPr>
      <w:r>
        <w:rPr>
          <w:rFonts w:ascii="Times New Roman" w:hAnsi="Times New Roman" w:cs="Times New Roman"/>
          <w:sz w:val="24"/>
          <w:szCs w:val="24"/>
        </w:rPr>
        <w:t>2</w:t>
      </w:r>
      <w:r w:rsidR="00AA5A5E">
        <w:rPr>
          <w:rFonts w:ascii="Times New Roman" w:hAnsi="Times New Roman" w:cs="Times New Roman"/>
          <w:sz w:val="24"/>
          <w:szCs w:val="24"/>
        </w:rPr>
        <w:t>. SPECIALIOJI DALIS</w:t>
      </w:r>
      <w:r w:rsidR="00562D1B">
        <w:rPr>
          <w:rFonts w:ascii="Times New Roman" w:hAnsi="Times New Roman" w:cs="Times New Roman"/>
          <w:sz w:val="24"/>
          <w:szCs w:val="24"/>
        </w:rPr>
        <w:t>...................................................................................................</w:t>
      </w:r>
      <w:r>
        <w:rPr>
          <w:rFonts w:ascii="Times New Roman" w:hAnsi="Times New Roman" w:cs="Times New Roman"/>
          <w:sz w:val="24"/>
          <w:szCs w:val="24"/>
        </w:rPr>
        <w:t>........</w:t>
      </w:r>
      <w:r w:rsidR="00562D1B">
        <w:rPr>
          <w:rFonts w:ascii="Times New Roman" w:hAnsi="Times New Roman" w:cs="Times New Roman"/>
          <w:sz w:val="24"/>
          <w:szCs w:val="24"/>
        </w:rPr>
        <w:t>11</w:t>
      </w:r>
    </w:p>
    <w:p w:rsidR="004E04CF" w:rsidRDefault="00AA5A5E" w:rsidP="00AA5A5E">
      <w:pPr>
        <w:spacing w:after="0"/>
        <w:rPr>
          <w:rFonts w:ascii="Times New Roman" w:hAnsi="Times New Roman" w:cs="Times New Roman"/>
          <w:sz w:val="24"/>
          <w:szCs w:val="24"/>
        </w:rPr>
      </w:pPr>
      <w:r>
        <w:rPr>
          <w:rFonts w:ascii="Times New Roman" w:hAnsi="Times New Roman" w:cs="Times New Roman"/>
          <w:sz w:val="24"/>
          <w:szCs w:val="24"/>
        </w:rPr>
        <w:t>ATRINKTŲ RODIKLIŲ DETALI ANALIZĖ IR INTERPRETAVIMAS</w:t>
      </w:r>
      <w:r w:rsidR="00562D1B">
        <w:rPr>
          <w:rFonts w:ascii="Times New Roman" w:hAnsi="Times New Roman" w:cs="Times New Roman"/>
          <w:sz w:val="24"/>
          <w:szCs w:val="24"/>
        </w:rPr>
        <w:t>.....................</w:t>
      </w:r>
      <w:r w:rsidR="00B91A30">
        <w:rPr>
          <w:rFonts w:ascii="Times New Roman" w:hAnsi="Times New Roman" w:cs="Times New Roman"/>
          <w:sz w:val="24"/>
          <w:szCs w:val="24"/>
        </w:rPr>
        <w:t>........</w:t>
      </w:r>
      <w:r w:rsidR="00562D1B">
        <w:rPr>
          <w:rFonts w:ascii="Times New Roman" w:hAnsi="Times New Roman" w:cs="Times New Roman"/>
          <w:sz w:val="24"/>
          <w:szCs w:val="24"/>
        </w:rPr>
        <w:t>11</w:t>
      </w:r>
    </w:p>
    <w:p w:rsidR="00B91A30" w:rsidRDefault="00B91A30" w:rsidP="00562D1B">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562D1B" w:rsidRPr="00562D1B">
        <w:rPr>
          <w:rFonts w:ascii="Times New Roman" w:hAnsi="Times New Roman" w:cs="Times New Roman"/>
          <w:sz w:val="24"/>
          <w:szCs w:val="24"/>
        </w:rPr>
        <w:t>.1. MOLĖTŲ RAJONO GYVENTOJŲ MIRTINGUMAS DĖL PRIEŽASČIŲ, SUSIJUSIŲ</w:t>
      </w:r>
    </w:p>
    <w:p w:rsidR="00562D1B" w:rsidRDefault="00562D1B" w:rsidP="00562D1B">
      <w:pPr>
        <w:spacing w:line="360" w:lineRule="auto"/>
        <w:contextualSpacing/>
        <w:rPr>
          <w:rFonts w:ascii="Times New Roman" w:hAnsi="Times New Roman" w:cs="Times New Roman"/>
          <w:sz w:val="24"/>
          <w:szCs w:val="24"/>
        </w:rPr>
      </w:pPr>
      <w:r w:rsidRPr="00562D1B">
        <w:rPr>
          <w:rFonts w:ascii="Times New Roman" w:hAnsi="Times New Roman" w:cs="Times New Roman"/>
          <w:sz w:val="24"/>
          <w:szCs w:val="24"/>
        </w:rPr>
        <w:t>SU NARKOTIKŲ VARTOJIMU</w:t>
      </w:r>
      <w:r>
        <w:rPr>
          <w:rFonts w:ascii="Times New Roman" w:hAnsi="Times New Roman" w:cs="Times New Roman"/>
          <w:sz w:val="24"/>
          <w:szCs w:val="24"/>
        </w:rPr>
        <w:t>.............................................................</w:t>
      </w:r>
      <w:r w:rsidR="00B91A30">
        <w:rPr>
          <w:rFonts w:ascii="Times New Roman" w:hAnsi="Times New Roman" w:cs="Times New Roman"/>
          <w:sz w:val="24"/>
          <w:szCs w:val="24"/>
        </w:rPr>
        <w:t>...............................</w:t>
      </w:r>
      <w:r w:rsidR="002C2782">
        <w:rPr>
          <w:rFonts w:ascii="Times New Roman" w:hAnsi="Times New Roman" w:cs="Times New Roman"/>
          <w:sz w:val="24"/>
          <w:szCs w:val="24"/>
        </w:rPr>
        <w:t>.</w:t>
      </w:r>
      <w:r>
        <w:rPr>
          <w:rFonts w:ascii="Times New Roman" w:hAnsi="Times New Roman" w:cs="Times New Roman"/>
          <w:sz w:val="24"/>
          <w:szCs w:val="24"/>
        </w:rPr>
        <w:t>11</w:t>
      </w:r>
    </w:p>
    <w:p w:rsidR="00562D1B" w:rsidRDefault="00B91A30" w:rsidP="00562D1B">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562D1B" w:rsidRPr="00562D1B">
        <w:rPr>
          <w:rFonts w:ascii="Times New Roman" w:hAnsi="Times New Roman" w:cs="Times New Roman"/>
          <w:sz w:val="24"/>
          <w:szCs w:val="24"/>
        </w:rPr>
        <w:t>.2 MOLĖTŲ RAJONO GYVENTOJŲ MIRTINGUMAS</w:t>
      </w:r>
    </w:p>
    <w:p w:rsidR="00562D1B" w:rsidRPr="00562D1B" w:rsidRDefault="00562D1B" w:rsidP="00562D1B">
      <w:pPr>
        <w:spacing w:line="360" w:lineRule="auto"/>
        <w:contextualSpacing/>
        <w:rPr>
          <w:rFonts w:ascii="Times New Roman" w:hAnsi="Times New Roman" w:cs="Times New Roman"/>
          <w:sz w:val="24"/>
          <w:szCs w:val="24"/>
        </w:rPr>
      </w:pPr>
      <w:r w:rsidRPr="00562D1B">
        <w:rPr>
          <w:rFonts w:ascii="Times New Roman" w:hAnsi="Times New Roman" w:cs="Times New Roman"/>
          <w:sz w:val="24"/>
          <w:szCs w:val="24"/>
        </w:rPr>
        <w:t>DĖL ATSITIKTINIO PASKENDIMO</w:t>
      </w:r>
      <w:r>
        <w:rPr>
          <w:rFonts w:ascii="Times New Roman" w:hAnsi="Times New Roman" w:cs="Times New Roman"/>
          <w:sz w:val="24"/>
          <w:szCs w:val="24"/>
        </w:rPr>
        <w:t>............................................................................</w:t>
      </w:r>
      <w:r w:rsidR="00B91A30">
        <w:rPr>
          <w:rFonts w:ascii="Times New Roman" w:hAnsi="Times New Roman" w:cs="Times New Roman"/>
          <w:sz w:val="24"/>
          <w:szCs w:val="24"/>
        </w:rPr>
        <w:t>.......</w:t>
      </w:r>
      <w:r w:rsidR="002C2782">
        <w:rPr>
          <w:rFonts w:ascii="Times New Roman" w:hAnsi="Times New Roman" w:cs="Times New Roman"/>
          <w:sz w:val="24"/>
          <w:szCs w:val="24"/>
        </w:rPr>
        <w:t>.</w:t>
      </w:r>
      <w:r>
        <w:rPr>
          <w:rFonts w:ascii="Times New Roman" w:hAnsi="Times New Roman" w:cs="Times New Roman"/>
          <w:sz w:val="24"/>
          <w:szCs w:val="24"/>
        </w:rPr>
        <w:t>12</w:t>
      </w:r>
    </w:p>
    <w:p w:rsidR="00562D1B" w:rsidRDefault="00B91A30" w:rsidP="00562D1B">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562D1B" w:rsidRPr="00562D1B">
        <w:rPr>
          <w:rFonts w:ascii="Times New Roman" w:hAnsi="Times New Roman" w:cs="Times New Roman"/>
          <w:sz w:val="24"/>
          <w:szCs w:val="24"/>
        </w:rPr>
        <w:t>.3. MOLĖTŲ RAJONO GYVENTOJŲ MIRTINGUMAS</w:t>
      </w:r>
    </w:p>
    <w:p w:rsidR="00562D1B" w:rsidRDefault="00562D1B" w:rsidP="00562D1B">
      <w:pPr>
        <w:spacing w:line="360" w:lineRule="auto"/>
        <w:contextualSpacing/>
        <w:rPr>
          <w:rFonts w:ascii="Times New Roman" w:hAnsi="Times New Roman" w:cs="Times New Roman"/>
          <w:sz w:val="24"/>
          <w:szCs w:val="24"/>
        </w:rPr>
      </w:pPr>
      <w:r w:rsidRPr="00562D1B">
        <w:rPr>
          <w:rFonts w:ascii="Times New Roman" w:hAnsi="Times New Roman" w:cs="Times New Roman"/>
          <w:sz w:val="24"/>
          <w:szCs w:val="24"/>
        </w:rPr>
        <w:t>NUO CEREBROVASKULINIŲ LIGŲ</w:t>
      </w:r>
      <w:r>
        <w:rPr>
          <w:rFonts w:ascii="Times New Roman" w:hAnsi="Times New Roman" w:cs="Times New Roman"/>
          <w:sz w:val="24"/>
          <w:szCs w:val="24"/>
        </w:rPr>
        <w:t>............................................</w:t>
      </w:r>
      <w:r w:rsidR="00B91A30">
        <w:rPr>
          <w:rFonts w:ascii="Times New Roman" w:hAnsi="Times New Roman" w:cs="Times New Roman"/>
          <w:sz w:val="24"/>
          <w:szCs w:val="24"/>
        </w:rPr>
        <w:t>......................................</w:t>
      </w:r>
      <w:r w:rsidR="002C2782">
        <w:rPr>
          <w:rFonts w:ascii="Times New Roman" w:hAnsi="Times New Roman" w:cs="Times New Roman"/>
          <w:sz w:val="24"/>
          <w:szCs w:val="24"/>
        </w:rPr>
        <w:t>.</w:t>
      </w:r>
      <w:r>
        <w:rPr>
          <w:rFonts w:ascii="Times New Roman" w:hAnsi="Times New Roman" w:cs="Times New Roman"/>
          <w:sz w:val="24"/>
          <w:szCs w:val="24"/>
        </w:rPr>
        <w:t>14</w:t>
      </w:r>
    </w:p>
    <w:p w:rsidR="00AA5A5E" w:rsidRDefault="00B91A30" w:rsidP="00AA5A5E">
      <w:pPr>
        <w:spacing w:after="0"/>
        <w:rPr>
          <w:rFonts w:ascii="Times New Roman" w:hAnsi="Times New Roman" w:cs="Times New Roman"/>
          <w:sz w:val="24"/>
          <w:szCs w:val="24"/>
        </w:rPr>
      </w:pPr>
      <w:r>
        <w:rPr>
          <w:rFonts w:ascii="Times New Roman" w:hAnsi="Times New Roman" w:cs="Times New Roman"/>
          <w:sz w:val="24"/>
          <w:szCs w:val="24"/>
        </w:rPr>
        <w:t>3</w:t>
      </w:r>
      <w:r w:rsidR="00AA5A5E">
        <w:rPr>
          <w:rFonts w:ascii="Times New Roman" w:hAnsi="Times New Roman" w:cs="Times New Roman"/>
          <w:sz w:val="24"/>
          <w:szCs w:val="24"/>
        </w:rPr>
        <w:t>. VYKDYTI TYRIMAI</w:t>
      </w:r>
      <w:r w:rsidR="00562D1B">
        <w:rPr>
          <w:rFonts w:ascii="Times New Roman" w:hAnsi="Times New Roman" w:cs="Times New Roman"/>
          <w:sz w:val="24"/>
          <w:szCs w:val="24"/>
        </w:rPr>
        <w:t>...........................................................................................</w:t>
      </w:r>
      <w:r>
        <w:rPr>
          <w:rFonts w:ascii="Times New Roman" w:hAnsi="Times New Roman" w:cs="Times New Roman"/>
          <w:sz w:val="24"/>
          <w:szCs w:val="24"/>
        </w:rPr>
        <w:t>...............</w:t>
      </w:r>
      <w:r w:rsidR="00562D1B">
        <w:rPr>
          <w:rFonts w:ascii="Times New Roman" w:hAnsi="Times New Roman" w:cs="Times New Roman"/>
          <w:sz w:val="24"/>
          <w:szCs w:val="24"/>
        </w:rPr>
        <w:t>18</w:t>
      </w:r>
    </w:p>
    <w:p w:rsidR="004E04CF" w:rsidRDefault="00AA5A5E" w:rsidP="00AA5A5E">
      <w:pPr>
        <w:spacing w:after="0"/>
        <w:rPr>
          <w:rFonts w:ascii="Times New Roman" w:hAnsi="Times New Roman" w:cs="Times New Roman"/>
          <w:sz w:val="24"/>
          <w:szCs w:val="24"/>
        </w:rPr>
      </w:pPr>
      <w:r>
        <w:rPr>
          <w:rFonts w:ascii="Times New Roman" w:hAnsi="Times New Roman" w:cs="Times New Roman"/>
          <w:sz w:val="24"/>
          <w:szCs w:val="24"/>
        </w:rPr>
        <w:t>IŠVADOS</w:t>
      </w:r>
      <w:r w:rsidR="00562D1B">
        <w:rPr>
          <w:rFonts w:ascii="Times New Roman" w:hAnsi="Times New Roman" w:cs="Times New Roman"/>
          <w:sz w:val="24"/>
          <w:szCs w:val="24"/>
        </w:rPr>
        <w:t>.......................................................................................</w:t>
      </w:r>
      <w:r w:rsidR="00B91A30">
        <w:rPr>
          <w:rFonts w:ascii="Times New Roman" w:hAnsi="Times New Roman" w:cs="Times New Roman"/>
          <w:sz w:val="24"/>
          <w:szCs w:val="24"/>
        </w:rPr>
        <w:t>..........................................</w:t>
      </w:r>
      <w:r w:rsidR="00562D1B">
        <w:rPr>
          <w:rFonts w:ascii="Times New Roman" w:hAnsi="Times New Roman" w:cs="Times New Roman"/>
          <w:sz w:val="24"/>
          <w:szCs w:val="24"/>
        </w:rPr>
        <w:t>21</w:t>
      </w:r>
    </w:p>
    <w:p w:rsidR="004E04CF" w:rsidRDefault="00AA5A5E" w:rsidP="00AA5A5E">
      <w:pPr>
        <w:spacing w:after="0"/>
        <w:rPr>
          <w:rFonts w:ascii="Times New Roman" w:hAnsi="Times New Roman" w:cs="Times New Roman"/>
          <w:sz w:val="24"/>
          <w:szCs w:val="24"/>
        </w:rPr>
      </w:pPr>
      <w:r>
        <w:rPr>
          <w:rFonts w:ascii="Times New Roman" w:hAnsi="Times New Roman" w:cs="Times New Roman"/>
          <w:sz w:val="24"/>
          <w:szCs w:val="24"/>
        </w:rPr>
        <w:t>REKOMENDACIJOS</w:t>
      </w:r>
      <w:r w:rsidR="00562D1B">
        <w:rPr>
          <w:rFonts w:ascii="Times New Roman" w:hAnsi="Times New Roman" w:cs="Times New Roman"/>
          <w:sz w:val="24"/>
          <w:szCs w:val="24"/>
        </w:rPr>
        <w:t>...............................................................................................</w:t>
      </w:r>
      <w:r w:rsidR="00B91A30">
        <w:rPr>
          <w:rFonts w:ascii="Times New Roman" w:hAnsi="Times New Roman" w:cs="Times New Roman"/>
          <w:sz w:val="24"/>
          <w:szCs w:val="24"/>
        </w:rPr>
        <w:t>...............</w:t>
      </w:r>
      <w:r w:rsidR="00562D1B">
        <w:rPr>
          <w:rFonts w:ascii="Times New Roman" w:hAnsi="Times New Roman" w:cs="Times New Roman"/>
          <w:sz w:val="24"/>
          <w:szCs w:val="24"/>
        </w:rPr>
        <w:t>22</w:t>
      </w: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4E04CF" w:rsidRDefault="004E04CF" w:rsidP="004E04CF">
      <w:pPr>
        <w:spacing w:after="0"/>
        <w:rPr>
          <w:rFonts w:ascii="Times New Roman" w:hAnsi="Times New Roman" w:cs="Times New Roman"/>
          <w:sz w:val="24"/>
          <w:szCs w:val="24"/>
        </w:rPr>
      </w:pPr>
    </w:p>
    <w:p w:rsidR="00562D1B" w:rsidRDefault="00562D1B" w:rsidP="004E04CF">
      <w:pPr>
        <w:spacing w:after="0"/>
        <w:jc w:val="center"/>
        <w:rPr>
          <w:rFonts w:ascii="Times New Roman" w:hAnsi="Times New Roman" w:cs="Times New Roman"/>
          <w:b/>
          <w:sz w:val="24"/>
          <w:szCs w:val="24"/>
        </w:rPr>
      </w:pPr>
    </w:p>
    <w:p w:rsidR="002C2782" w:rsidRDefault="002C2782" w:rsidP="004E04CF">
      <w:pPr>
        <w:spacing w:after="0"/>
        <w:jc w:val="center"/>
        <w:rPr>
          <w:rFonts w:ascii="Times New Roman" w:hAnsi="Times New Roman" w:cs="Times New Roman"/>
          <w:b/>
          <w:sz w:val="24"/>
          <w:szCs w:val="24"/>
        </w:rPr>
      </w:pPr>
    </w:p>
    <w:p w:rsidR="004E04CF" w:rsidRPr="00944175" w:rsidRDefault="004E04CF" w:rsidP="004E04CF">
      <w:pPr>
        <w:spacing w:after="0"/>
        <w:jc w:val="center"/>
        <w:rPr>
          <w:rFonts w:ascii="Times New Roman" w:hAnsi="Times New Roman" w:cs="Times New Roman"/>
          <w:b/>
          <w:sz w:val="24"/>
          <w:szCs w:val="24"/>
        </w:rPr>
      </w:pPr>
      <w:r w:rsidRPr="00944175">
        <w:rPr>
          <w:rFonts w:ascii="Times New Roman" w:hAnsi="Times New Roman" w:cs="Times New Roman"/>
          <w:b/>
          <w:sz w:val="24"/>
          <w:szCs w:val="24"/>
        </w:rPr>
        <w:lastRenderedPageBreak/>
        <w:t xml:space="preserve"> ĮVADAS</w:t>
      </w:r>
    </w:p>
    <w:p w:rsidR="004E04CF" w:rsidRDefault="004E04CF" w:rsidP="004E04CF">
      <w:pPr>
        <w:spacing w:after="0" w:line="360" w:lineRule="auto"/>
        <w:jc w:val="center"/>
        <w:rPr>
          <w:rFonts w:ascii="Times New Roman" w:hAnsi="Times New Roman" w:cs="Times New Roman"/>
          <w:sz w:val="24"/>
          <w:szCs w:val="24"/>
        </w:rPr>
      </w:pPr>
    </w:p>
    <w:p w:rsidR="00F9374C" w:rsidRDefault="00F9374C" w:rsidP="00F9374C">
      <w:pPr>
        <w:spacing w:after="0" w:line="360" w:lineRule="auto"/>
        <w:ind w:firstLine="851"/>
        <w:jc w:val="both"/>
        <w:rPr>
          <w:rFonts w:ascii="Times New Roman" w:hAnsi="Times New Roman" w:cs="Times New Roman"/>
          <w:sz w:val="24"/>
          <w:szCs w:val="24"/>
        </w:rPr>
      </w:pPr>
      <w:r w:rsidRPr="00C55583">
        <w:rPr>
          <w:rFonts w:ascii="Times New Roman" w:hAnsi="Times New Roman" w:cs="Times New Roman"/>
          <w:i/>
          <w:sz w:val="24"/>
          <w:szCs w:val="24"/>
        </w:rPr>
        <w:t>Visuomenės sveikatos stebėsenos savivaldybėje tikslas</w:t>
      </w:r>
      <w:r>
        <w:rPr>
          <w:rFonts w:ascii="Times New Roman" w:hAnsi="Times New Roman" w:cs="Times New Roman"/>
          <w:sz w:val="24"/>
          <w:szCs w:val="24"/>
        </w:rPr>
        <w:t xml:space="preserve">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savarankiškųjų visuomenės sveikatos priežiūros funkcijų įgyvendinimo savivaldybės teritorijoje.</w:t>
      </w:r>
    </w:p>
    <w:p w:rsidR="00F9374C" w:rsidRDefault="008311B1" w:rsidP="00F937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Ataskaitoje</w:t>
      </w:r>
      <w:r w:rsidR="00F9374C">
        <w:rPr>
          <w:rFonts w:ascii="Times New Roman" w:hAnsi="Times New Roman" w:cs="Times New Roman"/>
          <w:sz w:val="24"/>
          <w:szCs w:val="24"/>
        </w:rPr>
        <w:t xml:space="preserve"> pateikiami ir aprašomi 2014 m. visuomenės sveikatos būklę atspindintys duomenys </w:t>
      </w:r>
      <w:r w:rsidR="002C2782">
        <w:rPr>
          <w:rFonts w:ascii="Times New Roman" w:hAnsi="Times New Roman" w:cs="Times New Roman"/>
          <w:sz w:val="24"/>
          <w:szCs w:val="24"/>
        </w:rPr>
        <w:t>Molėtų</w:t>
      </w:r>
      <w:r w:rsidR="00F9374C">
        <w:rPr>
          <w:rFonts w:ascii="Times New Roman" w:hAnsi="Times New Roman" w:cs="Times New Roman"/>
          <w:sz w:val="24"/>
          <w:szCs w:val="24"/>
        </w:rPr>
        <w:t xml:space="preserve"> rajono savivaldybėje. Pateikiami rodikliai (iš Valstybės deleguotų savivaldybėms visuomenės sveikatos stebėsenos </w:t>
      </w:r>
      <w:r w:rsidR="00F9374C" w:rsidRPr="00B351BA">
        <w:rPr>
          <w:rFonts w:ascii="Times New Roman" w:hAnsi="Times New Roman" w:cs="Times New Roman"/>
          <w:i/>
          <w:sz w:val="24"/>
          <w:szCs w:val="24"/>
        </w:rPr>
        <w:t>pagrindinių rodiklių sąrašo projekto</w:t>
      </w:r>
      <w:r w:rsidR="00F9374C">
        <w:rPr>
          <w:rFonts w:ascii="Times New Roman" w:hAnsi="Times New Roman" w:cs="Times New Roman"/>
          <w:sz w:val="24"/>
          <w:szCs w:val="24"/>
        </w:rPr>
        <w:t>) atspindi kaip įgyvendinami Lietuvos sveikatos programos (toliau – LSP) tikslai bei jų uždaviniai. LSP iškeltų tikslų ir uždavinių įgyvendinimo savivaldybėse stebėsenai, parengtas baigtinis pagrindinių rodiklių sąrašas (toliau – PRS), kurį sudaro 51 unifikuotas rodiklis, geriausiai apibūdinantis LSP siekinius.</w:t>
      </w:r>
    </w:p>
    <w:p w:rsidR="00F9374C" w:rsidRDefault="00F9374C" w:rsidP="00F937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Akcentuojame, kad kai kurių PRS</w:t>
      </w:r>
      <w:r w:rsidR="008311B1">
        <w:rPr>
          <w:rFonts w:ascii="Times New Roman" w:hAnsi="Times New Roman" w:cs="Times New Roman"/>
          <w:sz w:val="24"/>
          <w:szCs w:val="24"/>
        </w:rPr>
        <w:t xml:space="preserve"> projekte numatytų rodiklių šioje ataskaitoje</w:t>
      </w:r>
      <w:r>
        <w:rPr>
          <w:rFonts w:ascii="Times New Roman" w:hAnsi="Times New Roman" w:cs="Times New Roman"/>
          <w:sz w:val="24"/>
          <w:szCs w:val="24"/>
        </w:rPr>
        <w:t xml:space="preserve"> nepateiksime, </w:t>
      </w:r>
      <w:r w:rsidR="00D64214">
        <w:rPr>
          <w:rFonts w:ascii="Times New Roman" w:hAnsi="Times New Roman" w:cs="Times New Roman"/>
          <w:sz w:val="24"/>
          <w:szCs w:val="24"/>
        </w:rPr>
        <w:t>nes</w:t>
      </w:r>
      <w:r>
        <w:rPr>
          <w:rFonts w:ascii="Times New Roman" w:hAnsi="Times New Roman" w:cs="Times New Roman"/>
          <w:sz w:val="24"/>
          <w:szCs w:val="24"/>
        </w:rPr>
        <w:t xml:space="preserve"> nėra parengta skaičiavimo metodologija. </w:t>
      </w:r>
      <w:r w:rsidR="008311B1">
        <w:rPr>
          <w:rFonts w:ascii="Times New Roman" w:hAnsi="Times New Roman" w:cs="Times New Roman"/>
          <w:sz w:val="24"/>
          <w:szCs w:val="24"/>
        </w:rPr>
        <w:t>Ataskaita parengta</w:t>
      </w:r>
      <w:r>
        <w:rPr>
          <w:rFonts w:ascii="Times New Roman" w:hAnsi="Times New Roman" w:cs="Times New Roman"/>
          <w:sz w:val="24"/>
          <w:szCs w:val="24"/>
        </w:rPr>
        <w:t xml:space="preserve"> naudojant oficialius statistikos šaltinius ir Higienos instituto Sveikatos infor</w:t>
      </w:r>
      <w:r w:rsidR="008311B1">
        <w:rPr>
          <w:rFonts w:ascii="Times New Roman" w:hAnsi="Times New Roman" w:cs="Times New Roman"/>
          <w:sz w:val="24"/>
          <w:szCs w:val="24"/>
        </w:rPr>
        <w:t>macijos centro (HI SIC) parengtą leidinį</w:t>
      </w:r>
      <w:r>
        <w:rPr>
          <w:rFonts w:ascii="Times New Roman" w:hAnsi="Times New Roman" w:cs="Times New Roman"/>
          <w:sz w:val="24"/>
          <w:szCs w:val="24"/>
        </w:rPr>
        <w:t xml:space="preserve"> „Visuomenės sveikatos būklė savivaldybėse 2014 m.“.</w:t>
      </w:r>
    </w:p>
    <w:p w:rsidR="004E04CF" w:rsidRPr="000E4E52" w:rsidRDefault="004E04CF" w:rsidP="004E04CF">
      <w:pPr>
        <w:rPr>
          <w:rFonts w:ascii="Times New Roman" w:hAnsi="Times New Roman" w:cs="Times New Roman"/>
          <w:sz w:val="36"/>
          <w:szCs w:val="36"/>
        </w:rPr>
      </w:pPr>
      <w:r>
        <w:rPr>
          <w:rFonts w:ascii="Times New Roman" w:hAnsi="Times New Roman" w:cs="Times New Roman"/>
          <w:sz w:val="36"/>
          <w:szCs w:val="36"/>
        </w:rPr>
        <w:br w:type="page"/>
      </w:r>
    </w:p>
    <w:p w:rsidR="004E04CF" w:rsidRPr="00D56CD2" w:rsidRDefault="009C2A33" w:rsidP="004E04CF">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E04CF" w:rsidRPr="00D56CD2">
        <w:rPr>
          <w:rFonts w:ascii="Times New Roman" w:hAnsi="Times New Roman" w:cs="Times New Roman"/>
          <w:b/>
          <w:sz w:val="24"/>
          <w:szCs w:val="24"/>
        </w:rPr>
        <w:t>. BENDROJI DALIS</w:t>
      </w:r>
    </w:p>
    <w:p w:rsidR="004E04CF" w:rsidRPr="00D56CD2" w:rsidRDefault="004E04CF" w:rsidP="004E04CF">
      <w:pPr>
        <w:jc w:val="center"/>
        <w:rPr>
          <w:rFonts w:ascii="Times New Roman" w:hAnsi="Times New Roman" w:cs="Times New Roman"/>
          <w:b/>
          <w:sz w:val="24"/>
          <w:szCs w:val="24"/>
        </w:rPr>
      </w:pPr>
    </w:p>
    <w:p w:rsidR="009C2A33" w:rsidRPr="009C2A33" w:rsidRDefault="004E04CF" w:rsidP="009C2A33">
      <w:pPr>
        <w:spacing w:line="360" w:lineRule="auto"/>
        <w:jc w:val="center"/>
        <w:rPr>
          <w:rFonts w:ascii="Times New Roman" w:hAnsi="Times New Roman" w:cs="Times New Roman"/>
          <w:b/>
          <w:sz w:val="24"/>
          <w:szCs w:val="24"/>
        </w:rPr>
      </w:pPr>
      <w:r w:rsidRPr="00D56CD2">
        <w:rPr>
          <w:rFonts w:ascii="Times New Roman" w:hAnsi="Times New Roman" w:cs="Times New Roman"/>
          <w:b/>
          <w:sz w:val="24"/>
          <w:szCs w:val="24"/>
        </w:rPr>
        <w:t xml:space="preserve">PAGRINDINIŲ STEBĖSENOS RODIKLIŲ SAVIVALDYBĖJE ANALIZĖ IR </w:t>
      </w:r>
      <w:r w:rsidR="009C2A33">
        <w:rPr>
          <w:rFonts w:ascii="Times New Roman" w:hAnsi="Times New Roman" w:cs="Times New Roman"/>
          <w:b/>
          <w:sz w:val="24"/>
          <w:szCs w:val="24"/>
        </w:rPr>
        <w:t>INTERPRETAVIMAS („ŠVIESOFORAS“)</w:t>
      </w:r>
    </w:p>
    <w:p w:rsidR="004E04CF" w:rsidRDefault="004E04CF" w:rsidP="00AC2A4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Pagrindinio rodiklių sąrašo analizė ir interpretavimas („šviesoforo“ kūrimas) atliekamas </w:t>
      </w:r>
      <w:r w:rsidR="00F9374C">
        <w:rPr>
          <w:rFonts w:ascii="Times New Roman" w:hAnsi="Times New Roman" w:cs="Times New Roman"/>
          <w:sz w:val="24"/>
          <w:szCs w:val="24"/>
        </w:rPr>
        <w:t>siekiant palyginti</w:t>
      </w:r>
      <w:r>
        <w:rPr>
          <w:rFonts w:ascii="Times New Roman" w:hAnsi="Times New Roman" w:cs="Times New Roman"/>
          <w:sz w:val="24"/>
          <w:szCs w:val="24"/>
        </w:rPr>
        <w:t xml:space="preserve"> 2014 m. </w:t>
      </w:r>
      <w:r w:rsidR="00E51A83">
        <w:rPr>
          <w:rFonts w:ascii="Times New Roman" w:hAnsi="Times New Roman" w:cs="Times New Roman"/>
          <w:sz w:val="24"/>
          <w:szCs w:val="24"/>
        </w:rPr>
        <w:t xml:space="preserve">Molėtų </w:t>
      </w:r>
      <w:r>
        <w:rPr>
          <w:rFonts w:ascii="Times New Roman" w:hAnsi="Times New Roman" w:cs="Times New Roman"/>
          <w:sz w:val="24"/>
          <w:szCs w:val="24"/>
        </w:rPr>
        <w:t>r</w:t>
      </w:r>
      <w:r w:rsidR="009C2A33">
        <w:rPr>
          <w:rFonts w:ascii="Times New Roman" w:hAnsi="Times New Roman" w:cs="Times New Roman"/>
          <w:sz w:val="24"/>
          <w:szCs w:val="24"/>
        </w:rPr>
        <w:t>.</w:t>
      </w:r>
      <w:r>
        <w:rPr>
          <w:rFonts w:ascii="Times New Roman" w:hAnsi="Times New Roman" w:cs="Times New Roman"/>
          <w:sz w:val="24"/>
          <w:szCs w:val="24"/>
        </w:rPr>
        <w:t xml:space="preserve"> savivaldybės rodiklius su Lietuvos vidurkiu. Vadovaujantis „šviesoforo“ principu, visos 60 Lietuvos savivaldybių suskirstytos į 5 grupes (po 12 savivaldybių kiekvienoje grupėje):</w:t>
      </w:r>
    </w:p>
    <w:p w:rsidR="004E04CF" w:rsidRDefault="004E04CF" w:rsidP="00AC2A42">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12 savivaldybių, kuriose stebimas rodiklis atspindi geriausią situaciją, priskiriamos </w:t>
      </w:r>
      <w:r w:rsidRPr="00C8410D">
        <w:rPr>
          <w:rFonts w:ascii="Times New Roman" w:hAnsi="Times New Roman" w:cs="Times New Roman"/>
          <w:i/>
          <w:sz w:val="24"/>
          <w:szCs w:val="24"/>
        </w:rPr>
        <w:t>savivaldybių su geriausiais rodikliais grupei</w:t>
      </w:r>
      <w:r>
        <w:rPr>
          <w:rFonts w:ascii="Times New Roman" w:hAnsi="Times New Roman" w:cs="Times New Roman"/>
          <w:sz w:val="24"/>
          <w:szCs w:val="24"/>
        </w:rPr>
        <w:t xml:space="preserve"> ir žymimos </w:t>
      </w:r>
      <w:r w:rsidRPr="00C8410D">
        <w:rPr>
          <w:rFonts w:ascii="Times New Roman" w:hAnsi="Times New Roman" w:cs="Times New Roman"/>
          <w:b/>
          <w:color w:val="92D050"/>
          <w:sz w:val="24"/>
          <w:szCs w:val="24"/>
        </w:rPr>
        <w:t>žalia spalva</w:t>
      </w:r>
      <w:r>
        <w:rPr>
          <w:rFonts w:ascii="Times New Roman" w:hAnsi="Times New Roman" w:cs="Times New Roman"/>
          <w:sz w:val="24"/>
          <w:szCs w:val="24"/>
        </w:rPr>
        <w:t>;</w:t>
      </w:r>
    </w:p>
    <w:p w:rsidR="004E04CF" w:rsidRDefault="004E04CF" w:rsidP="00AC2A42">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12 savivaldybių, kuriose stebimas rodiklis rodo prasčiausią situaciją, priskiriamos </w:t>
      </w:r>
      <w:r w:rsidRPr="00C8410D">
        <w:rPr>
          <w:rFonts w:ascii="Times New Roman" w:hAnsi="Times New Roman" w:cs="Times New Roman"/>
          <w:i/>
          <w:sz w:val="24"/>
          <w:szCs w:val="24"/>
        </w:rPr>
        <w:t>savivaldybių su prasčiausiais rodikliais grupei</w:t>
      </w:r>
      <w:r>
        <w:rPr>
          <w:rFonts w:ascii="Times New Roman" w:hAnsi="Times New Roman" w:cs="Times New Roman"/>
          <w:sz w:val="24"/>
          <w:szCs w:val="24"/>
        </w:rPr>
        <w:t xml:space="preserve"> ir žymimos </w:t>
      </w:r>
      <w:r w:rsidRPr="00C8410D">
        <w:rPr>
          <w:rFonts w:ascii="Times New Roman" w:hAnsi="Times New Roman" w:cs="Times New Roman"/>
          <w:b/>
          <w:color w:val="FF0000"/>
          <w:sz w:val="24"/>
          <w:szCs w:val="24"/>
        </w:rPr>
        <w:t>raudona spalva</w:t>
      </w:r>
      <w:r>
        <w:rPr>
          <w:rFonts w:ascii="Times New Roman" w:hAnsi="Times New Roman" w:cs="Times New Roman"/>
          <w:sz w:val="24"/>
          <w:szCs w:val="24"/>
        </w:rPr>
        <w:t>;</w:t>
      </w:r>
    </w:p>
    <w:p w:rsidR="004E04CF" w:rsidRPr="00C8410D" w:rsidRDefault="004E04CF" w:rsidP="00AC2A42">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Likusių 36 savivaldybių rodiklio reikšmės žymimos </w:t>
      </w:r>
      <w:r w:rsidRPr="00944175">
        <w:rPr>
          <w:rFonts w:ascii="Times New Roman" w:hAnsi="Times New Roman" w:cs="Times New Roman"/>
          <w:b/>
          <w:color w:val="FFC000"/>
          <w:sz w:val="24"/>
          <w:szCs w:val="24"/>
        </w:rPr>
        <w:t>geltona spalva</w:t>
      </w:r>
      <w:r>
        <w:rPr>
          <w:rFonts w:ascii="Times New Roman" w:hAnsi="Times New Roman" w:cs="Times New Roman"/>
          <w:sz w:val="24"/>
          <w:szCs w:val="24"/>
        </w:rPr>
        <w:t>. Šių savivaldybių rodikliai interpretuojami kaip atitinkantys Lietuvos vidurkį.</w:t>
      </w:r>
    </w:p>
    <w:p w:rsidR="004E04CF" w:rsidRDefault="004E04CF" w:rsidP="00F9374C">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4E04CF" w:rsidRDefault="00E51A83" w:rsidP="00F9374C">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Molėtų</w:t>
      </w:r>
      <w:r w:rsidR="004E04CF">
        <w:rPr>
          <w:rFonts w:ascii="Times New Roman" w:hAnsi="Times New Roman" w:cs="Times New Roman"/>
          <w:sz w:val="24"/>
          <w:szCs w:val="24"/>
        </w:rPr>
        <w:t xml:space="preserve"> r</w:t>
      </w:r>
      <w:r w:rsidR="009C2A33">
        <w:rPr>
          <w:rFonts w:ascii="Times New Roman" w:hAnsi="Times New Roman" w:cs="Times New Roman"/>
          <w:sz w:val="24"/>
          <w:szCs w:val="24"/>
        </w:rPr>
        <w:t>.</w:t>
      </w:r>
      <w:r w:rsidR="004E04CF">
        <w:rPr>
          <w:rFonts w:ascii="Times New Roman" w:hAnsi="Times New Roman" w:cs="Times New Roman"/>
          <w:sz w:val="24"/>
          <w:szCs w:val="24"/>
        </w:rPr>
        <w:t xml:space="preserve"> gyventojų visuomenės sveikatos stebėsenos ataskaitoje analizuojamų rodiklių duomenys ir jų interpret</w:t>
      </w:r>
      <w:r>
        <w:rPr>
          <w:rFonts w:ascii="Times New Roman" w:hAnsi="Times New Roman" w:cs="Times New Roman"/>
          <w:sz w:val="24"/>
          <w:szCs w:val="24"/>
        </w:rPr>
        <w:t>avimas pateikiami 1 lentelėje „Molėtų</w:t>
      </w:r>
      <w:r w:rsidR="004E04CF">
        <w:rPr>
          <w:rFonts w:ascii="Times New Roman" w:hAnsi="Times New Roman" w:cs="Times New Roman"/>
          <w:sz w:val="24"/>
          <w:szCs w:val="24"/>
        </w:rPr>
        <w:t xml:space="preserve"> rajono savivaldybės visuomenės sveikatos stebėsenos rodiklių profilis“.</w:t>
      </w:r>
    </w:p>
    <w:p w:rsidR="004E04CF" w:rsidRDefault="004E04CF" w:rsidP="00F9374C">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Remiantis profilio rodikliais ir jų interpretavimo rezultatais („šviesoforas“ ir santykis) pasirinkome 3 pagrindinio rodiklių sąrašo reikšmes, kurių rodiklis</w:t>
      </w:r>
      <w:r w:rsidR="00F9374C">
        <w:rPr>
          <w:rFonts w:ascii="Times New Roman" w:hAnsi="Times New Roman" w:cs="Times New Roman"/>
          <w:sz w:val="24"/>
          <w:szCs w:val="24"/>
        </w:rPr>
        <w:t xml:space="preserve"> ar pokyčio kryptis prasčiausia</w:t>
      </w:r>
      <w:r>
        <w:rPr>
          <w:rFonts w:ascii="Times New Roman" w:hAnsi="Times New Roman" w:cs="Times New Roman"/>
          <w:sz w:val="24"/>
          <w:szCs w:val="24"/>
        </w:rPr>
        <w:t xml:space="preserve"> palyginti su kitomis savivaldybės profilio reikšmėmis (raudonos spalvos pagrindinių rodiklių sąrašo reikšmės). Sudarėme </w:t>
      </w:r>
      <w:r w:rsidR="00E51A83">
        <w:rPr>
          <w:rFonts w:ascii="Times New Roman" w:hAnsi="Times New Roman" w:cs="Times New Roman"/>
          <w:sz w:val="24"/>
          <w:szCs w:val="24"/>
        </w:rPr>
        <w:t>Molėtų</w:t>
      </w:r>
      <w:r>
        <w:rPr>
          <w:rFonts w:ascii="Times New Roman" w:hAnsi="Times New Roman" w:cs="Times New Roman"/>
          <w:sz w:val="24"/>
          <w:szCs w:val="24"/>
        </w:rPr>
        <w:t xml:space="preserve"> r</w:t>
      </w:r>
      <w:r w:rsidR="009C2A33">
        <w:rPr>
          <w:rFonts w:ascii="Times New Roman" w:hAnsi="Times New Roman" w:cs="Times New Roman"/>
          <w:sz w:val="24"/>
          <w:szCs w:val="24"/>
        </w:rPr>
        <w:t>.</w:t>
      </w:r>
      <w:r>
        <w:rPr>
          <w:rFonts w:ascii="Times New Roman" w:hAnsi="Times New Roman" w:cs="Times New Roman"/>
          <w:sz w:val="24"/>
          <w:szCs w:val="24"/>
        </w:rPr>
        <w:t xml:space="preserve"> probleminių visuomenės sveikatos sričių (temų) sąrašą. Šiose srityse atlikome atrinktų rodiklių detalią analizę ir vertinimą. Parengėme pasiūlymus.</w:t>
      </w:r>
    </w:p>
    <w:p w:rsidR="004E04CF" w:rsidRDefault="004E04CF" w:rsidP="004E04CF">
      <w:pPr>
        <w:rPr>
          <w:rFonts w:ascii="Times New Roman" w:hAnsi="Times New Roman" w:cs="Times New Roman"/>
          <w:sz w:val="24"/>
          <w:szCs w:val="24"/>
        </w:rPr>
      </w:pPr>
      <w:r>
        <w:rPr>
          <w:rFonts w:ascii="Times New Roman" w:hAnsi="Times New Roman" w:cs="Times New Roman"/>
          <w:sz w:val="24"/>
          <w:szCs w:val="24"/>
        </w:rPr>
        <w:br w:type="page"/>
      </w:r>
    </w:p>
    <w:p w:rsidR="004E04CF" w:rsidRPr="00C8410D" w:rsidRDefault="004E04CF" w:rsidP="004E04CF">
      <w:pPr>
        <w:rPr>
          <w:rFonts w:ascii="Times New Roman" w:hAnsi="Times New Roman" w:cs="Times New Roman"/>
          <w:sz w:val="24"/>
          <w:szCs w:val="24"/>
        </w:rPr>
        <w:sectPr w:rsidR="004E04CF" w:rsidRPr="00C8410D" w:rsidSect="00AA5A5E">
          <w:headerReference w:type="default" r:id="rId9"/>
          <w:pgSz w:w="11906" w:h="16838"/>
          <w:pgMar w:top="1701" w:right="424" w:bottom="1134" w:left="1701" w:header="567" w:footer="567" w:gutter="0"/>
          <w:cols w:space="1296"/>
          <w:titlePg/>
          <w:docGrid w:linePitch="360"/>
        </w:sectPr>
      </w:pPr>
    </w:p>
    <w:p w:rsidR="00E51A83" w:rsidRPr="0011788A" w:rsidRDefault="00E51A83" w:rsidP="00E51A83">
      <w:pPr>
        <w:ind w:firstLine="851"/>
        <w:jc w:val="both"/>
        <w:rPr>
          <w:rFonts w:ascii="Times New Roman" w:hAnsi="Times New Roman" w:cs="Times New Roman"/>
          <w:sz w:val="24"/>
          <w:szCs w:val="24"/>
        </w:rPr>
      </w:pPr>
      <w:r w:rsidRPr="0011788A">
        <w:rPr>
          <w:rFonts w:ascii="Times New Roman" w:hAnsi="Times New Roman" w:cs="Times New Roman"/>
          <w:i/>
          <w:sz w:val="24"/>
          <w:szCs w:val="24"/>
        </w:rPr>
        <w:lastRenderedPageBreak/>
        <w:t>Pirmame lentelės stulpelyje</w:t>
      </w:r>
      <w:r w:rsidRPr="0011788A">
        <w:rPr>
          <w:rFonts w:ascii="Times New Roman" w:hAnsi="Times New Roman" w:cs="Times New Roman"/>
          <w:sz w:val="24"/>
          <w:szCs w:val="24"/>
        </w:rPr>
        <w:t xml:space="preserve"> pateikiami PRS  suskirstyti pagal Lietuvos sveikatos programoje numatomus įgyvendinti tikslus ir uždavinius. </w:t>
      </w:r>
      <w:r w:rsidRPr="0011788A">
        <w:rPr>
          <w:rFonts w:ascii="Times New Roman" w:hAnsi="Times New Roman" w:cs="Times New Roman"/>
          <w:i/>
          <w:sz w:val="24"/>
          <w:szCs w:val="24"/>
        </w:rPr>
        <w:t>Antrajame stulpelyje</w:t>
      </w:r>
      <w:r w:rsidRPr="0011788A">
        <w:rPr>
          <w:rFonts w:ascii="Times New Roman" w:hAnsi="Times New Roman" w:cs="Times New Roman"/>
          <w:sz w:val="24"/>
          <w:szCs w:val="24"/>
        </w:rPr>
        <w:t xml:space="preserve"> pateikiama </w:t>
      </w:r>
      <w:r w:rsidR="00F80EFF">
        <w:rPr>
          <w:rFonts w:ascii="Times New Roman" w:hAnsi="Times New Roman" w:cs="Times New Roman"/>
          <w:sz w:val="24"/>
          <w:szCs w:val="24"/>
        </w:rPr>
        <w:t>Molėtų</w:t>
      </w:r>
      <w:r w:rsidRPr="0011788A">
        <w:rPr>
          <w:rFonts w:ascii="Times New Roman" w:hAnsi="Times New Roman" w:cs="Times New Roman"/>
          <w:sz w:val="24"/>
          <w:szCs w:val="24"/>
        </w:rPr>
        <w:t xml:space="preserve"> r</w:t>
      </w:r>
      <w:r w:rsidR="009C2A33">
        <w:rPr>
          <w:rFonts w:ascii="Times New Roman" w:hAnsi="Times New Roman" w:cs="Times New Roman"/>
          <w:sz w:val="24"/>
          <w:szCs w:val="24"/>
        </w:rPr>
        <w:t>.</w:t>
      </w:r>
      <w:r w:rsidRPr="0011788A">
        <w:rPr>
          <w:rFonts w:ascii="Times New Roman" w:hAnsi="Times New Roman" w:cs="Times New Roman"/>
          <w:sz w:val="24"/>
          <w:szCs w:val="24"/>
        </w:rPr>
        <w:t xml:space="preserve"> savivaldybės rodiklio reikšmė, </w:t>
      </w:r>
      <w:r w:rsidRPr="0011788A">
        <w:rPr>
          <w:rFonts w:ascii="Times New Roman" w:hAnsi="Times New Roman" w:cs="Times New Roman"/>
          <w:i/>
          <w:sz w:val="24"/>
          <w:szCs w:val="24"/>
        </w:rPr>
        <w:t>trečiajame</w:t>
      </w:r>
      <w:r w:rsidRPr="0011788A">
        <w:rPr>
          <w:rFonts w:ascii="Times New Roman" w:hAnsi="Times New Roman" w:cs="Times New Roman"/>
          <w:sz w:val="24"/>
          <w:szCs w:val="24"/>
        </w:rPr>
        <w:t xml:space="preserve"> – atitinkamo rodiklio Lietuvos vidurkio reikšmė, </w:t>
      </w:r>
      <w:r w:rsidRPr="0011788A">
        <w:rPr>
          <w:rFonts w:ascii="Times New Roman" w:hAnsi="Times New Roman" w:cs="Times New Roman"/>
          <w:i/>
          <w:sz w:val="24"/>
          <w:szCs w:val="24"/>
        </w:rPr>
        <w:t>ketvirtajame</w:t>
      </w:r>
      <w:r w:rsidRPr="0011788A">
        <w:rPr>
          <w:rFonts w:ascii="Times New Roman" w:hAnsi="Times New Roman" w:cs="Times New Roman"/>
          <w:sz w:val="24"/>
          <w:szCs w:val="24"/>
        </w:rPr>
        <w:t xml:space="preserve"> – mažiausia reikšmė tarp visų savivaldybių, </w:t>
      </w:r>
      <w:r w:rsidRPr="0011788A">
        <w:rPr>
          <w:rFonts w:ascii="Times New Roman" w:hAnsi="Times New Roman" w:cs="Times New Roman"/>
          <w:i/>
          <w:sz w:val="24"/>
          <w:szCs w:val="24"/>
        </w:rPr>
        <w:t>penktajame</w:t>
      </w:r>
      <w:r w:rsidRPr="0011788A">
        <w:rPr>
          <w:rFonts w:ascii="Times New Roman" w:hAnsi="Times New Roman" w:cs="Times New Roman"/>
          <w:sz w:val="24"/>
          <w:szCs w:val="24"/>
        </w:rPr>
        <w:t xml:space="preserve"> – didžiausia reikšmė tarp visų savivaldybių, </w:t>
      </w:r>
      <w:r w:rsidRPr="0011788A">
        <w:rPr>
          <w:rFonts w:ascii="Times New Roman" w:hAnsi="Times New Roman" w:cs="Times New Roman"/>
          <w:i/>
          <w:sz w:val="24"/>
          <w:szCs w:val="24"/>
        </w:rPr>
        <w:t>šeštajame</w:t>
      </w:r>
      <w:r w:rsidRPr="0011788A">
        <w:rPr>
          <w:rFonts w:ascii="Times New Roman" w:hAnsi="Times New Roman" w:cs="Times New Roman"/>
          <w:sz w:val="24"/>
          <w:szCs w:val="24"/>
        </w:rPr>
        <w:t xml:space="preserve"> – savivaldybės rodiklio interpretavimas (reikšmės savivaldybėje santykis su Lietuvos vidurkio reikšme ir savivaldybės vietos tarpe visų savivaldybių pavaizdavimas pagal „ šviesoforo“ principą).</w:t>
      </w:r>
    </w:p>
    <w:p w:rsidR="004E04CF" w:rsidRPr="00E51A83" w:rsidRDefault="00E51A83" w:rsidP="00E51A83">
      <w:pPr>
        <w:spacing w:after="0" w:line="240" w:lineRule="auto"/>
        <w:rPr>
          <w:rFonts w:ascii="Times New Roman" w:hAnsi="Times New Roman" w:cs="Times New Roman"/>
          <w:sz w:val="24"/>
          <w:szCs w:val="24"/>
        </w:rPr>
      </w:pPr>
      <w:r w:rsidRPr="00E51A83">
        <w:rPr>
          <w:rFonts w:ascii="Times New Roman" w:hAnsi="Times New Roman" w:cs="Times New Roman"/>
          <w:b/>
          <w:sz w:val="24"/>
          <w:szCs w:val="24"/>
        </w:rPr>
        <w:t>1 lentelė.</w:t>
      </w:r>
      <w:r w:rsidRPr="00E51A83">
        <w:rPr>
          <w:rFonts w:ascii="Times New Roman" w:hAnsi="Times New Roman" w:cs="Times New Roman"/>
          <w:sz w:val="24"/>
          <w:szCs w:val="24"/>
        </w:rPr>
        <w:t xml:space="preserve"> </w:t>
      </w:r>
      <w:r w:rsidRPr="00E51A83">
        <w:rPr>
          <w:rFonts w:ascii="Times New Roman" w:hAnsi="Times New Roman" w:cs="Times New Roman"/>
          <w:i/>
          <w:sz w:val="24"/>
          <w:szCs w:val="24"/>
        </w:rPr>
        <w:t>Molėtų rajono savivaldybės visuomenės sveikatos stebėsenos rodiklių profilis</w:t>
      </w:r>
    </w:p>
    <w:tbl>
      <w:tblPr>
        <w:tblStyle w:val="Lentelstinklelis"/>
        <w:tblW w:w="16160" w:type="dxa"/>
        <w:tblInd w:w="-681" w:type="dxa"/>
        <w:tblLayout w:type="fixed"/>
        <w:tblCellMar>
          <w:left w:w="28" w:type="dxa"/>
          <w:right w:w="28" w:type="dxa"/>
        </w:tblCellMar>
        <w:tblLook w:val="04A0" w:firstRow="1" w:lastRow="0" w:firstColumn="1" w:lastColumn="0" w:noHBand="0" w:noVBand="1"/>
      </w:tblPr>
      <w:tblGrid>
        <w:gridCol w:w="9073"/>
        <w:gridCol w:w="1559"/>
        <w:gridCol w:w="992"/>
        <w:gridCol w:w="1134"/>
        <w:gridCol w:w="1276"/>
        <w:gridCol w:w="2126"/>
      </w:tblGrid>
      <w:tr w:rsidR="00DD0769" w:rsidRPr="00AC2A42" w:rsidTr="003E62DB">
        <w:tc>
          <w:tcPr>
            <w:tcW w:w="9073" w:type="dxa"/>
            <w:shd w:val="clear" w:color="auto" w:fill="9BBB59" w:themeFill="accent3"/>
          </w:tcPr>
          <w:p w:rsidR="00DD0769" w:rsidRPr="00AC2A42" w:rsidRDefault="00DD0769" w:rsidP="00E51A83">
            <w:pPr>
              <w:jc w:val="center"/>
              <w:rPr>
                <w:rFonts w:ascii="Times New Roman" w:hAnsi="Times New Roman" w:cs="Times New Roman"/>
                <w:b/>
                <w:sz w:val="24"/>
                <w:szCs w:val="24"/>
              </w:rPr>
            </w:pPr>
            <w:r w:rsidRPr="00AC2A42">
              <w:rPr>
                <w:rFonts w:ascii="Times New Roman" w:hAnsi="Times New Roman" w:cs="Times New Roman"/>
                <w:b/>
                <w:sz w:val="24"/>
                <w:szCs w:val="24"/>
              </w:rPr>
              <w:t>Rodiklis</w:t>
            </w:r>
          </w:p>
        </w:tc>
        <w:tc>
          <w:tcPr>
            <w:tcW w:w="1559" w:type="dxa"/>
            <w:shd w:val="clear" w:color="auto" w:fill="9BBB59" w:themeFill="accent3"/>
          </w:tcPr>
          <w:p w:rsidR="00DD0769" w:rsidRPr="00AC2A42" w:rsidRDefault="00DD0769" w:rsidP="00E51A83">
            <w:pPr>
              <w:ind w:left="-28"/>
              <w:jc w:val="center"/>
              <w:rPr>
                <w:rFonts w:ascii="Times New Roman" w:hAnsi="Times New Roman" w:cs="Times New Roman"/>
                <w:b/>
                <w:sz w:val="24"/>
                <w:szCs w:val="24"/>
              </w:rPr>
            </w:pPr>
            <w:r w:rsidRPr="00AC2A42">
              <w:rPr>
                <w:rFonts w:ascii="Times New Roman" w:hAnsi="Times New Roman" w:cs="Times New Roman"/>
                <w:b/>
                <w:sz w:val="24"/>
                <w:szCs w:val="24"/>
              </w:rPr>
              <w:t>Savivaldybės rodiklis</w:t>
            </w:r>
          </w:p>
        </w:tc>
        <w:tc>
          <w:tcPr>
            <w:tcW w:w="992" w:type="dxa"/>
            <w:shd w:val="clear" w:color="auto" w:fill="9BBB59" w:themeFill="accent3"/>
          </w:tcPr>
          <w:p w:rsidR="00DD0769" w:rsidRPr="00AC2A42" w:rsidRDefault="00DD0769" w:rsidP="00E51A83">
            <w:pPr>
              <w:jc w:val="center"/>
              <w:rPr>
                <w:rFonts w:ascii="Times New Roman" w:hAnsi="Times New Roman" w:cs="Times New Roman"/>
                <w:b/>
                <w:sz w:val="24"/>
                <w:szCs w:val="24"/>
              </w:rPr>
            </w:pPr>
            <w:r w:rsidRPr="00AC2A42">
              <w:rPr>
                <w:rFonts w:ascii="Times New Roman" w:hAnsi="Times New Roman" w:cs="Times New Roman"/>
                <w:b/>
                <w:sz w:val="24"/>
                <w:szCs w:val="24"/>
              </w:rPr>
              <w:t>Lietuvos rodiklis</w:t>
            </w:r>
          </w:p>
        </w:tc>
        <w:tc>
          <w:tcPr>
            <w:tcW w:w="1134" w:type="dxa"/>
            <w:shd w:val="clear" w:color="auto" w:fill="9BBB59" w:themeFill="accent3"/>
          </w:tcPr>
          <w:p w:rsidR="00DD0769" w:rsidRPr="00AC2A42" w:rsidRDefault="00DD0769" w:rsidP="00E51A83">
            <w:pPr>
              <w:jc w:val="center"/>
              <w:rPr>
                <w:rFonts w:ascii="Times New Roman" w:hAnsi="Times New Roman" w:cs="Times New Roman"/>
                <w:b/>
                <w:sz w:val="24"/>
                <w:szCs w:val="24"/>
              </w:rPr>
            </w:pPr>
            <w:r w:rsidRPr="00AC2A42">
              <w:rPr>
                <w:rFonts w:ascii="Times New Roman" w:hAnsi="Times New Roman" w:cs="Times New Roman"/>
                <w:b/>
                <w:sz w:val="24"/>
                <w:szCs w:val="24"/>
              </w:rPr>
              <w:t>Minimali reikšmė</w:t>
            </w:r>
          </w:p>
        </w:tc>
        <w:tc>
          <w:tcPr>
            <w:tcW w:w="1276" w:type="dxa"/>
            <w:shd w:val="clear" w:color="auto" w:fill="9BBB59" w:themeFill="accent3"/>
          </w:tcPr>
          <w:p w:rsidR="00DD0769" w:rsidRPr="00AC2A42" w:rsidRDefault="00DD0769" w:rsidP="00E51A83">
            <w:pPr>
              <w:jc w:val="center"/>
              <w:rPr>
                <w:rFonts w:ascii="Times New Roman" w:hAnsi="Times New Roman" w:cs="Times New Roman"/>
                <w:b/>
                <w:sz w:val="24"/>
                <w:szCs w:val="24"/>
              </w:rPr>
            </w:pPr>
            <w:r w:rsidRPr="00AC2A42">
              <w:rPr>
                <w:rFonts w:ascii="Times New Roman" w:hAnsi="Times New Roman" w:cs="Times New Roman"/>
                <w:b/>
                <w:sz w:val="24"/>
                <w:szCs w:val="24"/>
              </w:rPr>
              <w:t>Maksimali reikšmė</w:t>
            </w:r>
          </w:p>
        </w:tc>
        <w:tc>
          <w:tcPr>
            <w:tcW w:w="2126" w:type="dxa"/>
            <w:shd w:val="clear" w:color="auto" w:fill="9BBB59" w:themeFill="accent3"/>
          </w:tcPr>
          <w:p w:rsidR="00DD0769" w:rsidRPr="00AC2A42" w:rsidRDefault="00AC2A42" w:rsidP="00E51A83">
            <w:pPr>
              <w:jc w:val="center"/>
              <w:rPr>
                <w:rFonts w:ascii="Times New Roman" w:hAnsi="Times New Roman" w:cs="Times New Roman"/>
                <w:b/>
                <w:sz w:val="24"/>
                <w:szCs w:val="24"/>
              </w:rPr>
            </w:pPr>
            <w:r>
              <w:rPr>
                <w:rFonts w:ascii="Times New Roman" w:hAnsi="Times New Roman" w:cs="Times New Roman"/>
                <w:b/>
                <w:sz w:val="24"/>
                <w:szCs w:val="24"/>
              </w:rPr>
              <w:t>Santykis: savivaldybė/Lietuva</w:t>
            </w:r>
          </w:p>
        </w:tc>
      </w:tr>
      <w:tr w:rsidR="00DD0769" w:rsidRPr="00AC2A42" w:rsidTr="003E62DB">
        <w:tc>
          <w:tcPr>
            <w:tcW w:w="9073"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1</w:t>
            </w:r>
          </w:p>
        </w:tc>
        <w:tc>
          <w:tcPr>
            <w:tcW w:w="1559"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2</w:t>
            </w:r>
          </w:p>
        </w:tc>
        <w:tc>
          <w:tcPr>
            <w:tcW w:w="992"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3</w:t>
            </w:r>
          </w:p>
        </w:tc>
        <w:tc>
          <w:tcPr>
            <w:tcW w:w="1134"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4</w:t>
            </w:r>
          </w:p>
        </w:tc>
        <w:tc>
          <w:tcPr>
            <w:tcW w:w="1276"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5</w:t>
            </w:r>
          </w:p>
        </w:tc>
        <w:tc>
          <w:tcPr>
            <w:tcW w:w="2126" w:type="dxa"/>
            <w:shd w:val="clear" w:color="auto" w:fill="9BBB59" w:themeFill="accent3"/>
          </w:tcPr>
          <w:p w:rsidR="00DD0769" w:rsidRPr="00AC2A42" w:rsidRDefault="00DD0769" w:rsidP="002E6E71">
            <w:pPr>
              <w:jc w:val="center"/>
              <w:rPr>
                <w:rFonts w:ascii="Times New Roman" w:hAnsi="Times New Roman" w:cs="Times New Roman"/>
                <w:b/>
                <w:sz w:val="24"/>
                <w:szCs w:val="24"/>
              </w:rPr>
            </w:pPr>
            <w:r w:rsidRPr="00AC2A42">
              <w:rPr>
                <w:rFonts w:ascii="Times New Roman" w:hAnsi="Times New Roman" w:cs="Times New Roman"/>
                <w:b/>
                <w:sz w:val="24"/>
                <w:szCs w:val="24"/>
              </w:rPr>
              <w:t>6</w:t>
            </w:r>
          </w:p>
        </w:tc>
      </w:tr>
      <w:tr w:rsidR="00DD0769" w:rsidRPr="00AC2A42" w:rsidTr="003E62DB">
        <w:tc>
          <w:tcPr>
            <w:tcW w:w="16160" w:type="dxa"/>
            <w:gridSpan w:val="6"/>
            <w:shd w:val="clear" w:color="auto" w:fill="EAF1DD" w:themeFill="accent3" w:themeFillTint="33"/>
          </w:tcPr>
          <w:p w:rsidR="00DD0769" w:rsidRPr="00AC2A42" w:rsidRDefault="00DD0769" w:rsidP="002E6E71">
            <w:pPr>
              <w:rPr>
                <w:rFonts w:ascii="Times New Roman" w:hAnsi="Times New Roman" w:cs="Times New Roman"/>
                <w:sz w:val="24"/>
                <w:szCs w:val="24"/>
                <w:u w:val="single"/>
              </w:rPr>
            </w:pPr>
            <w:r w:rsidRPr="00AC2A42">
              <w:rPr>
                <w:rFonts w:ascii="Times New Roman" w:hAnsi="Times New Roman" w:cs="Times New Roman"/>
                <w:b/>
                <w:color w:val="E36C0A" w:themeColor="accent6" w:themeShade="BF"/>
                <w:sz w:val="24"/>
                <w:szCs w:val="24"/>
                <w:u w:val="single"/>
              </w:rPr>
              <w:t>Strateginis tikslas</w:t>
            </w:r>
            <w:r w:rsidRPr="00AC2A42">
              <w:rPr>
                <w:rFonts w:ascii="Times New Roman" w:hAnsi="Times New Roman" w:cs="Times New Roman"/>
                <w:color w:val="E36C0A" w:themeColor="accent6" w:themeShade="BF"/>
                <w:sz w:val="24"/>
                <w:szCs w:val="24"/>
                <w:u w:val="single"/>
              </w:rPr>
              <w:t xml:space="preserve"> </w:t>
            </w:r>
            <w:r w:rsidRPr="00AC2A42">
              <w:rPr>
                <w:rFonts w:ascii="Times New Roman" w:hAnsi="Times New Roman" w:cs="Times New Roman"/>
                <w:sz w:val="24"/>
                <w:szCs w:val="24"/>
                <w:u w:val="single"/>
              </w:rPr>
              <w:t>– pasiekti, kad 2023 metais šalies gyventojai būtų sveikesni ir gyventų ilgiau, pagerėtų gyventojų sveikata ir sumažėtų sveikatos netolygumai</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Vidutinė tikėtina gyvenimo trukmė</w:t>
            </w:r>
          </w:p>
        </w:tc>
        <w:tc>
          <w:tcPr>
            <w:tcW w:w="1559" w:type="dxa"/>
          </w:tcPr>
          <w:p w:rsidR="00DD0769" w:rsidRPr="00AC2A42" w:rsidRDefault="007754B2" w:rsidP="002E6E71">
            <w:pPr>
              <w:rPr>
                <w:rFonts w:ascii="Times New Roman" w:hAnsi="Times New Roman" w:cs="Times New Roman"/>
                <w:sz w:val="24"/>
                <w:szCs w:val="24"/>
              </w:rPr>
            </w:pPr>
            <w:r w:rsidRPr="00AC2A42">
              <w:rPr>
                <w:rFonts w:ascii="Times New Roman" w:hAnsi="Times New Roman" w:cs="Times New Roman"/>
                <w:sz w:val="24"/>
                <w:szCs w:val="24"/>
              </w:rPr>
              <w:t>71,11</w:t>
            </w:r>
          </w:p>
        </w:tc>
        <w:tc>
          <w:tcPr>
            <w:tcW w:w="992" w:type="dxa"/>
          </w:tcPr>
          <w:p w:rsidR="00DD0769" w:rsidRPr="00AC2A42" w:rsidRDefault="007754B2" w:rsidP="002E6E71">
            <w:pPr>
              <w:rPr>
                <w:rFonts w:ascii="Times New Roman" w:hAnsi="Times New Roman" w:cs="Times New Roman"/>
                <w:sz w:val="24"/>
                <w:szCs w:val="24"/>
              </w:rPr>
            </w:pPr>
            <w:r w:rsidRPr="00AC2A42">
              <w:rPr>
                <w:rFonts w:ascii="Times New Roman" w:hAnsi="Times New Roman" w:cs="Times New Roman"/>
                <w:sz w:val="24"/>
                <w:szCs w:val="24"/>
              </w:rPr>
              <w:t>74,69</w:t>
            </w:r>
          </w:p>
        </w:tc>
        <w:tc>
          <w:tcPr>
            <w:tcW w:w="1134" w:type="dxa"/>
          </w:tcPr>
          <w:p w:rsidR="00DD0769" w:rsidRPr="00AC2A42" w:rsidRDefault="007754B2" w:rsidP="002E6E71">
            <w:pPr>
              <w:rPr>
                <w:rFonts w:ascii="Times New Roman" w:hAnsi="Times New Roman" w:cs="Times New Roman"/>
                <w:sz w:val="24"/>
                <w:szCs w:val="24"/>
              </w:rPr>
            </w:pPr>
            <w:r w:rsidRPr="00AC2A42">
              <w:rPr>
                <w:rFonts w:ascii="Times New Roman" w:hAnsi="Times New Roman" w:cs="Times New Roman"/>
                <w:sz w:val="24"/>
                <w:szCs w:val="24"/>
              </w:rPr>
              <w:t>69,37</w:t>
            </w:r>
          </w:p>
        </w:tc>
        <w:tc>
          <w:tcPr>
            <w:tcW w:w="1276" w:type="dxa"/>
          </w:tcPr>
          <w:p w:rsidR="00DD0769" w:rsidRPr="00AC2A42" w:rsidRDefault="007754B2" w:rsidP="002E6E71">
            <w:pPr>
              <w:rPr>
                <w:rFonts w:ascii="Times New Roman" w:hAnsi="Times New Roman" w:cs="Times New Roman"/>
                <w:sz w:val="24"/>
                <w:szCs w:val="24"/>
              </w:rPr>
            </w:pPr>
            <w:r w:rsidRPr="00AC2A42">
              <w:rPr>
                <w:rFonts w:ascii="Times New Roman" w:hAnsi="Times New Roman" w:cs="Times New Roman"/>
                <w:sz w:val="24"/>
                <w:szCs w:val="24"/>
              </w:rPr>
              <w:t>78,62</w:t>
            </w:r>
          </w:p>
        </w:tc>
        <w:tc>
          <w:tcPr>
            <w:tcW w:w="2126" w:type="dxa"/>
            <w:shd w:val="clear" w:color="auto" w:fill="FF0000"/>
          </w:tcPr>
          <w:p w:rsidR="00DD0769" w:rsidRPr="00AC2A42" w:rsidRDefault="007754B2" w:rsidP="002E6E71">
            <w:pPr>
              <w:rPr>
                <w:rFonts w:ascii="Times New Roman" w:hAnsi="Times New Roman" w:cs="Times New Roman"/>
                <w:sz w:val="24"/>
                <w:szCs w:val="24"/>
              </w:rPr>
            </w:pPr>
            <w:r w:rsidRPr="00AC2A42">
              <w:rPr>
                <w:rFonts w:ascii="Times New Roman" w:hAnsi="Times New Roman" w:cs="Times New Roman"/>
                <w:sz w:val="24"/>
                <w:szCs w:val="24"/>
              </w:rPr>
              <w:t>0,95</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Išvengiamas mirtingumas</w:t>
            </w:r>
          </w:p>
        </w:tc>
        <w:tc>
          <w:tcPr>
            <w:tcW w:w="1559"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992"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134"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27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2126" w:type="dxa"/>
          </w:tcPr>
          <w:p w:rsidR="00DD0769" w:rsidRPr="00AC2A42" w:rsidRDefault="00804591" w:rsidP="00804591">
            <w:pPr>
              <w:jc w:val="center"/>
              <w:rPr>
                <w:rFonts w:ascii="Times New Roman" w:hAnsi="Times New Roman" w:cs="Times New Roman"/>
                <w:sz w:val="24"/>
                <w:szCs w:val="24"/>
              </w:rPr>
            </w:pPr>
            <w:r w:rsidRPr="00AC2A42">
              <w:rPr>
                <w:rFonts w:ascii="Times New Roman" w:hAnsi="Times New Roman" w:cs="Times New Roman"/>
                <w:sz w:val="24"/>
                <w:szCs w:val="24"/>
              </w:rPr>
              <w:t>nėra</w:t>
            </w:r>
          </w:p>
        </w:tc>
      </w:tr>
      <w:tr w:rsidR="00DD0769" w:rsidRPr="00AC2A42" w:rsidTr="003E62DB">
        <w:tc>
          <w:tcPr>
            <w:tcW w:w="16160" w:type="dxa"/>
            <w:gridSpan w:val="6"/>
            <w:shd w:val="clear" w:color="auto" w:fill="EAF1DD" w:themeFill="accent3" w:themeFillTint="33"/>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b/>
                <w:color w:val="E36C0A" w:themeColor="accent6" w:themeShade="BF"/>
                <w:sz w:val="24"/>
                <w:szCs w:val="24"/>
                <w:u w:val="single"/>
              </w:rPr>
              <w:t>1 tikslas.</w:t>
            </w:r>
            <w:r w:rsidRPr="00AC2A42">
              <w:rPr>
                <w:rFonts w:ascii="Times New Roman" w:hAnsi="Times New Roman" w:cs="Times New Roman"/>
                <w:color w:val="E36C0A" w:themeColor="accent6" w:themeShade="BF"/>
                <w:sz w:val="24"/>
                <w:szCs w:val="24"/>
              </w:rPr>
              <w:t xml:space="preserve"> </w:t>
            </w:r>
            <w:r w:rsidRPr="00AC2A42">
              <w:rPr>
                <w:rFonts w:ascii="Times New Roman" w:hAnsi="Times New Roman" w:cs="Times New Roman"/>
                <w:sz w:val="24"/>
                <w:szCs w:val="24"/>
                <w:u w:val="single"/>
              </w:rPr>
              <w:t>Sukurti saugesnę socialinę aplinką, mažinti sveikatos netolygumus ir socialinę atskirtį</w:t>
            </w:r>
          </w:p>
        </w:tc>
      </w:tr>
      <w:tr w:rsidR="00E51A83" w:rsidRPr="00AC2A42" w:rsidTr="003E62DB">
        <w:tc>
          <w:tcPr>
            <w:tcW w:w="16160" w:type="dxa"/>
            <w:gridSpan w:val="6"/>
            <w:shd w:val="clear" w:color="auto" w:fill="EAF1DD" w:themeFill="accent3" w:themeFillTint="33"/>
          </w:tcPr>
          <w:p w:rsidR="00E51A83" w:rsidRPr="00AC2A42" w:rsidRDefault="00E51A83" w:rsidP="002E6E71">
            <w:pPr>
              <w:rPr>
                <w:rFonts w:ascii="Times New Roman" w:hAnsi="Times New Roman" w:cs="Times New Roman"/>
                <w:b/>
                <w:color w:val="E36C0A" w:themeColor="accent6" w:themeShade="BF"/>
                <w:sz w:val="24"/>
                <w:szCs w:val="24"/>
                <w:u w:val="single"/>
              </w:rPr>
            </w:pPr>
            <w:r w:rsidRPr="00AC2A42">
              <w:rPr>
                <w:rFonts w:ascii="Times New Roman" w:hAnsi="Times New Roman" w:cs="Times New Roman"/>
                <w:b/>
                <w:sz w:val="24"/>
                <w:szCs w:val="24"/>
              </w:rPr>
              <w:t>1.1. Sumažinti skurdo lygį ir nedarbą</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Mirtingumas dėl savižudybių (X60-X84) 100 000 gyventojų</w:t>
            </w:r>
          </w:p>
        </w:tc>
        <w:tc>
          <w:tcPr>
            <w:tcW w:w="1559"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56,68</w:t>
            </w:r>
          </w:p>
        </w:tc>
        <w:tc>
          <w:tcPr>
            <w:tcW w:w="992"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31,71</w:t>
            </w:r>
          </w:p>
        </w:tc>
        <w:tc>
          <w:tcPr>
            <w:tcW w:w="1134"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9,79</w:t>
            </w:r>
          </w:p>
        </w:tc>
        <w:tc>
          <w:tcPr>
            <w:tcW w:w="1276"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92,67</w:t>
            </w:r>
          </w:p>
        </w:tc>
        <w:tc>
          <w:tcPr>
            <w:tcW w:w="2126" w:type="dxa"/>
            <w:shd w:val="clear" w:color="auto" w:fill="FF0000"/>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1,79</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mirtingumas dėl savižudybių (X60-X84) 100 000 gyventojų</w:t>
            </w:r>
          </w:p>
        </w:tc>
        <w:tc>
          <w:tcPr>
            <w:tcW w:w="1559"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55,91</w:t>
            </w:r>
          </w:p>
        </w:tc>
        <w:tc>
          <w:tcPr>
            <w:tcW w:w="992"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31,32</w:t>
            </w:r>
          </w:p>
        </w:tc>
        <w:tc>
          <w:tcPr>
            <w:tcW w:w="1134"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5,25</w:t>
            </w:r>
          </w:p>
        </w:tc>
        <w:tc>
          <w:tcPr>
            <w:tcW w:w="1276" w:type="dxa"/>
          </w:tcPr>
          <w:p w:rsidR="00DD0769" w:rsidRPr="00AC2A42" w:rsidRDefault="003624D1" w:rsidP="002E6E71">
            <w:pPr>
              <w:rPr>
                <w:rFonts w:ascii="Times New Roman" w:hAnsi="Times New Roman" w:cs="Times New Roman"/>
                <w:sz w:val="24"/>
                <w:szCs w:val="24"/>
              </w:rPr>
            </w:pPr>
            <w:r w:rsidRPr="00AC2A42">
              <w:rPr>
                <w:rFonts w:ascii="Times New Roman" w:hAnsi="Times New Roman" w:cs="Times New Roman"/>
                <w:sz w:val="24"/>
                <w:szCs w:val="24"/>
              </w:rPr>
              <w:t>90,05</w:t>
            </w:r>
          </w:p>
        </w:tc>
        <w:tc>
          <w:tcPr>
            <w:tcW w:w="2126" w:type="dxa"/>
            <w:shd w:val="clear" w:color="auto" w:fill="FF0000"/>
          </w:tcPr>
          <w:p w:rsidR="00DD0769" w:rsidRPr="00AC2A42" w:rsidRDefault="00ED59D0" w:rsidP="002E6E71">
            <w:pPr>
              <w:rPr>
                <w:rFonts w:ascii="Times New Roman" w:hAnsi="Times New Roman" w:cs="Times New Roman"/>
                <w:sz w:val="24"/>
                <w:szCs w:val="24"/>
              </w:rPr>
            </w:pPr>
            <w:r w:rsidRPr="00AC2A42">
              <w:rPr>
                <w:rFonts w:ascii="Times New Roman" w:hAnsi="Times New Roman" w:cs="Times New Roman"/>
                <w:sz w:val="24"/>
                <w:szCs w:val="24"/>
              </w:rPr>
              <w:t>1,79</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Mokyklinio amžiaus vaikų, nesimokančių mokyklose, skaičius 1000 gyventojų</w:t>
            </w:r>
          </w:p>
        </w:tc>
        <w:tc>
          <w:tcPr>
            <w:tcW w:w="1559" w:type="dxa"/>
          </w:tcPr>
          <w:p w:rsidR="00DD0769" w:rsidRPr="00AC2A42" w:rsidRDefault="00E53116" w:rsidP="002E6E71">
            <w:pPr>
              <w:rPr>
                <w:rFonts w:ascii="Times New Roman" w:hAnsi="Times New Roman" w:cs="Times New Roman"/>
                <w:sz w:val="24"/>
                <w:szCs w:val="24"/>
              </w:rPr>
            </w:pPr>
            <w:r w:rsidRPr="00AC2A42">
              <w:rPr>
                <w:rFonts w:ascii="Times New Roman" w:hAnsi="Times New Roman" w:cs="Times New Roman"/>
                <w:sz w:val="24"/>
                <w:szCs w:val="24"/>
              </w:rPr>
              <w:t>29,49</w:t>
            </w:r>
          </w:p>
        </w:tc>
        <w:tc>
          <w:tcPr>
            <w:tcW w:w="992" w:type="dxa"/>
          </w:tcPr>
          <w:p w:rsidR="00DD0769" w:rsidRPr="00AC2A42" w:rsidRDefault="00E53116" w:rsidP="002E6E71">
            <w:pPr>
              <w:rPr>
                <w:rFonts w:ascii="Times New Roman" w:hAnsi="Times New Roman" w:cs="Times New Roman"/>
                <w:sz w:val="24"/>
                <w:szCs w:val="24"/>
              </w:rPr>
            </w:pPr>
            <w:r w:rsidRPr="00AC2A42">
              <w:rPr>
                <w:rFonts w:ascii="Times New Roman" w:hAnsi="Times New Roman" w:cs="Times New Roman"/>
                <w:sz w:val="24"/>
                <w:szCs w:val="24"/>
              </w:rPr>
              <w:t>56,24</w:t>
            </w:r>
          </w:p>
        </w:tc>
        <w:tc>
          <w:tcPr>
            <w:tcW w:w="1134" w:type="dxa"/>
          </w:tcPr>
          <w:p w:rsidR="00DD0769" w:rsidRPr="00AC2A42" w:rsidRDefault="00E53116" w:rsidP="002E6E71">
            <w:pPr>
              <w:rPr>
                <w:rFonts w:ascii="Times New Roman" w:hAnsi="Times New Roman" w:cs="Times New Roman"/>
                <w:sz w:val="24"/>
                <w:szCs w:val="24"/>
              </w:rPr>
            </w:pPr>
            <w:r w:rsidRPr="00AC2A42">
              <w:rPr>
                <w:rFonts w:ascii="Times New Roman" w:hAnsi="Times New Roman" w:cs="Times New Roman"/>
                <w:sz w:val="24"/>
                <w:szCs w:val="24"/>
              </w:rPr>
              <w:t>20,69</w:t>
            </w:r>
          </w:p>
        </w:tc>
        <w:tc>
          <w:tcPr>
            <w:tcW w:w="1276" w:type="dxa"/>
          </w:tcPr>
          <w:p w:rsidR="00DD0769" w:rsidRPr="00AC2A42" w:rsidRDefault="00E53116" w:rsidP="002E6E71">
            <w:pPr>
              <w:rPr>
                <w:rFonts w:ascii="Times New Roman" w:hAnsi="Times New Roman" w:cs="Times New Roman"/>
                <w:sz w:val="24"/>
                <w:szCs w:val="24"/>
              </w:rPr>
            </w:pPr>
            <w:r w:rsidRPr="00AC2A42">
              <w:rPr>
                <w:rFonts w:ascii="Times New Roman" w:hAnsi="Times New Roman" w:cs="Times New Roman"/>
                <w:sz w:val="24"/>
                <w:szCs w:val="24"/>
              </w:rPr>
              <w:t>144,27</w:t>
            </w:r>
          </w:p>
        </w:tc>
        <w:tc>
          <w:tcPr>
            <w:tcW w:w="2126" w:type="dxa"/>
            <w:shd w:val="clear" w:color="auto" w:fill="92D050"/>
          </w:tcPr>
          <w:p w:rsidR="00DD0769" w:rsidRPr="00AC2A42" w:rsidRDefault="00ED59D0" w:rsidP="002E6E71">
            <w:pPr>
              <w:rPr>
                <w:rFonts w:ascii="Times New Roman" w:hAnsi="Times New Roman" w:cs="Times New Roman"/>
                <w:sz w:val="24"/>
                <w:szCs w:val="24"/>
              </w:rPr>
            </w:pPr>
            <w:r w:rsidRPr="00AC2A42">
              <w:rPr>
                <w:rFonts w:ascii="Times New Roman" w:hAnsi="Times New Roman" w:cs="Times New Roman"/>
                <w:sz w:val="24"/>
                <w:szCs w:val="24"/>
              </w:rPr>
              <w:t>0,52</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Socialinės rizikos šeimų skaičius 1 000 gyventojų</w:t>
            </w:r>
          </w:p>
        </w:tc>
        <w:tc>
          <w:tcPr>
            <w:tcW w:w="1559" w:type="dxa"/>
          </w:tcPr>
          <w:p w:rsidR="00DD0769" w:rsidRPr="00AC2A42" w:rsidRDefault="009925BC" w:rsidP="002E6E71">
            <w:pPr>
              <w:rPr>
                <w:rFonts w:ascii="Times New Roman" w:hAnsi="Times New Roman" w:cs="Times New Roman"/>
                <w:sz w:val="24"/>
                <w:szCs w:val="24"/>
              </w:rPr>
            </w:pPr>
            <w:r w:rsidRPr="00AC2A42">
              <w:rPr>
                <w:rFonts w:ascii="Times New Roman" w:hAnsi="Times New Roman" w:cs="Times New Roman"/>
                <w:sz w:val="24"/>
                <w:szCs w:val="24"/>
              </w:rPr>
              <w:t>6,03</w:t>
            </w:r>
          </w:p>
        </w:tc>
        <w:tc>
          <w:tcPr>
            <w:tcW w:w="992" w:type="dxa"/>
          </w:tcPr>
          <w:p w:rsidR="00DD0769" w:rsidRPr="00AC2A42" w:rsidRDefault="00653241" w:rsidP="002E6E71">
            <w:pPr>
              <w:rPr>
                <w:rFonts w:ascii="Times New Roman" w:hAnsi="Times New Roman" w:cs="Times New Roman"/>
                <w:sz w:val="24"/>
                <w:szCs w:val="24"/>
              </w:rPr>
            </w:pPr>
            <w:r w:rsidRPr="00AC2A42">
              <w:rPr>
                <w:rFonts w:ascii="Times New Roman" w:hAnsi="Times New Roman" w:cs="Times New Roman"/>
                <w:sz w:val="24"/>
                <w:szCs w:val="24"/>
              </w:rPr>
              <w:t>3,39</w:t>
            </w:r>
          </w:p>
        </w:tc>
        <w:tc>
          <w:tcPr>
            <w:tcW w:w="1134" w:type="dxa"/>
          </w:tcPr>
          <w:p w:rsidR="00DD0769" w:rsidRPr="00AC2A42" w:rsidRDefault="00653241" w:rsidP="002E6E71">
            <w:pPr>
              <w:rPr>
                <w:rFonts w:ascii="Times New Roman" w:hAnsi="Times New Roman" w:cs="Times New Roman"/>
                <w:sz w:val="24"/>
                <w:szCs w:val="24"/>
              </w:rPr>
            </w:pPr>
            <w:r w:rsidRPr="00AC2A42">
              <w:rPr>
                <w:rFonts w:ascii="Times New Roman" w:hAnsi="Times New Roman" w:cs="Times New Roman"/>
                <w:sz w:val="24"/>
                <w:szCs w:val="24"/>
              </w:rPr>
              <w:t>0,36</w:t>
            </w:r>
          </w:p>
        </w:tc>
        <w:tc>
          <w:tcPr>
            <w:tcW w:w="1276" w:type="dxa"/>
          </w:tcPr>
          <w:p w:rsidR="00DD0769" w:rsidRPr="00AC2A42" w:rsidRDefault="009925BC" w:rsidP="002E6E71">
            <w:pPr>
              <w:rPr>
                <w:rFonts w:ascii="Times New Roman" w:hAnsi="Times New Roman" w:cs="Times New Roman"/>
                <w:sz w:val="24"/>
                <w:szCs w:val="24"/>
              </w:rPr>
            </w:pPr>
            <w:r w:rsidRPr="00AC2A42">
              <w:rPr>
                <w:rFonts w:ascii="Times New Roman" w:hAnsi="Times New Roman" w:cs="Times New Roman"/>
                <w:sz w:val="24"/>
                <w:szCs w:val="24"/>
              </w:rPr>
              <w:t>9,05</w:t>
            </w:r>
          </w:p>
        </w:tc>
        <w:tc>
          <w:tcPr>
            <w:tcW w:w="2126" w:type="dxa"/>
            <w:shd w:val="clear" w:color="auto" w:fill="FFFF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1,78</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Ilgalaikio nedarbo lygis</w:t>
            </w:r>
          </w:p>
        </w:tc>
        <w:tc>
          <w:tcPr>
            <w:tcW w:w="1559" w:type="dxa"/>
          </w:tcPr>
          <w:p w:rsidR="00DD0769" w:rsidRPr="00AC2A42" w:rsidRDefault="00A56F4F" w:rsidP="002E6E71">
            <w:pPr>
              <w:rPr>
                <w:rFonts w:ascii="Times New Roman" w:hAnsi="Times New Roman" w:cs="Times New Roman"/>
                <w:sz w:val="24"/>
                <w:szCs w:val="24"/>
              </w:rPr>
            </w:pPr>
            <w:r w:rsidRPr="00AC2A42">
              <w:rPr>
                <w:rFonts w:ascii="Times New Roman" w:hAnsi="Times New Roman" w:cs="Times New Roman"/>
                <w:sz w:val="24"/>
                <w:szCs w:val="24"/>
              </w:rPr>
              <w:t>4,39</w:t>
            </w:r>
          </w:p>
        </w:tc>
        <w:tc>
          <w:tcPr>
            <w:tcW w:w="992" w:type="dxa"/>
          </w:tcPr>
          <w:p w:rsidR="00DD0769" w:rsidRPr="00AC2A42" w:rsidRDefault="00A56F4F" w:rsidP="002E6E71">
            <w:pPr>
              <w:rPr>
                <w:rFonts w:ascii="Times New Roman" w:hAnsi="Times New Roman" w:cs="Times New Roman"/>
                <w:sz w:val="24"/>
                <w:szCs w:val="24"/>
              </w:rPr>
            </w:pPr>
            <w:r w:rsidRPr="00AC2A42">
              <w:rPr>
                <w:rFonts w:ascii="Times New Roman" w:hAnsi="Times New Roman" w:cs="Times New Roman"/>
                <w:sz w:val="24"/>
                <w:szCs w:val="24"/>
              </w:rPr>
              <w:t>3,08</w:t>
            </w:r>
          </w:p>
        </w:tc>
        <w:tc>
          <w:tcPr>
            <w:tcW w:w="1134" w:type="dxa"/>
          </w:tcPr>
          <w:p w:rsidR="00DD0769" w:rsidRPr="00AC2A42" w:rsidRDefault="00A56F4F" w:rsidP="002E6E71">
            <w:pPr>
              <w:rPr>
                <w:rFonts w:ascii="Times New Roman" w:hAnsi="Times New Roman" w:cs="Times New Roman"/>
                <w:sz w:val="24"/>
                <w:szCs w:val="24"/>
              </w:rPr>
            </w:pPr>
            <w:r w:rsidRPr="00AC2A42">
              <w:rPr>
                <w:rFonts w:ascii="Times New Roman" w:hAnsi="Times New Roman" w:cs="Times New Roman"/>
                <w:sz w:val="24"/>
                <w:szCs w:val="24"/>
              </w:rPr>
              <w:t>0,7</w:t>
            </w:r>
          </w:p>
        </w:tc>
        <w:tc>
          <w:tcPr>
            <w:tcW w:w="1276" w:type="dxa"/>
          </w:tcPr>
          <w:p w:rsidR="00DD0769" w:rsidRPr="00AC2A42" w:rsidRDefault="00A56F4F" w:rsidP="002E6E71">
            <w:pPr>
              <w:rPr>
                <w:rFonts w:ascii="Times New Roman" w:hAnsi="Times New Roman" w:cs="Times New Roman"/>
                <w:sz w:val="24"/>
                <w:szCs w:val="24"/>
              </w:rPr>
            </w:pPr>
            <w:r w:rsidRPr="00AC2A42">
              <w:rPr>
                <w:rFonts w:ascii="Times New Roman" w:hAnsi="Times New Roman" w:cs="Times New Roman"/>
                <w:sz w:val="24"/>
                <w:szCs w:val="24"/>
              </w:rPr>
              <w:t>10,61</w:t>
            </w:r>
          </w:p>
        </w:tc>
        <w:tc>
          <w:tcPr>
            <w:tcW w:w="2126" w:type="dxa"/>
            <w:shd w:val="clear" w:color="auto" w:fill="FFFF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1,43</w:t>
            </w:r>
          </w:p>
        </w:tc>
      </w:tr>
      <w:tr w:rsidR="0044272E" w:rsidRPr="00AC2A42" w:rsidTr="003E62DB">
        <w:tc>
          <w:tcPr>
            <w:tcW w:w="9073" w:type="dxa"/>
          </w:tcPr>
          <w:p w:rsidR="0044272E" w:rsidRPr="00AC2A42" w:rsidRDefault="0044272E" w:rsidP="002E6E71">
            <w:pPr>
              <w:rPr>
                <w:rFonts w:ascii="Times New Roman" w:hAnsi="Times New Roman" w:cs="Times New Roman"/>
                <w:sz w:val="24"/>
                <w:szCs w:val="24"/>
              </w:rPr>
            </w:pPr>
            <w:r w:rsidRPr="00AC2A42">
              <w:rPr>
                <w:rFonts w:ascii="Times New Roman" w:hAnsi="Times New Roman" w:cs="Times New Roman"/>
                <w:sz w:val="24"/>
                <w:szCs w:val="24"/>
              </w:rPr>
              <w:t>Gyventojų skaičiaus pokytis 1 000 gyventojų</w:t>
            </w:r>
          </w:p>
        </w:tc>
        <w:tc>
          <w:tcPr>
            <w:tcW w:w="1559" w:type="dxa"/>
          </w:tcPr>
          <w:p w:rsidR="0044272E" w:rsidRPr="00AC2A42" w:rsidRDefault="0044272E" w:rsidP="002E6E71">
            <w:pPr>
              <w:rPr>
                <w:rFonts w:ascii="Times New Roman" w:hAnsi="Times New Roman" w:cs="Times New Roman"/>
                <w:sz w:val="24"/>
                <w:szCs w:val="24"/>
              </w:rPr>
            </w:pPr>
            <w:r w:rsidRPr="00AC2A42">
              <w:rPr>
                <w:rFonts w:ascii="Times New Roman" w:hAnsi="Times New Roman" w:cs="Times New Roman"/>
                <w:sz w:val="24"/>
                <w:szCs w:val="24"/>
              </w:rPr>
              <w:t>-12,83</w:t>
            </w:r>
          </w:p>
        </w:tc>
        <w:tc>
          <w:tcPr>
            <w:tcW w:w="992" w:type="dxa"/>
          </w:tcPr>
          <w:p w:rsidR="0044272E" w:rsidRPr="00AC2A42" w:rsidRDefault="0044272E" w:rsidP="002E6E71">
            <w:pPr>
              <w:rPr>
                <w:rFonts w:ascii="Times New Roman" w:hAnsi="Times New Roman" w:cs="Times New Roman"/>
                <w:sz w:val="24"/>
                <w:szCs w:val="24"/>
              </w:rPr>
            </w:pPr>
            <w:r w:rsidRPr="00AC2A42">
              <w:rPr>
                <w:rFonts w:ascii="Times New Roman" w:hAnsi="Times New Roman" w:cs="Times New Roman"/>
                <w:sz w:val="24"/>
                <w:szCs w:val="24"/>
              </w:rPr>
              <w:t>-7,57</w:t>
            </w:r>
          </w:p>
        </w:tc>
        <w:tc>
          <w:tcPr>
            <w:tcW w:w="1134" w:type="dxa"/>
          </w:tcPr>
          <w:p w:rsidR="0044272E" w:rsidRPr="00AC2A42" w:rsidRDefault="0044272E" w:rsidP="002E6E71">
            <w:pPr>
              <w:rPr>
                <w:rFonts w:ascii="Times New Roman" w:hAnsi="Times New Roman" w:cs="Times New Roman"/>
                <w:sz w:val="24"/>
                <w:szCs w:val="24"/>
              </w:rPr>
            </w:pPr>
            <w:r w:rsidRPr="00AC2A42">
              <w:rPr>
                <w:rFonts w:ascii="Times New Roman" w:hAnsi="Times New Roman" w:cs="Times New Roman"/>
                <w:sz w:val="24"/>
                <w:szCs w:val="24"/>
              </w:rPr>
              <w:t>-19,68</w:t>
            </w:r>
          </w:p>
        </w:tc>
        <w:tc>
          <w:tcPr>
            <w:tcW w:w="1276" w:type="dxa"/>
          </w:tcPr>
          <w:p w:rsidR="0044272E" w:rsidRPr="00AC2A42" w:rsidRDefault="0044272E" w:rsidP="002E6E71">
            <w:pPr>
              <w:rPr>
                <w:rFonts w:ascii="Times New Roman" w:hAnsi="Times New Roman" w:cs="Times New Roman"/>
                <w:sz w:val="24"/>
                <w:szCs w:val="24"/>
              </w:rPr>
            </w:pPr>
            <w:r w:rsidRPr="00AC2A42">
              <w:rPr>
                <w:rFonts w:ascii="Times New Roman" w:hAnsi="Times New Roman" w:cs="Times New Roman"/>
                <w:sz w:val="24"/>
                <w:szCs w:val="24"/>
              </w:rPr>
              <w:t>0,39</w:t>
            </w:r>
          </w:p>
        </w:tc>
        <w:tc>
          <w:tcPr>
            <w:tcW w:w="2126" w:type="dxa"/>
            <w:shd w:val="clear" w:color="auto" w:fill="92D050"/>
          </w:tcPr>
          <w:p w:rsidR="0044272E"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1,69</w:t>
            </w:r>
          </w:p>
        </w:tc>
      </w:tr>
      <w:tr w:rsidR="00E51A83" w:rsidRPr="00AC2A42" w:rsidTr="003E62DB">
        <w:tc>
          <w:tcPr>
            <w:tcW w:w="16160" w:type="dxa"/>
            <w:gridSpan w:val="6"/>
          </w:tcPr>
          <w:p w:rsidR="00E51A83" w:rsidRPr="00AC2A42" w:rsidRDefault="00E51A83" w:rsidP="002E6E71">
            <w:pPr>
              <w:rPr>
                <w:rFonts w:ascii="Times New Roman" w:hAnsi="Times New Roman" w:cs="Times New Roman"/>
                <w:sz w:val="24"/>
                <w:szCs w:val="24"/>
              </w:rPr>
            </w:pPr>
            <w:r w:rsidRPr="00AC2A42">
              <w:rPr>
                <w:rFonts w:ascii="Times New Roman" w:hAnsi="Times New Roman" w:cs="Times New Roman"/>
                <w:b/>
                <w:sz w:val="24"/>
                <w:szCs w:val="24"/>
              </w:rPr>
              <w:t>1.2. Sumažinti socialinę ekonominę gyventojų diferenciaciją šalies ir bendruomenių lygmeniu</w:t>
            </w:r>
          </w:p>
        </w:tc>
      </w:tr>
      <w:tr w:rsidR="00DD0769" w:rsidRPr="00AC2A42" w:rsidTr="003E62DB">
        <w:tc>
          <w:tcPr>
            <w:tcW w:w="9073" w:type="dxa"/>
          </w:tcPr>
          <w:p w:rsidR="00DD0769" w:rsidRPr="00AC2A42" w:rsidRDefault="00DD0769" w:rsidP="00F04916">
            <w:pPr>
              <w:rPr>
                <w:rFonts w:ascii="Times New Roman" w:hAnsi="Times New Roman" w:cs="Times New Roman"/>
                <w:sz w:val="24"/>
                <w:szCs w:val="24"/>
              </w:rPr>
            </w:pPr>
            <w:r w:rsidRPr="00AC2A42">
              <w:rPr>
                <w:rFonts w:ascii="Times New Roman" w:hAnsi="Times New Roman" w:cs="Times New Roman"/>
                <w:sz w:val="24"/>
                <w:szCs w:val="24"/>
              </w:rPr>
              <w:t>Mirtingumas dėl išorinių priežasčių rodiklis (V01-Y98) 100 000 gyventojų</w:t>
            </w:r>
          </w:p>
        </w:tc>
        <w:tc>
          <w:tcPr>
            <w:tcW w:w="1559" w:type="dxa"/>
          </w:tcPr>
          <w:p w:rsidR="00DD0769" w:rsidRPr="00AC2A42" w:rsidRDefault="00A92919" w:rsidP="002E6E71">
            <w:pPr>
              <w:rPr>
                <w:rFonts w:ascii="Times New Roman" w:hAnsi="Times New Roman" w:cs="Times New Roman"/>
                <w:sz w:val="24"/>
                <w:szCs w:val="24"/>
              </w:rPr>
            </w:pPr>
            <w:r w:rsidRPr="00AC2A42">
              <w:rPr>
                <w:rFonts w:ascii="Times New Roman" w:hAnsi="Times New Roman" w:cs="Times New Roman"/>
                <w:sz w:val="24"/>
                <w:szCs w:val="24"/>
              </w:rPr>
              <w:t>190,65</w:t>
            </w:r>
          </w:p>
        </w:tc>
        <w:tc>
          <w:tcPr>
            <w:tcW w:w="992" w:type="dxa"/>
          </w:tcPr>
          <w:p w:rsidR="00DD0769" w:rsidRPr="00AC2A42" w:rsidRDefault="00F04916" w:rsidP="002E6E71">
            <w:pPr>
              <w:rPr>
                <w:rFonts w:ascii="Times New Roman" w:hAnsi="Times New Roman" w:cs="Times New Roman"/>
                <w:sz w:val="24"/>
                <w:szCs w:val="24"/>
              </w:rPr>
            </w:pPr>
            <w:r w:rsidRPr="00AC2A42">
              <w:rPr>
                <w:rFonts w:ascii="Times New Roman" w:hAnsi="Times New Roman" w:cs="Times New Roman"/>
                <w:sz w:val="24"/>
                <w:szCs w:val="24"/>
              </w:rPr>
              <w:t>113,83</w:t>
            </w:r>
          </w:p>
        </w:tc>
        <w:tc>
          <w:tcPr>
            <w:tcW w:w="1134" w:type="dxa"/>
          </w:tcPr>
          <w:p w:rsidR="00DD0769" w:rsidRPr="00AC2A42" w:rsidRDefault="00F04916" w:rsidP="002E6E71">
            <w:pPr>
              <w:rPr>
                <w:rFonts w:ascii="Times New Roman" w:hAnsi="Times New Roman" w:cs="Times New Roman"/>
                <w:sz w:val="24"/>
                <w:szCs w:val="24"/>
              </w:rPr>
            </w:pPr>
            <w:r w:rsidRPr="00AC2A42">
              <w:rPr>
                <w:rFonts w:ascii="Times New Roman" w:hAnsi="Times New Roman" w:cs="Times New Roman"/>
                <w:sz w:val="24"/>
                <w:szCs w:val="24"/>
              </w:rPr>
              <w:t>78,08</w:t>
            </w:r>
          </w:p>
        </w:tc>
        <w:tc>
          <w:tcPr>
            <w:tcW w:w="1276" w:type="dxa"/>
          </w:tcPr>
          <w:p w:rsidR="00DD0769" w:rsidRPr="00AC2A42" w:rsidRDefault="00F04916" w:rsidP="002E6E71">
            <w:pPr>
              <w:rPr>
                <w:rFonts w:ascii="Times New Roman" w:hAnsi="Times New Roman" w:cs="Times New Roman"/>
                <w:sz w:val="24"/>
                <w:szCs w:val="24"/>
              </w:rPr>
            </w:pPr>
            <w:r w:rsidRPr="00AC2A42">
              <w:rPr>
                <w:rFonts w:ascii="Times New Roman" w:hAnsi="Times New Roman" w:cs="Times New Roman"/>
                <w:sz w:val="24"/>
                <w:szCs w:val="24"/>
              </w:rPr>
              <w:t>276,9</w:t>
            </w:r>
          </w:p>
        </w:tc>
        <w:tc>
          <w:tcPr>
            <w:tcW w:w="2126" w:type="dxa"/>
            <w:shd w:val="clear" w:color="auto" w:fill="FF00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1,67</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dėl išorinių priežasčių rodiklis (V01-Y98) 100 000 gyventojų</w:t>
            </w:r>
          </w:p>
        </w:tc>
        <w:tc>
          <w:tcPr>
            <w:tcW w:w="1559" w:type="dxa"/>
          </w:tcPr>
          <w:p w:rsidR="00DD0769" w:rsidRPr="00AC2A42" w:rsidRDefault="00A92919" w:rsidP="002E6E71">
            <w:pPr>
              <w:rPr>
                <w:rFonts w:ascii="Times New Roman" w:hAnsi="Times New Roman" w:cs="Times New Roman"/>
                <w:sz w:val="24"/>
                <w:szCs w:val="24"/>
              </w:rPr>
            </w:pPr>
            <w:r w:rsidRPr="00AC2A42">
              <w:rPr>
                <w:rFonts w:ascii="Times New Roman" w:hAnsi="Times New Roman" w:cs="Times New Roman"/>
                <w:sz w:val="24"/>
                <w:szCs w:val="24"/>
              </w:rPr>
              <w:t>204,59</w:t>
            </w:r>
          </w:p>
        </w:tc>
        <w:tc>
          <w:tcPr>
            <w:tcW w:w="992" w:type="dxa"/>
          </w:tcPr>
          <w:p w:rsidR="00DD0769" w:rsidRPr="00AC2A42" w:rsidRDefault="00A92919" w:rsidP="002E6E71">
            <w:pPr>
              <w:rPr>
                <w:rFonts w:ascii="Times New Roman" w:hAnsi="Times New Roman" w:cs="Times New Roman"/>
                <w:sz w:val="24"/>
                <w:szCs w:val="24"/>
              </w:rPr>
            </w:pPr>
            <w:r w:rsidRPr="00AC2A42">
              <w:rPr>
                <w:rFonts w:ascii="Times New Roman" w:hAnsi="Times New Roman" w:cs="Times New Roman"/>
                <w:sz w:val="24"/>
                <w:szCs w:val="24"/>
              </w:rPr>
              <w:t>113,41</w:t>
            </w:r>
          </w:p>
        </w:tc>
        <w:tc>
          <w:tcPr>
            <w:tcW w:w="1134" w:type="dxa"/>
          </w:tcPr>
          <w:p w:rsidR="00DD0769" w:rsidRPr="00AC2A42" w:rsidRDefault="00A92919" w:rsidP="002E6E71">
            <w:pPr>
              <w:rPr>
                <w:rFonts w:ascii="Times New Roman" w:hAnsi="Times New Roman" w:cs="Times New Roman"/>
                <w:sz w:val="24"/>
                <w:szCs w:val="24"/>
              </w:rPr>
            </w:pPr>
            <w:r w:rsidRPr="00AC2A42">
              <w:rPr>
                <w:rFonts w:ascii="Times New Roman" w:hAnsi="Times New Roman" w:cs="Times New Roman"/>
                <w:sz w:val="24"/>
                <w:szCs w:val="24"/>
              </w:rPr>
              <w:t>68,77</w:t>
            </w:r>
          </w:p>
        </w:tc>
        <w:tc>
          <w:tcPr>
            <w:tcW w:w="1276" w:type="dxa"/>
          </w:tcPr>
          <w:p w:rsidR="00DD0769" w:rsidRPr="00AC2A42" w:rsidRDefault="00A92919" w:rsidP="002E6E71">
            <w:pPr>
              <w:rPr>
                <w:rFonts w:ascii="Times New Roman" w:hAnsi="Times New Roman" w:cs="Times New Roman"/>
                <w:sz w:val="24"/>
                <w:szCs w:val="24"/>
              </w:rPr>
            </w:pPr>
            <w:r w:rsidRPr="00AC2A42">
              <w:rPr>
                <w:rFonts w:ascii="Times New Roman" w:hAnsi="Times New Roman" w:cs="Times New Roman"/>
                <w:sz w:val="24"/>
                <w:szCs w:val="24"/>
              </w:rPr>
              <w:t>260,17</w:t>
            </w:r>
          </w:p>
        </w:tc>
        <w:tc>
          <w:tcPr>
            <w:tcW w:w="2126" w:type="dxa"/>
            <w:shd w:val="clear" w:color="auto" w:fill="FF00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1,80</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Mokinių, gaunančių nemokamą maitinimą mokyklose, skaičius 1 000 gyventojų</w:t>
            </w:r>
          </w:p>
        </w:tc>
        <w:tc>
          <w:tcPr>
            <w:tcW w:w="1559"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335,69</w:t>
            </w:r>
          </w:p>
        </w:tc>
        <w:tc>
          <w:tcPr>
            <w:tcW w:w="992"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253,78</w:t>
            </w:r>
          </w:p>
        </w:tc>
        <w:tc>
          <w:tcPr>
            <w:tcW w:w="1134"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83,47</w:t>
            </w:r>
          </w:p>
        </w:tc>
        <w:tc>
          <w:tcPr>
            <w:tcW w:w="1276"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542,49</w:t>
            </w:r>
          </w:p>
        </w:tc>
        <w:tc>
          <w:tcPr>
            <w:tcW w:w="2126" w:type="dxa"/>
            <w:shd w:val="clear" w:color="auto" w:fill="FFFF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1,32</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Socialinės pašalpos gavėjų skaičius 1 000 gyventojų</w:t>
            </w:r>
          </w:p>
        </w:tc>
        <w:tc>
          <w:tcPr>
            <w:tcW w:w="1559"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53,43</w:t>
            </w:r>
          </w:p>
        </w:tc>
        <w:tc>
          <w:tcPr>
            <w:tcW w:w="992"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47,78</w:t>
            </w:r>
          </w:p>
        </w:tc>
        <w:tc>
          <w:tcPr>
            <w:tcW w:w="1134"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8,88</w:t>
            </w:r>
          </w:p>
        </w:tc>
        <w:tc>
          <w:tcPr>
            <w:tcW w:w="1276" w:type="dxa"/>
          </w:tcPr>
          <w:p w:rsidR="00DD0769" w:rsidRPr="00AC2A42" w:rsidRDefault="00B745B2" w:rsidP="002E6E71">
            <w:pPr>
              <w:rPr>
                <w:rFonts w:ascii="Times New Roman" w:hAnsi="Times New Roman" w:cs="Times New Roman"/>
                <w:sz w:val="24"/>
                <w:szCs w:val="24"/>
              </w:rPr>
            </w:pPr>
            <w:r w:rsidRPr="00AC2A42">
              <w:rPr>
                <w:rFonts w:ascii="Times New Roman" w:hAnsi="Times New Roman" w:cs="Times New Roman"/>
                <w:sz w:val="24"/>
                <w:szCs w:val="24"/>
              </w:rPr>
              <w:t>106,13</w:t>
            </w:r>
          </w:p>
        </w:tc>
        <w:tc>
          <w:tcPr>
            <w:tcW w:w="2126" w:type="dxa"/>
            <w:shd w:val="clear" w:color="auto" w:fill="FFFF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1,12</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Sergamumas tuberkulioze (A15-A19) 10 000 gyventojų</w:t>
            </w:r>
          </w:p>
        </w:tc>
        <w:tc>
          <w:tcPr>
            <w:tcW w:w="1559" w:type="dxa"/>
          </w:tcPr>
          <w:p w:rsidR="00DD0769" w:rsidRPr="00AC2A42" w:rsidRDefault="001867F9" w:rsidP="002E6E71">
            <w:pPr>
              <w:rPr>
                <w:rFonts w:ascii="Times New Roman" w:hAnsi="Times New Roman" w:cs="Times New Roman"/>
                <w:sz w:val="24"/>
                <w:szCs w:val="24"/>
              </w:rPr>
            </w:pPr>
            <w:r w:rsidRPr="00AC2A42">
              <w:rPr>
                <w:rFonts w:ascii="Times New Roman" w:hAnsi="Times New Roman" w:cs="Times New Roman"/>
                <w:sz w:val="24"/>
                <w:szCs w:val="24"/>
              </w:rPr>
              <w:t>51,53</w:t>
            </w:r>
          </w:p>
        </w:tc>
        <w:tc>
          <w:tcPr>
            <w:tcW w:w="992" w:type="dxa"/>
          </w:tcPr>
          <w:p w:rsidR="00DD0769" w:rsidRPr="00AC2A42" w:rsidRDefault="001867F9" w:rsidP="002E6E71">
            <w:pPr>
              <w:rPr>
                <w:rFonts w:ascii="Times New Roman" w:hAnsi="Times New Roman" w:cs="Times New Roman"/>
                <w:sz w:val="24"/>
                <w:szCs w:val="24"/>
              </w:rPr>
            </w:pPr>
            <w:r w:rsidRPr="00AC2A42">
              <w:rPr>
                <w:rFonts w:ascii="Times New Roman" w:hAnsi="Times New Roman" w:cs="Times New Roman"/>
                <w:sz w:val="24"/>
                <w:szCs w:val="24"/>
              </w:rPr>
              <w:t>44,37</w:t>
            </w:r>
          </w:p>
        </w:tc>
        <w:tc>
          <w:tcPr>
            <w:tcW w:w="1134" w:type="dxa"/>
          </w:tcPr>
          <w:p w:rsidR="00DD0769" w:rsidRPr="00AC2A42" w:rsidRDefault="001867F9"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DD0769" w:rsidRPr="00AC2A42" w:rsidRDefault="001867F9" w:rsidP="002E6E71">
            <w:pPr>
              <w:rPr>
                <w:rFonts w:ascii="Times New Roman" w:hAnsi="Times New Roman" w:cs="Times New Roman"/>
                <w:sz w:val="24"/>
                <w:szCs w:val="24"/>
              </w:rPr>
            </w:pPr>
            <w:r w:rsidRPr="00AC2A42">
              <w:rPr>
                <w:rFonts w:ascii="Times New Roman" w:hAnsi="Times New Roman" w:cs="Times New Roman"/>
                <w:sz w:val="24"/>
                <w:szCs w:val="24"/>
              </w:rPr>
              <w:t>104,44</w:t>
            </w:r>
          </w:p>
        </w:tc>
        <w:tc>
          <w:tcPr>
            <w:tcW w:w="2126" w:type="dxa"/>
            <w:shd w:val="clear" w:color="auto" w:fill="FFFF00"/>
          </w:tcPr>
          <w:p w:rsidR="00DD0769" w:rsidRPr="00AC2A42" w:rsidRDefault="003C33CC" w:rsidP="002E6E71">
            <w:pPr>
              <w:rPr>
                <w:rFonts w:ascii="Times New Roman" w:hAnsi="Times New Roman" w:cs="Times New Roman"/>
                <w:sz w:val="24"/>
                <w:szCs w:val="24"/>
              </w:rPr>
            </w:pPr>
            <w:r w:rsidRPr="00AC2A42">
              <w:rPr>
                <w:rFonts w:ascii="Times New Roman" w:hAnsi="Times New Roman" w:cs="Times New Roman"/>
                <w:sz w:val="24"/>
                <w:szCs w:val="24"/>
              </w:rPr>
              <w:t>1,16</w:t>
            </w:r>
          </w:p>
        </w:tc>
      </w:tr>
      <w:tr w:rsidR="00142C51" w:rsidRPr="00AC2A42" w:rsidTr="003E62DB">
        <w:tc>
          <w:tcPr>
            <w:tcW w:w="16160" w:type="dxa"/>
            <w:gridSpan w:val="6"/>
            <w:shd w:val="clear" w:color="auto" w:fill="EAF1DD" w:themeFill="accent3" w:themeFillTint="33"/>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b/>
                <w:color w:val="E36C0A" w:themeColor="accent6" w:themeShade="BF"/>
                <w:sz w:val="24"/>
                <w:szCs w:val="24"/>
                <w:u w:val="single"/>
              </w:rPr>
              <w:t>2 tikslas.</w:t>
            </w:r>
            <w:r w:rsidRPr="00AC2A42">
              <w:rPr>
                <w:rFonts w:ascii="Times New Roman" w:hAnsi="Times New Roman" w:cs="Times New Roman"/>
                <w:color w:val="E36C0A" w:themeColor="accent6" w:themeShade="BF"/>
                <w:sz w:val="24"/>
                <w:szCs w:val="24"/>
              </w:rPr>
              <w:t xml:space="preserve"> </w:t>
            </w:r>
            <w:r w:rsidRPr="00AC2A42">
              <w:rPr>
                <w:rFonts w:ascii="Times New Roman" w:hAnsi="Times New Roman" w:cs="Times New Roman"/>
                <w:sz w:val="24"/>
                <w:szCs w:val="24"/>
                <w:u w:val="single"/>
              </w:rPr>
              <w:t>Sukurti sveikatai palankią fizinę darbo ir gyvenamąją aplinką</w:t>
            </w:r>
          </w:p>
        </w:tc>
      </w:tr>
      <w:tr w:rsidR="00E51A83" w:rsidRPr="00AC2A42" w:rsidTr="003E62DB">
        <w:tc>
          <w:tcPr>
            <w:tcW w:w="16160" w:type="dxa"/>
            <w:gridSpan w:val="6"/>
            <w:shd w:val="clear" w:color="auto" w:fill="EAF1DD" w:themeFill="accent3" w:themeFillTint="33"/>
          </w:tcPr>
          <w:p w:rsidR="00E51A83" w:rsidRPr="00AC2A42" w:rsidRDefault="00804591" w:rsidP="002E6E71">
            <w:pPr>
              <w:rPr>
                <w:rFonts w:ascii="Times New Roman" w:hAnsi="Times New Roman" w:cs="Times New Roman"/>
                <w:b/>
                <w:color w:val="E36C0A" w:themeColor="accent6" w:themeShade="BF"/>
                <w:sz w:val="24"/>
                <w:szCs w:val="24"/>
                <w:u w:val="single"/>
              </w:rPr>
            </w:pPr>
            <w:r w:rsidRPr="00AC2A42">
              <w:rPr>
                <w:rFonts w:ascii="Times New Roman" w:hAnsi="Times New Roman" w:cs="Times New Roman"/>
                <w:b/>
                <w:sz w:val="24"/>
                <w:szCs w:val="24"/>
              </w:rPr>
              <w:t>2.1. Kurti saugias darbo ir sveikas buities sąlygas, didinti prekių ir paslaugų vartotojų saugumą</w:t>
            </w:r>
          </w:p>
        </w:tc>
      </w:tr>
      <w:tr w:rsidR="00142C51" w:rsidRPr="00AC2A42" w:rsidTr="003E62DB">
        <w:tc>
          <w:tcPr>
            <w:tcW w:w="9073"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Asmenų, žuvusių ar sunkiai sužalotų dėl nelaimingų atsitikimų darbe, skaičius 10 000 darbingo amžiaus gyventojų</w:t>
            </w:r>
          </w:p>
        </w:tc>
        <w:tc>
          <w:tcPr>
            <w:tcW w:w="1559"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1,69</w:t>
            </w:r>
          </w:p>
        </w:tc>
        <w:tc>
          <w:tcPr>
            <w:tcW w:w="992"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0,95</w:t>
            </w:r>
          </w:p>
        </w:tc>
        <w:tc>
          <w:tcPr>
            <w:tcW w:w="1134"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3,46</w:t>
            </w:r>
          </w:p>
        </w:tc>
        <w:tc>
          <w:tcPr>
            <w:tcW w:w="2126" w:type="dxa"/>
            <w:shd w:val="clear" w:color="auto" w:fill="FF0000"/>
          </w:tcPr>
          <w:p w:rsidR="00142C51"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1,78</w:t>
            </w:r>
          </w:p>
        </w:tc>
      </w:tr>
      <w:tr w:rsidR="00142C51" w:rsidRPr="00AC2A42" w:rsidTr="003E62DB">
        <w:tc>
          <w:tcPr>
            <w:tcW w:w="9073"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Susižalojimo dėl nukritimo atvejų skaičius (W00-W19) 65+ m. amžiaus grupėje 10 000 gyventojų</w:t>
            </w:r>
          </w:p>
        </w:tc>
        <w:tc>
          <w:tcPr>
            <w:tcW w:w="1559"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128,96</w:t>
            </w:r>
          </w:p>
        </w:tc>
        <w:tc>
          <w:tcPr>
            <w:tcW w:w="992"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131,89</w:t>
            </w:r>
          </w:p>
        </w:tc>
        <w:tc>
          <w:tcPr>
            <w:tcW w:w="1134"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22,43</w:t>
            </w:r>
          </w:p>
        </w:tc>
        <w:tc>
          <w:tcPr>
            <w:tcW w:w="1276" w:type="dxa"/>
          </w:tcPr>
          <w:p w:rsidR="00142C51"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246,71</w:t>
            </w:r>
          </w:p>
        </w:tc>
        <w:tc>
          <w:tcPr>
            <w:tcW w:w="2126" w:type="dxa"/>
            <w:shd w:val="clear" w:color="auto" w:fill="FFFF00"/>
          </w:tcPr>
          <w:p w:rsidR="00142C51"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0,98</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Darbingo amžiaus asmenų, pirmą kartą pripažintų neįgaliais, skaičius 10 000 gyventojų</w:t>
            </w:r>
          </w:p>
        </w:tc>
        <w:tc>
          <w:tcPr>
            <w:tcW w:w="1559" w:type="dxa"/>
          </w:tcPr>
          <w:p w:rsidR="00DD0769"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84,38</w:t>
            </w:r>
          </w:p>
        </w:tc>
        <w:tc>
          <w:tcPr>
            <w:tcW w:w="992" w:type="dxa"/>
          </w:tcPr>
          <w:p w:rsidR="00DD0769"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72,53</w:t>
            </w:r>
          </w:p>
        </w:tc>
        <w:tc>
          <w:tcPr>
            <w:tcW w:w="1134" w:type="dxa"/>
          </w:tcPr>
          <w:p w:rsidR="00DD0769" w:rsidRPr="00AC2A42" w:rsidRDefault="00142C51" w:rsidP="002E6E71">
            <w:pPr>
              <w:rPr>
                <w:rFonts w:ascii="Times New Roman" w:hAnsi="Times New Roman" w:cs="Times New Roman"/>
                <w:sz w:val="24"/>
                <w:szCs w:val="24"/>
              </w:rPr>
            </w:pPr>
            <w:r w:rsidRPr="00AC2A42">
              <w:rPr>
                <w:rFonts w:ascii="Times New Roman" w:hAnsi="Times New Roman" w:cs="Times New Roman"/>
                <w:sz w:val="24"/>
                <w:szCs w:val="24"/>
              </w:rPr>
              <w:t>54,9</w:t>
            </w:r>
          </w:p>
        </w:tc>
        <w:tc>
          <w:tcPr>
            <w:tcW w:w="1276" w:type="dxa"/>
          </w:tcPr>
          <w:p w:rsidR="00DD0769" w:rsidRPr="00AC2A42" w:rsidRDefault="00EA5ACA" w:rsidP="002E6E71">
            <w:pPr>
              <w:rPr>
                <w:rFonts w:ascii="Times New Roman" w:hAnsi="Times New Roman" w:cs="Times New Roman"/>
                <w:sz w:val="24"/>
                <w:szCs w:val="24"/>
              </w:rPr>
            </w:pPr>
            <w:r w:rsidRPr="00AC2A42">
              <w:rPr>
                <w:rFonts w:ascii="Times New Roman" w:hAnsi="Times New Roman" w:cs="Times New Roman"/>
                <w:sz w:val="24"/>
                <w:szCs w:val="24"/>
              </w:rPr>
              <w:t>123,77</w:t>
            </w:r>
          </w:p>
        </w:tc>
        <w:tc>
          <w:tcPr>
            <w:tcW w:w="2126" w:type="dxa"/>
            <w:shd w:val="clear" w:color="auto" w:fill="FFFF00"/>
          </w:tcPr>
          <w:p w:rsidR="00DD0769"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1,16</w:t>
            </w:r>
          </w:p>
        </w:tc>
      </w:tr>
      <w:tr w:rsidR="00687086" w:rsidRPr="00AC2A42" w:rsidTr="003E62DB">
        <w:tc>
          <w:tcPr>
            <w:tcW w:w="9073"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Sergamumas žarnyno infekcinėmis ligomis (A00-A08) 10 000 gyventojų</w:t>
            </w:r>
          </w:p>
        </w:tc>
        <w:tc>
          <w:tcPr>
            <w:tcW w:w="1559"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29,37</w:t>
            </w:r>
          </w:p>
        </w:tc>
        <w:tc>
          <w:tcPr>
            <w:tcW w:w="992"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61,97</w:t>
            </w:r>
          </w:p>
        </w:tc>
        <w:tc>
          <w:tcPr>
            <w:tcW w:w="1134"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100,17</w:t>
            </w:r>
          </w:p>
        </w:tc>
        <w:tc>
          <w:tcPr>
            <w:tcW w:w="2126" w:type="dxa"/>
            <w:shd w:val="clear" w:color="auto" w:fill="FFFF00"/>
          </w:tcPr>
          <w:p w:rsidR="00687086"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0,47</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2.2. Kurti palankias sąlygas saugiai leisti laisvalaikį</w:t>
            </w:r>
          </w:p>
        </w:tc>
      </w:tr>
      <w:tr w:rsidR="00687086" w:rsidRPr="00AC2A42" w:rsidTr="003E62DB">
        <w:tc>
          <w:tcPr>
            <w:tcW w:w="9073"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Mirtingumas dėl atsitiktinio paskendimo rodiklis (W65-W74) 100 000 gyventojų</w:t>
            </w:r>
          </w:p>
        </w:tc>
        <w:tc>
          <w:tcPr>
            <w:tcW w:w="1559"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20,61</w:t>
            </w:r>
          </w:p>
        </w:tc>
        <w:tc>
          <w:tcPr>
            <w:tcW w:w="992"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7,81</w:t>
            </w:r>
          </w:p>
        </w:tc>
        <w:tc>
          <w:tcPr>
            <w:tcW w:w="1134"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38,8</w:t>
            </w:r>
          </w:p>
        </w:tc>
        <w:tc>
          <w:tcPr>
            <w:tcW w:w="2126" w:type="dxa"/>
            <w:shd w:val="clear" w:color="auto" w:fill="FF0000"/>
          </w:tcPr>
          <w:p w:rsidR="00687086"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2,64</w:t>
            </w:r>
          </w:p>
        </w:tc>
      </w:tr>
      <w:tr w:rsidR="00687086" w:rsidRPr="00AC2A42" w:rsidTr="003E62DB">
        <w:tc>
          <w:tcPr>
            <w:tcW w:w="9073"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lastRenderedPageBreak/>
              <w:t>Standartizuotas mirtingumo dėl atsitiktinio paskendimo rodiklis (W65-W74) 100 000 gyventojų</w:t>
            </w:r>
          </w:p>
        </w:tc>
        <w:tc>
          <w:tcPr>
            <w:tcW w:w="1559" w:type="dxa"/>
          </w:tcPr>
          <w:p w:rsidR="00687086" w:rsidRPr="00AC2A42" w:rsidRDefault="00687086" w:rsidP="00F82BDF">
            <w:pPr>
              <w:rPr>
                <w:rFonts w:ascii="Times New Roman" w:hAnsi="Times New Roman" w:cs="Times New Roman"/>
                <w:sz w:val="24"/>
                <w:szCs w:val="24"/>
              </w:rPr>
            </w:pPr>
            <w:r w:rsidRPr="00AC2A42">
              <w:rPr>
                <w:rFonts w:ascii="Times New Roman" w:hAnsi="Times New Roman" w:cs="Times New Roman"/>
                <w:sz w:val="24"/>
                <w:szCs w:val="24"/>
              </w:rPr>
              <w:t>22,57</w:t>
            </w:r>
          </w:p>
        </w:tc>
        <w:tc>
          <w:tcPr>
            <w:tcW w:w="992"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7,8</w:t>
            </w:r>
          </w:p>
        </w:tc>
        <w:tc>
          <w:tcPr>
            <w:tcW w:w="1134"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47,21</w:t>
            </w:r>
          </w:p>
        </w:tc>
        <w:tc>
          <w:tcPr>
            <w:tcW w:w="2126" w:type="dxa"/>
            <w:shd w:val="clear" w:color="auto" w:fill="FF0000"/>
          </w:tcPr>
          <w:p w:rsidR="00687086"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2,89</w:t>
            </w:r>
          </w:p>
        </w:tc>
      </w:tr>
      <w:tr w:rsidR="00687086" w:rsidRPr="00AC2A42" w:rsidTr="003E62DB">
        <w:tc>
          <w:tcPr>
            <w:tcW w:w="9073"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Mirtingumas dėl nukritimo rodiklis (W00-W19) 100 000 gyventojų</w:t>
            </w:r>
          </w:p>
        </w:tc>
        <w:tc>
          <w:tcPr>
            <w:tcW w:w="1559"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10,31</w:t>
            </w:r>
          </w:p>
        </w:tc>
        <w:tc>
          <w:tcPr>
            <w:tcW w:w="992"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12</w:t>
            </w:r>
          </w:p>
        </w:tc>
        <w:tc>
          <w:tcPr>
            <w:tcW w:w="1134"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687086" w:rsidRPr="00AC2A42" w:rsidRDefault="00687086" w:rsidP="002E6E71">
            <w:pPr>
              <w:rPr>
                <w:rFonts w:ascii="Times New Roman" w:hAnsi="Times New Roman" w:cs="Times New Roman"/>
                <w:sz w:val="24"/>
                <w:szCs w:val="24"/>
              </w:rPr>
            </w:pPr>
            <w:r w:rsidRPr="00AC2A42">
              <w:rPr>
                <w:rFonts w:ascii="Times New Roman" w:hAnsi="Times New Roman" w:cs="Times New Roman"/>
                <w:sz w:val="24"/>
                <w:szCs w:val="24"/>
              </w:rPr>
              <w:t>41,35</w:t>
            </w:r>
          </w:p>
        </w:tc>
        <w:tc>
          <w:tcPr>
            <w:tcW w:w="2126" w:type="dxa"/>
            <w:shd w:val="clear" w:color="auto" w:fill="FFFF00"/>
          </w:tcPr>
          <w:p w:rsidR="00687086"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0,86</w:t>
            </w:r>
          </w:p>
        </w:tc>
      </w:tr>
      <w:tr w:rsidR="00803919" w:rsidRPr="00AC2A42" w:rsidTr="003E62DB">
        <w:tc>
          <w:tcPr>
            <w:tcW w:w="9073"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dėl nukritimo rodiklis (W00-W19) 100 000 gyventojų</w:t>
            </w:r>
          </w:p>
        </w:tc>
        <w:tc>
          <w:tcPr>
            <w:tcW w:w="1559"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13,32</w:t>
            </w:r>
          </w:p>
        </w:tc>
        <w:tc>
          <w:tcPr>
            <w:tcW w:w="992"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12,32</w:t>
            </w:r>
          </w:p>
        </w:tc>
        <w:tc>
          <w:tcPr>
            <w:tcW w:w="1134"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43,91</w:t>
            </w:r>
          </w:p>
        </w:tc>
        <w:tc>
          <w:tcPr>
            <w:tcW w:w="2126" w:type="dxa"/>
            <w:shd w:val="clear" w:color="auto" w:fill="FFFF00"/>
          </w:tcPr>
          <w:p w:rsidR="00803919" w:rsidRPr="00AC2A42" w:rsidRDefault="00274051" w:rsidP="002E6E71">
            <w:pPr>
              <w:rPr>
                <w:rFonts w:ascii="Times New Roman" w:hAnsi="Times New Roman" w:cs="Times New Roman"/>
                <w:sz w:val="24"/>
                <w:szCs w:val="24"/>
              </w:rPr>
            </w:pPr>
            <w:r w:rsidRPr="00AC2A42">
              <w:rPr>
                <w:rFonts w:ascii="Times New Roman" w:hAnsi="Times New Roman" w:cs="Times New Roman"/>
                <w:sz w:val="24"/>
                <w:szCs w:val="24"/>
              </w:rPr>
              <w:t>1,08</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2.3. Mažinti avaringumą ir traumų kelių eismo įvykiuose skaičių</w:t>
            </w:r>
          </w:p>
        </w:tc>
      </w:tr>
      <w:tr w:rsidR="00803919" w:rsidRPr="00AC2A42" w:rsidTr="003E62DB">
        <w:tc>
          <w:tcPr>
            <w:tcW w:w="9073"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Mirtingumas dėl transporto įvykių rodiklis (V00-V99) 100 000 gyventojų</w:t>
            </w:r>
          </w:p>
        </w:tc>
        <w:tc>
          <w:tcPr>
            <w:tcW w:w="1559"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15,46</w:t>
            </w:r>
          </w:p>
        </w:tc>
        <w:tc>
          <w:tcPr>
            <w:tcW w:w="992"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11,08</w:t>
            </w:r>
          </w:p>
        </w:tc>
        <w:tc>
          <w:tcPr>
            <w:tcW w:w="1134"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803919" w:rsidRPr="00AC2A42" w:rsidRDefault="00803919" w:rsidP="002E6E71">
            <w:pPr>
              <w:rPr>
                <w:rFonts w:ascii="Times New Roman" w:hAnsi="Times New Roman" w:cs="Times New Roman"/>
                <w:sz w:val="24"/>
                <w:szCs w:val="24"/>
              </w:rPr>
            </w:pPr>
            <w:r w:rsidRPr="00AC2A42">
              <w:rPr>
                <w:rFonts w:ascii="Times New Roman" w:hAnsi="Times New Roman" w:cs="Times New Roman"/>
                <w:sz w:val="24"/>
                <w:szCs w:val="24"/>
              </w:rPr>
              <w:t>47,7</w:t>
            </w:r>
          </w:p>
        </w:tc>
        <w:tc>
          <w:tcPr>
            <w:tcW w:w="2126" w:type="dxa"/>
            <w:shd w:val="clear" w:color="auto" w:fill="FFFF00"/>
          </w:tcPr>
          <w:p w:rsidR="00803919" w:rsidRPr="00AC2A42" w:rsidRDefault="00AE3C2E" w:rsidP="002E6E71">
            <w:pPr>
              <w:rPr>
                <w:rFonts w:ascii="Times New Roman" w:hAnsi="Times New Roman" w:cs="Times New Roman"/>
                <w:sz w:val="24"/>
                <w:szCs w:val="24"/>
              </w:rPr>
            </w:pPr>
            <w:r w:rsidRPr="00AC2A42">
              <w:rPr>
                <w:rFonts w:ascii="Times New Roman" w:hAnsi="Times New Roman" w:cs="Times New Roman"/>
                <w:sz w:val="24"/>
                <w:szCs w:val="24"/>
              </w:rPr>
              <w:t>1,39</w:t>
            </w:r>
          </w:p>
        </w:tc>
      </w:tr>
      <w:tr w:rsidR="00022B9E" w:rsidRPr="00AC2A42" w:rsidTr="003E62DB">
        <w:tc>
          <w:tcPr>
            <w:tcW w:w="9073"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dėl transporto įvykių rodiklis (V00-V99) 100 000 gyventojų</w:t>
            </w:r>
          </w:p>
        </w:tc>
        <w:tc>
          <w:tcPr>
            <w:tcW w:w="1559"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18,24</w:t>
            </w:r>
          </w:p>
        </w:tc>
        <w:tc>
          <w:tcPr>
            <w:tcW w:w="992"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10,96</w:t>
            </w:r>
          </w:p>
        </w:tc>
        <w:tc>
          <w:tcPr>
            <w:tcW w:w="1134"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43,31</w:t>
            </w:r>
          </w:p>
        </w:tc>
        <w:tc>
          <w:tcPr>
            <w:tcW w:w="2126" w:type="dxa"/>
            <w:shd w:val="clear" w:color="auto" w:fill="FFFF00"/>
          </w:tcPr>
          <w:p w:rsidR="00022B9E" w:rsidRPr="00AC2A42" w:rsidRDefault="00A962A4" w:rsidP="002E6E71">
            <w:pPr>
              <w:rPr>
                <w:rFonts w:ascii="Times New Roman" w:hAnsi="Times New Roman" w:cs="Times New Roman"/>
                <w:sz w:val="24"/>
                <w:szCs w:val="24"/>
              </w:rPr>
            </w:pPr>
            <w:r w:rsidRPr="00AC2A42">
              <w:rPr>
                <w:rFonts w:ascii="Times New Roman" w:hAnsi="Times New Roman" w:cs="Times New Roman"/>
                <w:sz w:val="24"/>
                <w:szCs w:val="24"/>
              </w:rPr>
              <w:t>1,66</w:t>
            </w:r>
          </w:p>
        </w:tc>
      </w:tr>
      <w:tr w:rsidR="00022B9E" w:rsidRPr="00AC2A42" w:rsidTr="003E62DB">
        <w:tc>
          <w:tcPr>
            <w:tcW w:w="9073"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Pėsčiųjų mirtingumas dėl transporto įvykių rodiklis (V00-V09) 100 000 gyventojų</w:t>
            </w:r>
          </w:p>
        </w:tc>
        <w:tc>
          <w:tcPr>
            <w:tcW w:w="1559"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992"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4,3</w:t>
            </w:r>
          </w:p>
        </w:tc>
        <w:tc>
          <w:tcPr>
            <w:tcW w:w="1134"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022B9E" w:rsidRPr="00AC2A42" w:rsidRDefault="00022B9E" w:rsidP="002E6E71">
            <w:pPr>
              <w:rPr>
                <w:rFonts w:ascii="Times New Roman" w:hAnsi="Times New Roman" w:cs="Times New Roman"/>
                <w:sz w:val="24"/>
                <w:szCs w:val="24"/>
              </w:rPr>
            </w:pPr>
            <w:r w:rsidRPr="00AC2A42">
              <w:rPr>
                <w:rFonts w:ascii="Times New Roman" w:hAnsi="Times New Roman" w:cs="Times New Roman"/>
                <w:sz w:val="24"/>
                <w:szCs w:val="24"/>
              </w:rPr>
              <w:t>21,2</w:t>
            </w:r>
          </w:p>
        </w:tc>
        <w:tc>
          <w:tcPr>
            <w:tcW w:w="2126" w:type="dxa"/>
            <w:shd w:val="clear" w:color="auto" w:fill="92D050"/>
          </w:tcPr>
          <w:p w:rsidR="00022B9E" w:rsidRPr="00AC2A42" w:rsidRDefault="00B30221" w:rsidP="002E6E71">
            <w:pPr>
              <w:rPr>
                <w:rFonts w:ascii="Times New Roman" w:hAnsi="Times New Roman" w:cs="Times New Roman"/>
                <w:sz w:val="24"/>
                <w:szCs w:val="24"/>
              </w:rPr>
            </w:pPr>
            <w:r w:rsidRPr="00AC2A42">
              <w:rPr>
                <w:rFonts w:ascii="Times New Roman" w:hAnsi="Times New Roman" w:cs="Times New Roman"/>
                <w:sz w:val="24"/>
                <w:szCs w:val="24"/>
              </w:rPr>
              <w:t>0</w:t>
            </w:r>
          </w:p>
        </w:tc>
      </w:tr>
      <w:tr w:rsidR="004A7726" w:rsidRPr="00AC2A42" w:rsidTr="003E62DB">
        <w:tc>
          <w:tcPr>
            <w:tcW w:w="9073" w:type="dxa"/>
          </w:tcPr>
          <w:p w:rsidR="004A7726" w:rsidRPr="00AC2A42" w:rsidRDefault="004A7726" w:rsidP="002E6E71">
            <w:pPr>
              <w:rPr>
                <w:rFonts w:ascii="Times New Roman" w:hAnsi="Times New Roman" w:cs="Times New Roman"/>
                <w:sz w:val="24"/>
                <w:szCs w:val="24"/>
              </w:rPr>
            </w:pPr>
            <w:r w:rsidRPr="00AC2A42">
              <w:rPr>
                <w:rFonts w:ascii="Times New Roman" w:hAnsi="Times New Roman" w:cs="Times New Roman"/>
                <w:sz w:val="24"/>
                <w:szCs w:val="24"/>
              </w:rPr>
              <w:t>Transporto įvykiuose patirtų traumų (V00-V99) skaičius 100 000 gyventojų</w:t>
            </w:r>
          </w:p>
        </w:tc>
        <w:tc>
          <w:tcPr>
            <w:tcW w:w="1559" w:type="dxa"/>
          </w:tcPr>
          <w:p w:rsidR="004A7726" w:rsidRPr="00AC2A42" w:rsidRDefault="004A7726" w:rsidP="002E6E71">
            <w:pPr>
              <w:rPr>
                <w:rFonts w:ascii="Times New Roman" w:hAnsi="Times New Roman" w:cs="Times New Roman"/>
                <w:sz w:val="24"/>
                <w:szCs w:val="24"/>
              </w:rPr>
            </w:pPr>
            <w:r w:rsidRPr="00AC2A42">
              <w:rPr>
                <w:rFonts w:ascii="Times New Roman" w:hAnsi="Times New Roman" w:cs="Times New Roman"/>
                <w:sz w:val="24"/>
                <w:szCs w:val="24"/>
              </w:rPr>
              <w:t>46,37</w:t>
            </w:r>
          </w:p>
        </w:tc>
        <w:tc>
          <w:tcPr>
            <w:tcW w:w="992" w:type="dxa"/>
          </w:tcPr>
          <w:p w:rsidR="004A7726" w:rsidRPr="00AC2A42" w:rsidRDefault="004A7726" w:rsidP="002E6E71">
            <w:pPr>
              <w:rPr>
                <w:rFonts w:ascii="Times New Roman" w:hAnsi="Times New Roman" w:cs="Times New Roman"/>
                <w:sz w:val="24"/>
                <w:szCs w:val="24"/>
              </w:rPr>
            </w:pPr>
            <w:r w:rsidRPr="00AC2A42">
              <w:rPr>
                <w:rFonts w:ascii="Times New Roman" w:hAnsi="Times New Roman" w:cs="Times New Roman"/>
                <w:sz w:val="24"/>
                <w:szCs w:val="24"/>
              </w:rPr>
              <w:t>72,43</w:t>
            </w:r>
          </w:p>
        </w:tc>
        <w:tc>
          <w:tcPr>
            <w:tcW w:w="1134" w:type="dxa"/>
          </w:tcPr>
          <w:p w:rsidR="004A7726" w:rsidRPr="00AC2A42" w:rsidRDefault="004A7726" w:rsidP="002E6E71">
            <w:pPr>
              <w:rPr>
                <w:rFonts w:ascii="Times New Roman" w:hAnsi="Times New Roman" w:cs="Times New Roman"/>
                <w:sz w:val="24"/>
                <w:szCs w:val="24"/>
              </w:rPr>
            </w:pPr>
            <w:r w:rsidRPr="00AC2A42">
              <w:rPr>
                <w:rFonts w:ascii="Times New Roman" w:hAnsi="Times New Roman" w:cs="Times New Roman"/>
                <w:sz w:val="24"/>
                <w:szCs w:val="24"/>
              </w:rPr>
              <w:t>45,54</w:t>
            </w:r>
          </w:p>
        </w:tc>
        <w:tc>
          <w:tcPr>
            <w:tcW w:w="1276" w:type="dxa"/>
          </w:tcPr>
          <w:p w:rsidR="004A7726" w:rsidRPr="00AC2A42" w:rsidRDefault="004A7726" w:rsidP="002E6E71">
            <w:pPr>
              <w:rPr>
                <w:rFonts w:ascii="Times New Roman" w:hAnsi="Times New Roman" w:cs="Times New Roman"/>
                <w:sz w:val="24"/>
                <w:szCs w:val="24"/>
              </w:rPr>
            </w:pPr>
            <w:r w:rsidRPr="00AC2A42">
              <w:rPr>
                <w:rFonts w:ascii="Times New Roman" w:hAnsi="Times New Roman" w:cs="Times New Roman"/>
                <w:sz w:val="24"/>
                <w:szCs w:val="24"/>
              </w:rPr>
              <w:t>177,59</w:t>
            </w:r>
          </w:p>
        </w:tc>
        <w:tc>
          <w:tcPr>
            <w:tcW w:w="2126" w:type="dxa"/>
            <w:shd w:val="clear" w:color="auto" w:fill="92D050"/>
          </w:tcPr>
          <w:p w:rsidR="004A7726" w:rsidRPr="00AC2A42" w:rsidRDefault="00B30221" w:rsidP="002E6E71">
            <w:pPr>
              <w:rPr>
                <w:rFonts w:ascii="Times New Roman" w:hAnsi="Times New Roman" w:cs="Times New Roman"/>
                <w:sz w:val="24"/>
                <w:szCs w:val="24"/>
              </w:rPr>
            </w:pPr>
            <w:r w:rsidRPr="00AC2A42">
              <w:rPr>
                <w:rFonts w:ascii="Times New Roman" w:hAnsi="Times New Roman" w:cs="Times New Roman"/>
                <w:sz w:val="24"/>
                <w:szCs w:val="24"/>
              </w:rPr>
              <w:t>0,64</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2.4. Mažinti oro, vandens ir dirvožemio užterštumą, triukšmą</w:t>
            </w:r>
          </w:p>
        </w:tc>
      </w:tr>
      <w:tr w:rsidR="005562EB" w:rsidRPr="00AC2A42" w:rsidTr="003E62DB">
        <w:tc>
          <w:tcPr>
            <w:tcW w:w="9073" w:type="dxa"/>
          </w:tcPr>
          <w:p w:rsidR="005562EB" w:rsidRPr="00AC2A42" w:rsidRDefault="005562EB" w:rsidP="002E6E71">
            <w:pPr>
              <w:rPr>
                <w:rFonts w:ascii="Times New Roman" w:hAnsi="Times New Roman" w:cs="Times New Roman"/>
                <w:sz w:val="24"/>
                <w:szCs w:val="24"/>
              </w:rPr>
            </w:pPr>
            <w:r w:rsidRPr="00AC2A42">
              <w:rPr>
                <w:rFonts w:ascii="Times New Roman" w:hAnsi="Times New Roman" w:cs="Times New Roman"/>
                <w:sz w:val="24"/>
                <w:szCs w:val="24"/>
              </w:rPr>
              <w:t>Į atmosferą iš stacionarių taršos šaltinių išmestų teršalų kiekis, tenkantis 1 kv.km.</w:t>
            </w:r>
          </w:p>
        </w:tc>
        <w:tc>
          <w:tcPr>
            <w:tcW w:w="1559" w:type="dxa"/>
          </w:tcPr>
          <w:p w:rsidR="005562EB" w:rsidRPr="00AC2A42" w:rsidRDefault="00F82BDF" w:rsidP="002E6E71">
            <w:pPr>
              <w:rPr>
                <w:rFonts w:ascii="Times New Roman" w:hAnsi="Times New Roman" w:cs="Times New Roman"/>
                <w:sz w:val="24"/>
                <w:szCs w:val="24"/>
              </w:rPr>
            </w:pPr>
            <w:r>
              <w:rPr>
                <w:rFonts w:ascii="Times New Roman" w:hAnsi="Times New Roman" w:cs="Times New Roman"/>
                <w:sz w:val="24"/>
                <w:szCs w:val="24"/>
              </w:rPr>
              <w:t>nėra</w:t>
            </w:r>
          </w:p>
        </w:tc>
        <w:tc>
          <w:tcPr>
            <w:tcW w:w="992" w:type="dxa"/>
          </w:tcPr>
          <w:p w:rsidR="005562EB" w:rsidRPr="00AC2A42" w:rsidRDefault="00F82BDF" w:rsidP="002E6E71">
            <w:pPr>
              <w:rPr>
                <w:rFonts w:ascii="Times New Roman" w:hAnsi="Times New Roman" w:cs="Times New Roman"/>
                <w:sz w:val="24"/>
                <w:szCs w:val="24"/>
              </w:rPr>
            </w:pPr>
            <w:r>
              <w:rPr>
                <w:rFonts w:ascii="Times New Roman" w:hAnsi="Times New Roman" w:cs="Times New Roman"/>
                <w:sz w:val="24"/>
                <w:szCs w:val="24"/>
              </w:rPr>
              <w:t>nėra</w:t>
            </w:r>
          </w:p>
        </w:tc>
        <w:tc>
          <w:tcPr>
            <w:tcW w:w="1134" w:type="dxa"/>
          </w:tcPr>
          <w:p w:rsidR="005562EB" w:rsidRPr="00AC2A42" w:rsidRDefault="00F82BDF" w:rsidP="002E6E71">
            <w:pPr>
              <w:rPr>
                <w:rFonts w:ascii="Times New Roman" w:hAnsi="Times New Roman" w:cs="Times New Roman"/>
                <w:sz w:val="24"/>
                <w:szCs w:val="24"/>
              </w:rPr>
            </w:pPr>
            <w:r>
              <w:rPr>
                <w:rFonts w:ascii="Times New Roman" w:hAnsi="Times New Roman" w:cs="Times New Roman"/>
                <w:sz w:val="24"/>
                <w:szCs w:val="24"/>
              </w:rPr>
              <w:t>nėra</w:t>
            </w:r>
          </w:p>
        </w:tc>
        <w:tc>
          <w:tcPr>
            <w:tcW w:w="1276" w:type="dxa"/>
          </w:tcPr>
          <w:p w:rsidR="005562EB" w:rsidRPr="00AC2A42" w:rsidRDefault="00F82BDF" w:rsidP="002E6E71">
            <w:pPr>
              <w:rPr>
                <w:rFonts w:ascii="Times New Roman" w:hAnsi="Times New Roman" w:cs="Times New Roman"/>
                <w:sz w:val="24"/>
                <w:szCs w:val="24"/>
              </w:rPr>
            </w:pPr>
            <w:r>
              <w:rPr>
                <w:rFonts w:ascii="Times New Roman" w:hAnsi="Times New Roman" w:cs="Times New Roman"/>
                <w:sz w:val="24"/>
                <w:szCs w:val="24"/>
              </w:rPr>
              <w:t>nėra</w:t>
            </w:r>
          </w:p>
        </w:tc>
        <w:tc>
          <w:tcPr>
            <w:tcW w:w="2126" w:type="dxa"/>
          </w:tcPr>
          <w:p w:rsidR="005562EB" w:rsidRPr="00AC2A42" w:rsidRDefault="00F82BDF" w:rsidP="002E6E71">
            <w:pPr>
              <w:rPr>
                <w:rFonts w:ascii="Times New Roman" w:hAnsi="Times New Roman" w:cs="Times New Roman"/>
                <w:sz w:val="24"/>
                <w:szCs w:val="24"/>
              </w:rPr>
            </w:pPr>
            <w:r>
              <w:rPr>
                <w:rFonts w:ascii="Times New Roman" w:hAnsi="Times New Roman" w:cs="Times New Roman"/>
                <w:sz w:val="24"/>
                <w:szCs w:val="24"/>
              </w:rPr>
              <w:t>nėra</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Viešai tiekiamo geriamojo vandens prieinamumas vartotojams, proc.</w:t>
            </w:r>
          </w:p>
        </w:tc>
        <w:tc>
          <w:tcPr>
            <w:tcW w:w="1559" w:type="dxa"/>
          </w:tcPr>
          <w:p w:rsidR="00DD0769" w:rsidRPr="00AC2A42" w:rsidRDefault="009845E0" w:rsidP="002E6E71">
            <w:pPr>
              <w:rPr>
                <w:rFonts w:ascii="Times New Roman" w:hAnsi="Times New Roman" w:cs="Times New Roman"/>
                <w:sz w:val="24"/>
                <w:szCs w:val="24"/>
              </w:rPr>
            </w:pPr>
            <w:r w:rsidRPr="00AC2A42">
              <w:rPr>
                <w:rFonts w:ascii="Times New Roman" w:hAnsi="Times New Roman" w:cs="Times New Roman"/>
                <w:sz w:val="24"/>
                <w:szCs w:val="24"/>
              </w:rPr>
              <w:t>81</w:t>
            </w:r>
          </w:p>
        </w:tc>
        <w:tc>
          <w:tcPr>
            <w:tcW w:w="992"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134"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27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212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Nuotekų tvarkymo paslaugų prieinamumas vartotojams, proc.</w:t>
            </w:r>
          </w:p>
        </w:tc>
        <w:tc>
          <w:tcPr>
            <w:tcW w:w="1559" w:type="dxa"/>
          </w:tcPr>
          <w:p w:rsidR="00DD0769" w:rsidRPr="00AC2A42" w:rsidRDefault="009845E0" w:rsidP="002E6E71">
            <w:pPr>
              <w:rPr>
                <w:rFonts w:ascii="Times New Roman" w:hAnsi="Times New Roman" w:cs="Times New Roman"/>
                <w:sz w:val="24"/>
                <w:szCs w:val="24"/>
              </w:rPr>
            </w:pPr>
            <w:r w:rsidRPr="00AC2A42">
              <w:rPr>
                <w:rFonts w:ascii="Times New Roman" w:hAnsi="Times New Roman" w:cs="Times New Roman"/>
                <w:sz w:val="24"/>
                <w:szCs w:val="24"/>
              </w:rPr>
              <w:t>74</w:t>
            </w:r>
          </w:p>
        </w:tc>
        <w:tc>
          <w:tcPr>
            <w:tcW w:w="992"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134"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27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212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r>
      <w:tr w:rsidR="009845E0" w:rsidRPr="00AC2A42" w:rsidTr="003E62DB">
        <w:tc>
          <w:tcPr>
            <w:tcW w:w="16160" w:type="dxa"/>
            <w:gridSpan w:val="6"/>
            <w:shd w:val="clear" w:color="auto" w:fill="EAF1DD" w:themeFill="accent3" w:themeFillTint="33"/>
          </w:tcPr>
          <w:p w:rsidR="009845E0" w:rsidRPr="00AC2A42" w:rsidRDefault="009845E0" w:rsidP="002E6E71">
            <w:pPr>
              <w:rPr>
                <w:rFonts w:ascii="Times New Roman" w:hAnsi="Times New Roman" w:cs="Times New Roman"/>
                <w:sz w:val="24"/>
                <w:szCs w:val="24"/>
              </w:rPr>
            </w:pPr>
            <w:r w:rsidRPr="00AC2A42">
              <w:rPr>
                <w:rFonts w:ascii="Times New Roman" w:hAnsi="Times New Roman" w:cs="Times New Roman"/>
                <w:b/>
                <w:color w:val="E36C0A" w:themeColor="accent6" w:themeShade="BF"/>
                <w:sz w:val="24"/>
                <w:szCs w:val="24"/>
                <w:u w:val="single"/>
              </w:rPr>
              <w:t>3 tikslas.</w:t>
            </w:r>
            <w:r w:rsidRPr="00AC2A42">
              <w:rPr>
                <w:rFonts w:ascii="Times New Roman" w:hAnsi="Times New Roman" w:cs="Times New Roman"/>
                <w:sz w:val="24"/>
                <w:szCs w:val="24"/>
                <w:u w:val="single"/>
              </w:rPr>
              <w:t xml:space="preserve"> Formuoti sveiką gyvenseną ir jos kultūrą</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b/>
                <w:color w:val="E36C0A" w:themeColor="accent6" w:themeShade="BF"/>
                <w:sz w:val="24"/>
                <w:szCs w:val="24"/>
                <w:u w:val="single"/>
              </w:rPr>
            </w:pPr>
            <w:r w:rsidRPr="00AC2A42">
              <w:rPr>
                <w:rFonts w:ascii="Times New Roman" w:hAnsi="Times New Roman" w:cs="Times New Roman"/>
                <w:b/>
                <w:sz w:val="24"/>
                <w:szCs w:val="24"/>
              </w:rPr>
              <w:t>3.1. Sumažinti alkoholinių gėrimų, tabako vartojimą, neteisėtą narkotinių ir psichotropinių medžiagų vartojimą ir prieinamumą</w:t>
            </w:r>
          </w:p>
        </w:tc>
      </w:tr>
      <w:tr w:rsidR="00CA20BA" w:rsidRPr="00AC2A42" w:rsidTr="003E62DB">
        <w:tc>
          <w:tcPr>
            <w:tcW w:w="9073"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Mirtingumas dėl priežasčių, susijusių su narkotikų vartojimu, rodiklis 100 000 gyventojų</w:t>
            </w:r>
          </w:p>
        </w:tc>
        <w:tc>
          <w:tcPr>
            <w:tcW w:w="1559"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10,31</w:t>
            </w:r>
          </w:p>
        </w:tc>
        <w:tc>
          <w:tcPr>
            <w:tcW w:w="992"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3,65</w:t>
            </w:r>
          </w:p>
        </w:tc>
        <w:tc>
          <w:tcPr>
            <w:tcW w:w="1134"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16,53</w:t>
            </w:r>
          </w:p>
        </w:tc>
        <w:tc>
          <w:tcPr>
            <w:tcW w:w="2126" w:type="dxa"/>
            <w:shd w:val="clear" w:color="auto" w:fill="FF0000"/>
          </w:tcPr>
          <w:p w:rsidR="00CA20BA" w:rsidRPr="00AC2A42" w:rsidRDefault="005E3B6F" w:rsidP="002E6E71">
            <w:pPr>
              <w:rPr>
                <w:rFonts w:ascii="Times New Roman" w:hAnsi="Times New Roman" w:cs="Times New Roman"/>
                <w:sz w:val="24"/>
                <w:szCs w:val="24"/>
              </w:rPr>
            </w:pPr>
            <w:r w:rsidRPr="00AC2A42">
              <w:rPr>
                <w:rFonts w:ascii="Times New Roman" w:hAnsi="Times New Roman" w:cs="Times New Roman"/>
                <w:sz w:val="24"/>
                <w:szCs w:val="24"/>
              </w:rPr>
              <w:t>2,82</w:t>
            </w:r>
          </w:p>
        </w:tc>
      </w:tr>
      <w:tr w:rsidR="00CA20BA" w:rsidRPr="00AC2A42" w:rsidTr="003E62DB">
        <w:tc>
          <w:tcPr>
            <w:tcW w:w="9073"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dėl priežasčių, susijusių su narkotikų vartojimu, rodiklis 100 000 gyventojų</w:t>
            </w:r>
          </w:p>
        </w:tc>
        <w:tc>
          <w:tcPr>
            <w:tcW w:w="1559"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14,38</w:t>
            </w:r>
          </w:p>
        </w:tc>
        <w:tc>
          <w:tcPr>
            <w:tcW w:w="992"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3,67</w:t>
            </w:r>
          </w:p>
        </w:tc>
        <w:tc>
          <w:tcPr>
            <w:tcW w:w="1134"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CA20BA" w:rsidRPr="00AC2A42" w:rsidRDefault="00CA20BA" w:rsidP="002E6E71">
            <w:pPr>
              <w:rPr>
                <w:rFonts w:ascii="Times New Roman" w:hAnsi="Times New Roman" w:cs="Times New Roman"/>
                <w:sz w:val="24"/>
                <w:szCs w:val="24"/>
              </w:rPr>
            </w:pPr>
            <w:r w:rsidRPr="00AC2A42">
              <w:rPr>
                <w:rFonts w:ascii="Times New Roman" w:hAnsi="Times New Roman" w:cs="Times New Roman"/>
                <w:sz w:val="24"/>
                <w:szCs w:val="24"/>
              </w:rPr>
              <w:t>15,63</w:t>
            </w:r>
          </w:p>
        </w:tc>
        <w:tc>
          <w:tcPr>
            <w:tcW w:w="2126" w:type="dxa"/>
            <w:shd w:val="clear" w:color="auto" w:fill="FF0000"/>
          </w:tcPr>
          <w:p w:rsidR="00CA20BA" w:rsidRPr="00AC2A42" w:rsidRDefault="005E3B6F" w:rsidP="002E6E71">
            <w:pPr>
              <w:rPr>
                <w:rFonts w:ascii="Times New Roman" w:hAnsi="Times New Roman" w:cs="Times New Roman"/>
                <w:sz w:val="24"/>
                <w:szCs w:val="24"/>
              </w:rPr>
            </w:pPr>
            <w:r w:rsidRPr="00AC2A42">
              <w:rPr>
                <w:rFonts w:ascii="Times New Roman" w:hAnsi="Times New Roman" w:cs="Times New Roman"/>
                <w:sz w:val="24"/>
                <w:szCs w:val="24"/>
              </w:rPr>
              <w:t>3,92</w:t>
            </w:r>
          </w:p>
        </w:tc>
      </w:tr>
      <w:tr w:rsidR="003F7BED" w:rsidRPr="00AC2A42" w:rsidTr="003E62DB">
        <w:tc>
          <w:tcPr>
            <w:tcW w:w="9073" w:type="dxa"/>
          </w:tcPr>
          <w:p w:rsidR="003F7BED" w:rsidRPr="00AC2A42" w:rsidRDefault="003F7BED" w:rsidP="002E6E71">
            <w:pPr>
              <w:rPr>
                <w:rFonts w:ascii="Times New Roman" w:hAnsi="Times New Roman" w:cs="Times New Roman"/>
                <w:sz w:val="24"/>
                <w:szCs w:val="24"/>
              </w:rPr>
            </w:pPr>
            <w:r w:rsidRPr="00AC2A42">
              <w:rPr>
                <w:rFonts w:ascii="Times New Roman" w:hAnsi="Times New Roman" w:cs="Times New Roman"/>
                <w:sz w:val="24"/>
                <w:szCs w:val="24"/>
              </w:rPr>
              <w:t>Mirtingumas dėl priežasčių, susijusių su alkoholio vartojimu, rodiklis 100 000 gyventojų</w:t>
            </w:r>
          </w:p>
        </w:tc>
        <w:tc>
          <w:tcPr>
            <w:tcW w:w="1559" w:type="dxa"/>
          </w:tcPr>
          <w:p w:rsidR="003F7BED" w:rsidRPr="00AC2A42" w:rsidRDefault="003F7BED" w:rsidP="002E6E71">
            <w:pPr>
              <w:rPr>
                <w:rFonts w:ascii="Times New Roman" w:hAnsi="Times New Roman" w:cs="Times New Roman"/>
                <w:sz w:val="24"/>
                <w:szCs w:val="24"/>
              </w:rPr>
            </w:pPr>
            <w:r w:rsidRPr="00AC2A42">
              <w:rPr>
                <w:rFonts w:ascii="Times New Roman" w:hAnsi="Times New Roman" w:cs="Times New Roman"/>
                <w:sz w:val="24"/>
                <w:szCs w:val="24"/>
              </w:rPr>
              <w:t>46,37</w:t>
            </w:r>
          </w:p>
        </w:tc>
        <w:tc>
          <w:tcPr>
            <w:tcW w:w="992" w:type="dxa"/>
          </w:tcPr>
          <w:p w:rsidR="003F7BED" w:rsidRPr="00AC2A42" w:rsidRDefault="003F7BED" w:rsidP="002E6E71">
            <w:pPr>
              <w:rPr>
                <w:rFonts w:ascii="Times New Roman" w:hAnsi="Times New Roman" w:cs="Times New Roman"/>
                <w:sz w:val="24"/>
                <w:szCs w:val="24"/>
              </w:rPr>
            </w:pPr>
            <w:r w:rsidRPr="00AC2A42">
              <w:rPr>
                <w:rFonts w:ascii="Times New Roman" w:hAnsi="Times New Roman" w:cs="Times New Roman"/>
                <w:sz w:val="24"/>
                <w:szCs w:val="24"/>
              </w:rPr>
              <w:t>25,85</w:t>
            </w:r>
          </w:p>
        </w:tc>
        <w:tc>
          <w:tcPr>
            <w:tcW w:w="1134" w:type="dxa"/>
          </w:tcPr>
          <w:p w:rsidR="003F7BED" w:rsidRPr="00AC2A42" w:rsidRDefault="003F7BED" w:rsidP="002E6E71">
            <w:pPr>
              <w:rPr>
                <w:rFonts w:ascii="Times New Roman" w:hAnsi="Times New Roman" w:cs="Times New Roman"/>
                <w:sz w:val="24"/>
                <w:szCs w:val="24"/>
              </w:rPr>
            </w:pPr>
            <w:r w:rsidRPr="00AC2A42">
              <w:rPr>
                <w:rFonts w:ascii="Times New Roman" w:hAnsi="Times New Roman" w:cs="Times New Roman"/>
                <w:sz w:val="24"/>
                <w:szCs w:val="24"/>
              </w:rPr>
              <w:t>7,99</w:t>
            </w:r>
          </w:p>
        </w:tc>
        <w:tc>
          <w:tcPr>
            <w:tcW w:w="1276" w:type="dxa"/>
          </w:tcPr>
          <w:p w:rsidR="003F7BED" w:rsidRPr="00AC2A42" w:rsidRDefault="003F7BED" w:rsidP="002E6E71">
            <w:pPr>
              <w:rPr>
                <w:rFonts w:ascii="Times New Roman" w:hAnsi="Times New Roman" w:cs="Times New Roman"/>
                <w:sz w:val="24"/>
                <w:szCs w:val="24"/>
              </w:rPr>
            </w:pPr>
            <w:r w:rsidRPr="00AC2A42">
              <w:rPr>
                <w:rFonts w:ascii="Times New Roman" w:hAnsi="Times New Roman" w:cs="Times New Roman"/>
                <w:sz w:val="24"/>
                <w:szCs w:val="24"/>
              </w:rPr>
              <w:t>85,02</w:t>
            </w:r>
          </w:p>
        </w:tc>
        <w:tc>
          <w:tcPr>
            <w:tcW w:w="2126" w:type="dxa"/>
            <w:shd w:val="clear" w:color="auto" w:fill="FF0000"/>
          </w:tcPr>
          <w:p w:rsidR="003F7BED" w:rsidRPr="00AC2A42" w:rsidRDefault="00F36D90" w:rsidP="002E6E71">
            <w:pPr>
              <w:rPr>
                <w:rFonts w:ascii="Times New Roman" w:hAnsi="Times New Roman" w:cs="Times New Roman"/>
                <w:sz w:val="24"/>
                <w:szCs w:val="24"/>
              </w:rPr>
            </w:pPr>
            <w:r w:rsidRPr="00AC2A42">
              <w:rPr>
                <w:rFonts w:ascii="Times New Roman" w:hAnsi="Times New Roman" w:cs="Times New Roman"/>
                <w:sz w:val="24"/>
                <w:szCs w:val="24"/>
              </w:rPr>
              <w:t>1,79</w:t>
            </w:r>
          </w:p>
        </w:tc>
      </w:tr>
      <w:tr w:rsidR="006A2214" w:rsidRPr="00AC2A42" w:rsidTr="003E62DB">
        <w:tc>
          <w:tcPr>
            <w:tcW w:w="9073" w:type="dxa"/>
          </w:tcPr>
          <w:p w:rsidR="006A2214" w:rsidRPr="00AC2A42" w:rsidRDefault="006A2214"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dėl priežasčių, susijusių su alkoholio vartojimu, rodiklis 100 000 gyventojų</w:t>
            </w:r>
          </w:p>
        </w:tc>
        <w:tc>
          <w:tcPr>
            <w:tcW w:w="1559" w:type="dxa"/>
          </w:tcPr>
          <w:p w:rsidR="006A2214" w:rsidRPr="00AC2A42" w:rsidRDefault="006A2214" w:rsidP="002E6E71">
            <w:pPr>
              <w:rPr>
                <w:rFonts w:ascii="Times New Roman" w:hAnsi="Times New Roman" w:cs="Times New Roman"/>
                <w:sz w:val="24"/>
                <w:szCs w:val="24"/>
              </w:rPr>
            </w:pPr>
            <w:r w:rsidRPr="00AC2A42">
              <w:rPr>
                <w:rFonts w:ascii="Times New Roman" w:hAnsi="Times New Roman" w:cs="Times New Roman"/>
                <w:sz w:val="24"/>
                <w:szCs w:val="24"/>
              </w:rPr>
              <w:t>44,8</w:t>
            </w:r>
          </w:p>
        </w:tc>
        <w:tc>
          <w:tcPr>
            <w:tcW w:w="992" w:type="dxa"/>
          </w:tcPr>
          <w:p w:rsidR="006A2214" w:rsidRPr="00AC2A42" w:rsidRDefault="006A2214" w:rsidP="002E6E71">
            <w:pPr>
              <w:rPr>
                <w:rFonts w:ascii="Times New Roman" w:hAnsi="Times New Roman" w:cs="Times New Roman"/>
                <w:sz w:val="24"/>
                <w:szCs w:val="24"/>
              </w:rPr>
            </w:pPr>
            <w:r w:rsidRPr="00AC2A42">
              <w:rPr>
                <w:rFonts w:ascii="Times New Roman" w:hAnsi="Times New Roman" w:cs="Times New Roman"/>
                <w:sz w:val="24"/>
                <w:szCs w:val="24"/>
              </w:rPr>
              <w:t>25,71</w:t>
            </w:r>
          </w:p>
        </w:tc>
        <w:tc>
          <w:tcPr>
            <w:tcW w:w="1134" w:type="dxa"/>
          </w:tcPr>
          <w:p w:rsidR="006A2214" w:rsidRPr="00AC2A42" w:rsidRDefault="006A2214" w:rsidP="002E6E71">
            <w:pPr>
              <w:rPr>
                <w:rFonts w:ascii="Times New Roman" w:hAnsi="Times New Roman" w:cs="Times New Roman"/>
                <w:sz w:val="24"/>
                <w:szCs w:val="24"/>
              </w:rPr>
            </w:pPr>
            <w:r w:rsidRPr="00AC2A42">
              <w:rPr>
                <w:rFonts w:ascii="Times New Roman" w:hAnsi="Times New Roman" w:cs="Times New Roman"/>
                <w:sz w:val="24"/>
                <w:szCs w:val="24"/>
              </w:rPr>
              <w:t>7,62</w:t>
            </w:r>
          </w:p>
        </w:tc>
        <w:tc>
          <w:tcPr>
            <w:tcW w:w="1276" w:type="dxa"/>
          </w:tcPr>
          <w:p w:rsidR="006A2214" w:rsidRPr="00AC2A42" w:rsidRDefault="006A2214" w:rsidP="002E6E71">
            <w:pPr>
              <w:rPr>
                <w:rFonts w:ascii="Times New Roman" w:hAnsi="Times New Roman" w:cs="Times New Roman"/>
                <w:sz w:val="24"/>
                <w:szCs w:val="24"/>
              </w:rPr>
            </w:pPr>
            <w:r w:rsidRPr="00AC2A42">
              <w:rPr>
                <w:rFonts w:ascii="Times New Roman" w:hAnsi="Times New Roman" w:cs="Times New Roman"/>
                <w:sz w:val="24"/>
                <w:szCs w:val="24"/>
              </w:rPr>
              <w:t>83,66</w:t>
            </w:r>
          </w:p>
        </w:tc>
        <w:tc>
          <w:tcPr>
            <w:tcW w:w="2126" w:type="dxa"/>
            <w:shd w:val="clear" w:color="auto" w:fill="FF0000"/>
          </w:tcPr>
          <w:p w:rsidR="006A2214" w:rsidRPr="00AC2A42" w:rsidRDefault="00F36D90" w:rsidP="002E6E71">
            <w:pPr>
              <w:rPr>
                <w:rFonts w:ascii="Times New Roman" w:hAnsi="Times New Roman" w:cs="Times New Roman"/>
                <w:sz w:val="24"/>
                <w:szCs w:val="24"/>
              </w:rPr>
            </w:pPr>
            <w:r w:rsidRPr="00AC2A42">
              <w:rPr>
                <w:rFonts w:ascii="Times New Roman" w:hAnsi="Times New Roman" w:cs="Times New Roman"/>
                <w:sz w:val="24"/>
                <w:szCs w:val="24"/>
              </w:rPr>
              <w:t>1,74</w:t>
            </w:r>
          </w:p>
        </w:tc>
      </w:tr>
      <w:tr w:rsidR="001F72D2" w:rsidRPr="00AC2A42" w:rsidTr="003E62DB">
        <w:tc>
          <w:tcPr>
            <w:tcW w:w="9073" w:type="dxa"/>
          </w:tcPr>
          <w:p w:rsidR="001F72D2" w:rsidRPr="00AC2A42" w:rsidRDefault="001F72D2" w:rsidP="002E6E71">
            <w:pPr>
              <w:rPr>
                <w:rFonts w:ascii="Times New Roman" w:hAnsi="Times New Roman" w:cs="Times New Roman"/>
                <w:sz w:val="24"/>
                <w:szCs w:val="24"/>
              </w:rPr>
            </w:pPr>
            <w:r w:rsidRPr="00AC2A42">
              <w:rPr>
                <w:rFonts w:ascii="Times New Roman" w:hAnsi="Times New Roman" w:cs="Times New Roman"/>
                <w:sz w:val="24"/>
                <w:szCs w:val="24"/>
              </w:rPr>
              <w:t>Nusikalstomos veiklos, susijusios su disponavimu narkotinėmis medžiagomis i</w:t>
            </w:r>
            <w:r w:rsidR="005015AC" w:rsidRPr="00AC2A42">
              <w:rPr>
                <w:rFonts w:ascii="Times New Roman" w:hAnsi="Times New Roman" w:cs="Times New Roman"/>
                <w:sz w:val="24"/>
                <w:szCs w:val="24"/>
              </w:rPr>
              <w:t>r jų kontrabanda (nusikaltimai)</w:t>
            </w:r>
            <w:r w:rsidR="00F82BDF">
              <w:rPr>
                <w:rFonts w:ascii="Times New Roman" w:hAnsi="Times New Roman" w:cs="Times New Roman"/>
                <w:sz w:val="24"/>
                <w:szCs w:val="24"/>
              </w:rPr>
              <w:t xml:space="preserve"> 100 000 gyventojų</w:t>
            </w:r>
          </w:p>
        </w:tc>
        <w:tc>
          <w:tcPr>
            <w:tcW w:w="1559" w:type="dxa"/>
          </w:tcPr>
          <w:p w:rsidR="001F72D2" w:rsidRPr="00AC2A42" w:rsidRDefault="001F72D2" w:rsidP="002E6E71">
            <w:pPr>
              <w:rPr>
                <w:rFonts w:ascii="Times New Roman" w:hAnsi="Times New Roman" w:cs="Times New Roman"/>
                <w:sz w:val="24"/>
                <w:szCs w:val="24"/>
              </w:rPr>
            </w:pPr>
            <w:r w:rsidRPr="00AC2A42">
              <w:rPr>
                <w:rFonts w:ascii="Times New Roman" w:hAnsi="Times New Roman" w:cs="Times New Roman"/>
                <w:sz w:val="24"/>
                <w:szCs w:val="24"/>
              </w:rPr>
              <w:t>10,31</w:t>
            </w:r>
          </w:p>
        </w:tc>
        <w:tc>
          <w:tcPr>
            <w:tcW w:w="992" w:type="dxa"/>
          </w:tcPr>
          <w:p w:rsidR="001F72D2" w:rsidRPr="00AC2A42" w:rsidRDefault="001F72D2" w:rsidP="002E6E71">
            <w:pPr>
              <w:rPr>
                <w:rFonts w:ascii="Times New Roman" w:hAnsi="Times New Roman" w:cs="Times New Roman"/>
                <w:sz w:val="24"/>
                <w:szCs w:val="24"/>
              </w:rPr>
            </w:pPr>
            <w:r w:rsidRPr="00AC2A42">
              <w:rPr>
                <w:rFonts w:ascii="Times New Roman" w:hAnsi="Times New Roman" w:cs="Times New Roman"/>
                <w:sz w:val="24"/>
                <w:szCs w:val="24"/>
              </w:rPr>
              <w:t>65,24</w:t>
            </w:r>
          </w:p>
        </w:tc>
        <w:tc>
          <w:tcPr>
            <w:tcW w:w="1134" w:type="dxa"/>
          </w:tcPr>
          <w:p w:rsidR="001F72D2" w:rsidRPr="00AC2A42" w:rsidRDefault="001F72D2"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1F72D2" w:rsidRPr="00AC2A42" w:rsidRDefault="001F72D2" w:rsidP="002E6E71">
            <w:pPr>
              <w:rPr>
                <w:rFonts w:ascii="Times New Roman" w:hAnsi="Times New Roman" w:cs="Times New Roman"/>
                <w:sz w:val="24"/>
                <w:szCs w:val="24"/>
              </w:rPr>
            </w:pPr>
            <w:r w:rsidRPr="00AC2A42">
              <w:rPr>
                <w:rFonts w:ascii="Times New Roman" w:hAnsi="Times New Roman" w:cs="Times New Roman"/>
                <w:sz w:val="24"/>
                <w:szCs w:val="24"/>
              </w:rPr>
              <w:t>234,86</w:t>
            </w:r>
          </w:p>
        </w:tc>
        <w:tc>
          <w:tcPr>
            <w:tcW w:w="2126" w:type="dxa"/>
            <w:shd w:val="clear" w:color="auto" w:fill="92D050"/>
          </w:tcPr>
          <w:p w:rsidR="001F72D2" w:rsidRPr="00AC2A42" w:rsidRDefault="00C70AD0" w:rsidP="002E6E71">
            <w:pPr>
              <w:rPr>
                <w:rFonts w:ascii="Times New Roman" w:hAnsi="Times New Roman" w:cs="Times New Roman"/>
                <w:sz w:val="24"/>
                <w:szCs w:val="24"/>
              </w:rPr>
            </w:pPr>
            <w:r w:rsidRPr="00AC2A42">
              <w:rPr>
                <w:rFonts w:ascii="Times New Roman" w:hAnsi="Times New Roman" w:cs="Times New Roman"/>
                <w:sz w:val="24"/>
                <w:szCs w:val="24"/>
              </w:rPr>
              <w:t>0,16</w:t>
            </w:r>
          </w:p>
        </w:tc>
      </w:tr>
      <w:tr w:rsidR="003175ED" w:rsidRPr="00AC2A42" w:rsidTr="003E62DB">
        <w:tc>
          <w:tcPr>
            <w:tcW w:w="9073" w:type="dxa"/>
          </w:tcPr>
          <w:p w:rsidR="003175ED" w:rsidRPr="00AC2A42" w:rsidRDefault="003175ED" w:rsidP="002E6E71">
            <w:pPr>
              <w:rPr>
                <w:rFonts w:ascii="Times New Roman" w:hAnsi="Times New Roman" w:cs="Times New Roman"/>
                <w:sz w:val="24"/>
                <w:szCs w:val="24"/>
              </w:rPr>
            </w:pPr>
            <w:r w:rsidRPr="00AC2A42">
              <w:rPr>
                <w:rFonts w:ascii="Times New Roman" w:hAnsi="Times New Roman" w:cs="Times New Roman"/>
                <w:sz w:val="24"/>
                <w:szCs w:val="24"/>
              </w:rPr>
              <w:t xml:space="preserve">Gyventojų skaičius, tenkantis vienai licencijai verstis mažmenine prekyba tabako gaminiais </w:t>
            </w:r>
          </w:p>
        </w:tc>
        <w:tc>
          <w:tcPr>
            <w:tcW w:w="1559" w:type="dxa"/>
          </w:tcPr>
          <w:p w:rsidR="003175ED" w:rsidRPr="00AC2A42" w:rsidRDefault="003175ED" w:rsidP="002E6E71">
            <w:pPr>
              <w:rPr>
                <w:rFonts w:ascii="Times New Roman" w:hAnsi="Times New Roman" w:cs="Times New Roman"/>
                <w:sz w:val="24"/>
                <w:szCs w:val="24"/>
              </w:rPr>
            </w:pPr>
            <w:r w:rsidRPr="00AC2A42">
              <w:rPr>
                <w:rFonts w:ascii="Times New Roman" w:hAnsi="Times New Roman" w:cs="Times New Roman"/>
                <w:sz w:val="24"/>
                <w:szCs w:val="24"/>
              </w:rPr>
              <w:t>113</w:t>
            </w:r>
          </w:p>
        </w:tc>
        <w:tc>
          <w:tcPr>
            <w:tcW w:w="992" w:type="dxa"/>
          </w:tcPr>
          <w:p w:rsidR="003175ED" w:rsidRPr="00AC2A42" w:rsidRDefault="003175ED" w:rsidP="002E6E71">
            <w:pPr>
              <w:rPr>
                <w:rFonts w:ascii="Times New Roman" w:hAnsi="Times New Roman" w:cs="Times New Roman"/>
                <w:sz w:val="24"/>
                <w:szCs w:val="24"/>
              </w:rPr>
            </w:pPr>
            <w:r w:rsidRPr="00AC2A42">
              <w:rPr>
                <w:rFonts w:ascii="Times New Roman" w:hAnsi="Times New Roman" w:cs="Times New Roman"/>
                <w:sz w:val="24"/>
                <w:szCs w:val="24"/>
              </w:rPr>
              <w:t>174</w:t>
            </w:r>
          </w:p>
        </w:tc>
        <w:tc>
          <w:tcPr>
            <w:tcW w:w="1134" w:type="dxa"/>
          </w:tcPr>
          <w:p w:rsidR="003175ED" w:rsidRPr="00AC2A42" w:rsidRDefault="003175ED" w:rsidP="002E6E71">
            <w:pPr>
              <w:rPr>
                <w:rFonts w:ascii="Times New Roman" w:hAnsi="Times New Roman" w:cs="Times New Roman"/>
                <w:sz w:val="24"/>
                <w:szCs w:val="24"/>
              </w:rPr>
            </w:pPr>
            <w:r w:rsidRPr="00AC2A42">
              <w:rPr>
                <w:rFonts w:ascii="Times New Roman" w:hAnsi="Times New Roman" w:cs="Times New Roman"/>
                <w:sz w:val="24"/>
                <w:szCs w:val="24"/>
              </w:rPr>
              <w:t>34</w:t>
            </w:r>
          </w:p>
        </w:tc>
        <w:tc>
          <w:tcPr>
            <w:tcW w:w="1276" w:type="dxa"/>
          </w:tcPr>
          <w:p w:rsidR="003175ED" w:rsidRPr="00AC2A42" w:rsidRDefault="003175ED" w:rsidP="002E6E71">
            <w:pPr>
              <w:rPr>
                <w:rFonts w:ascii="Times New Roman" w:hAnsi="Times New Roman" w:cs="Times New Roman"/>
                <w:sz w:val="24"/>
                <w:szCs w:val="24"/>
              </w:rPr>
            </w:pPr>
            <w:r w:rsidRPr="00AC2A42">
              <w:rPr>
                <w:rFonts w:ascii="Times New Roman" w:hAnsi="Times New Roman" w:cs="Times New Roman"/>
                <w:sz w:val="24"/>
                <w:szCs w:val="24"/>
              </w:rPr>
              <w:t>319</w:t>
            </w:r>
          </w:p>
        </w:tc>
        <w:tc>
          <w:tcPr>
            <w:tcW w:w="2126" w:type="dxa"/>
            <w:shd w:val="clear" w:color="auto" w:fill="FF0000"/>
          </w:tcPr>
          <w:p w:rsidR="003175ED" w:rsidRPr="00AC2A42" w:rsidRDefault="00C70AD0" w:rsidP="002E6E71">
            <w:pPr>
              <w:rPr>
                <w:rFonts w:ascii="Times New Roman" w:hAnsi="Times New Roman" w:cs="Times New Roman"/>
                <w:sz w:val="24"/>
                <w:szCs w:val="24"/>
              </w:rPr>
            </w:pPr>
            <w:r w:rsidRPr="00AC2A42">
              <w:rPr>
                <w:rFonts w:ascii="Times New Roman" w:hAnsi="Times New Roman" w:cs="Times New Roman"/>
                <w:sz w:val="24"/>
                <w:szCs w:val="24"/>
              </w:rPr>
              <w:t>0,65</w:t>
            </w:r>
          </w:p>
        </w:tc>
      </w:tr>
      <w:tr w:rsidR="00BB2E98" w:rsidRPr="00AC2A42" w:rsidTr="003E62DB">
        <w:tc>
          <w:tcPr>
            <w:tcW w:w="9073" w:type="dxa"/>
          </w:tcPr>
          <w:p w:rsidR="00BB2E98" w:rsidRPr="00AC2A42" w:rsidRDefault="00BB2E98" w:rsidP="002E6E71">
            <w:pPr>
              <w:rPr>
                <w:rFonts w:ascii="Times New Roman" w:hAnsi="Times New Roman" w:cs="Times New Roman"/>
                <w:sz w:val="24"/>
                <w:szCs w:val="24"/>
              </w:rPr>
            </w:pPr>
            <w:r w:rsidRPr="00AC2A42">
              <w:rPr>
                <w:rFonts w:ascii="Times New Roman" w:hAnsi="Times New Roman" w:cs="Times New Roman"/>
                <w:sz w:val="24"/>
                <w:szCs w:val="24"/>
              </w:rPr>
              <w:t>Gyventojų skaičius, tenkantis vienai licencijai verstis mažmenine prekyba alkoholiniais gėrimais</w:t>
            </w:r>
          </w:p>
        </w:tc>
        <w:tc>
          <w:tcPr>
            <w:tcW w:w="1559" w:type="dxa"/>
          </w:tcPr>
          <w:p w:rsidR="00BB2E98" w:rsidRPr="00AC2A42" w:rsidRDefault="00BB2E98" w:rsidP="002E6E71">
            <w:pPr>
              <w:rPr>
                <w:rFonts w:ascii="Times New Roman" w:hAnsi="Times New Roman" w:cs="Times New Roman"/>
                <w:sz w:val="24"/>
                <w:szCs w:val="24"/>
              </w:rPr>
            </w:pPr>
            <w:r w:rsidRPr="00AC2A42">
              <w:rPr>
                <w:rFonts w:ascii="Times New Roman" w:hAnsi="Times New Roman" w:cs="Times New Roman"/>
                <w:sz w:val="24"/>
                <w:szCs w:val="24"/>
              </w:rPr>
              <w:t>109</w:t>
            </w:r>
          </w:p>
        </w:tc>
        <w:tc>
          <w:tcPr>
            <w:tcW w:w="992" w:type="dxa"/>
          </w:tcPr>
          <w:p w:rsidR="00BB2E98" w:rsidRPr="00AC2A42" w:rsidRDefault="00BB2E98" w:rsidP="002E6E71">
            <w:pPr>
              <w:rPr>
                <w:rFonts w:ascii="Times New Roman" w:hAnsi="Times New Roman" w:cs="Times New Roman"/>
                <w:sz w:val="24"/>
                <w:szCs w:val="24"/>
              </w:rPr>
            </w:pPr>
            <w:r w:rsidRPr="00AC2A42">
              <w:rPr>
                <w:rFonts w:ascii="Times New Roman" w:hAnsi="Times New Roman" w:cs="Times New Roman"/>
                <w:sz w:val="24"/>
                <w:szCs w:val="24"/>
              </w:rPr>
              <w:t>150</w:t>
            </w:r>
          </w:p>
        </w:tc>
        <w:tc>
          <w:tcPr>
            <w:tcW w:w="1134" w:type="dxa"/>
          </w:tcPr>
          <w:p w:rsidR="00BB2E98" w:rsidRPr="00AC2A42" w:rsidRDefault="00BB2E98" w:rsidP="002E6E71">
            <w:pPr>
              <w:rPr>
                <w:rFonts w:ascii="Times New Roman" w:hAnsi="Times New Roman" w:cs="Times New Roman"/>
                <w:sz w:val="24"/>
                <w:szCs w:val="24"/>
              </w:rPr>
            </w:pPr>
            <w:r w:rsidRPr="00AC2A42">
              <w:rPr>
                <w:rFonts w:ascii="Times New Roman" w:hAnsi="Times New Roman" w:cs="Times New Roman"/>
                <w:sz w:val="24"/>
                <w:szCs w:val="24"/>
              </w:rPr>
              <w:t>16</w:t>
            </w:r>
          </w:p>
        </w:tc>
        <w:tc>
          <w:tcPr>
            <w:tcW w:w="1276" w:type="dxa"/>
          </w:tcPr>
          <w:p w:rsidR="00BB2E98" w:rsidRPr="00AC2A42" w:rsidRDefault="00BB2E98" w:rsidP="002E6E71">
            <w:pPr>
              <w:rPr>
                <w:rFonts w:ascii="Times New Roman" w:hAnsi="Times New Roman" w:cs="Times New Roman"/>
                <w:sz w:val="24"/>
                <w:szCs w:val="24"/>
              </w:rPr>
            </w:pPr>
            <w:r w:rsidRPr="00AC2A42">
              <w:rPr>
                <w:rFonts w:ascii="Times New Roman" w:hAnsi="Times New Roman" w:cs="Times New Roman"/>
                <w:sz w:val="24"/>
                <w:szCs w:val="24"/>
              </w:rPr>
              <w:t>283</w:t>
            </w:r>
          </w:p>
        </w:tc>
        <w:tc>
          <w:tcPr>
            <w:tcW w:w="2126" w:type="dxa"/>
            <w:shd w:val="clear" w:color="auto" w:fill="FF0000"/>
          </w:tcPr>
          <w:p w:rsidR="00BB2E98" w:rsidRPr="00AC2A42" w:rsidRDefault="00C70AD0" w:rsidP="002E6E71">
            <w:pPr>
              <w:rPr>
                <w:rFonts w:ascii="Times New Roman" w:hAnsi="Times New Roman" w:cs="Times New Roman"/>
                <w:sz w:val="24"/>
                <w:szCs w:val="24"/>
              </w:rPr>
            </w:pPr>
            <w:r w:rsidRPr="00AC2A42">
              <w:rPr>
                <w:rFonts w:ascii="Times New Roman" w:hAnsi="Times New Roman" w:cs="Times New Roman"/>
                <w:sz w:val="24"/>
                <w:szCs w:val="24"/>
              </w:rPr>
              <w:t>0,73</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3.2. Skatinti sveikos mitybos įpročius</w:t>
            </w:r>
          </w:p>
        </w:tc>
      </w:tr>
      <w:tr w:rsidR="00255132" w:rsidRPr="00AC2A42" w:rsidTr="003E62DB">
        <w:tc>
          <w:tcPr>
            <w:tcW w:w="9073" w:type="dxa"/>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sz w:val="24"/>
                <w:szCs w:val="24"/>
              </w:rPr>
              <w:t>Kūdikių, išimtiniai žindytų iki 6 mėn. amžiaus, dalis (proc.)</w:t>
            </w:r>
          </w:p>
        </w:tc>
        <w:tc>
          <w:tcPr>
            <w:tcW w:w="1559" w:type="dxa"/>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sz w:val="24"/>
                <w:szCs w:val="24"/>
              </w:rPr>
              <w:t>17,14</w:t>
            </w:r>
          </w:p>
        </w:tc>
        <w:tc>
          <w:tcPr>
            <w:tcW w:w="992" w:type="dxa"/>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sz w:val="24"/>
                <w:szCs w:val="24"/>
              </w:rPr>
              <w:t>31,27</w:t>
            </w:r>
          </w:p>
        </w:tc>
        <w:tc>
          <w:tcPr>
            <w:tcW w:w="1134" w:type="dxa"/>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sz w:val="24"/>
                <w:szCs w:val="24"/>
              </w:rPr>
              <w:t>9,17</w:t>
            </w:r>
          </w:p>
        </w:tc>
        <w:tc>
          <w:tcPr>
            <w:tcW w:w="1276" w:type="dxa"/>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sz w:val="24"/>
                <w:szCs w:val="24"/>
              </w:rPr>
              <w:t>62,5</w:t>
            </w:r>
          </w:p>
        </w:tc>
        <w:tc>
          <w:tcPr>
            <w:tcW w:w="2126" w:type="dxa"/>
            <w:shd w:val="clear" w:color="auto" w:fill="FF0000"/>
          </w:tcPr>
          <w:p w:rsidR="00255132" w:rsidRPr="00AC2A42" w:rsidRDefault="00C70AD0" w:rsidP="002E6E71">
            <w:pPr>
              <w:rPr>
                <w:rFonts w:ascii="Times New Roman" w:hAnsi="Times New Roman" w:cs="Times New Roman"/>
                <w:sz w:val="24"/>
                <w:szCs w:val="24"/>
              </w:rPr>
            </w:pPr>
            <w:r w:rsidRPr="00AC2A42">
              <w:rPr>
                <w:rFonts w:ascii="Times New Roman" w:hAnsi="Times New Roman" w:cs="Times New Roman"/>
                <w:sz w:val="24"/>
                <w:szCs w:val="24"/>
              </w:rPr>
              <w:t>0,55</w:t>
            </w:r>
          </w:p>
        </w:tc>
      </w:tr>
      <w:tr w:rsidR="00255132" w:rsidRPr="00AC2A42" w:rsidTr="003E62DB">
        <w:tc>
          <w:tcPr>
            <w:tcW w:w="16160" w:type="dxa"/>
            <w:gridSpan w:val="6"/>
            <w:shd w:val="clear" w:color="auto" w:fill="EAF1DD" w:themeFill="accent3" w:themeFillTint="33"/>
          </w:tcPr>
          <w:p w:rsidR="00255132" w:rsidRPr="00AC2A42" w:rsidRDefault="00255132" w:rsidP="002E6E71">
            <w:pPr>
              <w:rPr>
                <w:rFonts w:ascii="Times New Roman" w:hAnsi="Times New Roman" w:cs="Times New Roman"/>
                <w:sz w:val="24"/>
                <w:szCs w:val="24"/>
              </w:rPr>
            </w:pPr>
            <w:r w:rsidRPr="00AC2A42">
              <w:rPr>
                <w:rFonts w:ascii="Times New Roman" w:hAnsi="Times New Roman" w:cs="Times New Roman"/>
                <w:b/>
                <w:color w:val="E36C0A" w:themeColor="accent6" w:themeShade="BF"/>
                <w:sz w:val="24"/>
                <w:szCs w:val="24"/>
                <w:u w:val="single"/>
              </w:rPr>
              <w:t>4 tikslas.</w:t>
            </w:r>
            <w:r w:rsidRPr="00AC2A42">
              <w:rPr>
                <w:rFonts w:ascii="Times New Roman" w:hAnsi="Times New Roman" w:cs="Times New Roman"/>
                <w:sz w:val="24"/>
                <w:szCs w:val="24"/>
                <w:u w:val="single"/>
              </w:rPr>
              <w:t xml:space="preserve"> Užtikrinti kokybišką ir efektyvią sveikatos priežiūrą, orientuotą į gyventojų poreikius</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b/>
                <w:color w:val="E36C0A" w:themeColor="accent6" w:themeShade="BF"/>
                <w:sz w:val="24"/>
                <w:szCs w:val="24"/>
                <w:u w:val="single"/>
              </w:rPr>
            </w:pPr>
            <w:r w:rsidRPr="00AC2A42">
              <w:rPr>
                <w:rFonts w:ascii="Times New Roman" w:hAnsi="Times New Roman" w:cs="Times New Roman"/>
                <w:b/>
                <w:sz w:val="24"/>
                <w:szCs w:val="24"/>
              </w:rPr>
              <w:t>4.1. Užtikrinti sveikatos sistemos tvarumą ir kokybę, plėtojant sveikatos technologijas, kurių efektyvumas pagrįstas mokslo įrodymais</w:t>
            </w:r>
          </w:p>
        </w:tc>
      </w:tr>
      <w:tr w:rsidR="00B822F0" w:rsidRPr="00AC2A42" w:rsidTr="003E62DB">
        <w:tc>
          <w:tcPr>
            <w:tcW w:w="9073"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 xml:space="preserve">Išvengiamų </w:t>
            </w:r>
            <w:proofErr w:type="spellStart"/>
            <w:r w:rsidRPr="00AC2A42">
              <w:rPr>
                <w:rFonts w:ascii="Times New Roman" w:hAnsi="Times New Roman" w:cs="Times New Roman"/>
                <w:sz w:val="24"/>
                <w:szCs w:val="24"/>
              </w:rPr>
              <w:t>hospitalizacijų</w:t>
            </w:r>
            <w:proofErr w:type="spellEnd"/>
            <w:r w:rsidRPr="00AC2A42">
              <w:rPr>
                <w:rFonts w:ascii="Times New Roman" w:hAnsi="Times New Roman" w:cs="Times New Roman"/>
                <w:sz w:val="24"/>
                <w:szCs w:val="24"/>
              </w:rPr>
              <w:t xml:space="preserve"> skaičius 1 000 gyventojų</w:t>
            </w:r>
          </w:p>
        </w:tc>
        <w:tc>
          <w:tcPr>
            <w:tcW w:w="1559"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53,64</w:t>
            </w:r>
          </w:p>
        </w:tc>
        <w:tc>
          <w:tcPr>
            <w:tcW w:w="992"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33,38</w:t>
            </w:r>
          </w:p>
        </w:tc>
        <w:tc>
          <w:tcPr>
            <w:tcW w:w="1134"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18,99</w:t>
            </w:r>
          </w:p>
        </w:tc>
        <w:tc>
          <w:tcPr>
            <w:tcW w:w="1276"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71,85</w:t>
            </w:r>
          </w:p>
        </w:tc>
        <w:tc>
          <w:tcPr>
            <w:tcW w:w="2126" w:type="dxa"/>
            <w:shd w:val="clear" w:color="auto" w:fill="FF0000"/>
          </w:tcPr>
          <w:p w:rsidR="00B822F0"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1,61</w:t>
            </w:r>
          </w:p>
        </w:tc>
      </w:tr>
      <w:tr w:rsidR="00B822F0" w:rsidRPr="00AC2A42" w:rsidTr="003E62DB">
        <w:tc>
          <w:tcPr>
            <w:tcW w:w="9073"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 xml:space="preserve">Išvengiamų </w:t>
            </w:r>
            <w:proofErr w:type="spellStart"/>
            <w:r w:rsidRPr="00AC2A42">
              <w:rPr>
                <w:rFonts w:ascii="Times New Roman" w:hAnsi="Times New Roman" w:cs="Times New Roman"/>
                <w:sz w:val="24"/>
                <w:szCs w:val="24"/>
              </w:rPr>
              <w:t>hospitalizacijų</w:t>
            </w:r>
            <w:proofErr w:type="spellEnd"/>
            <w:r w:rsidRPr="00AC2A42">
              <w:rPr>
                <w:rFonts w:ascii="Times New Roman" w:hAnsi="Times New Roman" w:cs="Times New Roman"/>
                <w:sz w:val="24"/>
                <w:szCs w:val="24"/>
              </w:rPr>
              <w:t xml:space="preserve"> dėl diabeto ir jo komplikacijų skaičius 1 000 gyventojų</w:t>
            </w:r>
          </w:p>
        </w:tc>
        <w:tc>
          <w:tcPr>
            <w:tcW w:w="1559"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5,72</w:t>
            </w:r>
          </w:p>
        </w:tc>
        <w:tc>
          <w:tcPr>
            <w:tcW w:w="992"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5,56</w:t>
            </w:r>
          </w:p>
        </w:tc>
        <w:tc>
          <w:tcPr>
            <w:tcW w:w="1134"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3,52</w:t>
            </w:r>
          </w:p>
        </w:tc>
        <w:tc>
          <w:tcPr>
            <w:tcW w:w="1276"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8,7</w:t>
            </w:r>
          </w:p>
        </w:tc>
        <w:tc>
          <w:tcPr>
            <w:tcW w:w="2126" w:type="dxa"/>
            <w:shd w:val="clear" w:color="auto" w:fill="FFFF00"/>
          </w:tcPr>
          <w:p w:rsidR="00B822F0"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1,03</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4.2. Plėtoti sveikatos infrastruktūrą ir gerinti sveikatos priežiūros paslaugų kokybę, saugą, prieinamumą ir į pacientą orientuotą sveikatos priežiūrą</w:t>
            </w:r>
          </w:p>
        </w:tc>
      </w:tr>
      <w:tr w:rsidR="00B822F0" w:rsidRPr="00AC2A42" w:rsidTr="003E62DB">
        <w:tc>
          <w:tcPr>
            <w:tcW w:w="9073"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Slaugytojų, tenkančių vienam gydytojui, skaičius</w:t>
            </w:r>
          </w:p>
        </w:tc>
        <w:tc>
          <w:tcPr>
            <w:tcW w:w="1559"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2,74</w:t>
            </w:r>
          </w:p>
        </w:tc>
        <w:tc>
          <w:tcPr>
            <w:tcW w:w="992"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2,14</w:t>
            </w:r>
          </w:p>
        </w:tc>
        <w:tc>
          <w:tcPr>
            <w:tcW w:w="1134"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1</w:t>
            </w:r>
          </w:p>
        </w:tc>
        <w:tc>
          <w:tcPr>
            <w:tcW w:w="1276" w:type="dxa"/>
          </w:tcPr>
          <w:p w:rsidR="00B822F0" w:rsidRPr="00AC2A42" w:rsidRDefault="00B822F0" w:rsidP="002E6E71">
            <w:pPr>
              <w:rPr>
                <w:rFonts w:ascii="Times New Roman" w:hAnsi="Times New Roman" w:cs="Times New Roman"/>
                <w:sz w:val="24"/>
                <w:szCs w:val="24"/>
              </w:rPr>
            </w:pPr>
            <w:r w:rsidRPr="00AC2A42">
              <w:rPr>
                <w:rFonts w:ascii="Times New Roman" w:hAnsi="Times New Roman" w:cs="Times New Roman"/>
                <w:sz w:val="24"/>
                <w:szCs w:val="24"/>
              </w:rPr>
              <w:t>6,6</w:t>
            </w:r>
          </w:p>
        </w:tc>
        <w:tc>
          <w:tcPr>
            <w:tcW w:w="2126" w:type="dxa"/>
            <w:shd w:val="clear" w:color="auto" w:fill="FFFF00"/>
          </w:tcPr>
          <w:p w:rsidR="00B822F0"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1,28</w:t>
            </w:r>
          </w:p>
        </w:tc>
      </w:tr>
      <w:tr w:rsidR="00066465" w:rsidRPr="00AC2A42" w:rsidTr="003E62DB">
        <w:tc>
          <w:tcPr>
            <w:tcW w:w="9073"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Šeimos ir medicinos paslaugas teikiančių gydytojų skaičius 10 000 gyventojų</w:t>
            </w:r>
          </w:p>
        </w:tc>
        <w:tc>
          <w:tcPr>
            <w:tcW w:w="1559"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6,18</w:t>
            </w:r>
          </w:p>
        </w:tc>
        <w:tc>
          <w:tcPr>
            <w:tcW w:w="992"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6,81</w:t>
            </w:r>
          </w:p>
        </w:tc>
        <w:tc>
          <w:tcPr>
            <w:tcW w:w="1134"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2,45</w:t>
            </w:r>
          </w:p>
        </w:tc>
        <w:tc>
          <w:tcPr>
            <w:tcW w:w="1276"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21,52</w:t>
            </w:r>
          </w:p>
        </w:tc>
        <w:tc>
          <w:tcPr>
            <w:tcW w:w="2126" w:type="dxa"/>
            <w:shd w:val="clear" w:color="auto" w:fill="FFFF00"/>
          </w:tcPr>
          <w:p w:rsidR="00066465"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0,91</w:t>
            </w:r>
          </w:p>
        </w:tc>
      </w:tr>
      <w:tr w:rsidR="00066465" w:rsidRPr="00AC2A42" w:rsidTr="003E62DB">
        <w:tc>
          <w:tcPr>
            <w:tcW w:w="9073"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Apsilankymų pas gydytojus skaičius, tenkantis vienam gyventojui</w:t>
            </w:r>
          </w:p>
        </w:tc>
        <w:tc>
          <w:tcPr>
            <w:tcW w:w="1559"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6,94</w:t>
            </w:r>
          </w:p>
        </w:tc>
        <w:tc>
          <w:tcPr>
            <w:tcW w:w="992"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8,03</w:t>
            </w:r>
          </w:p>
        </w:tc>
        <w:tc>
          <w:tcPr>
            <w:tcW w:w="1134"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5,89</w:t>
            </w:r>
          </w:p>
        </w:tc>
        <w:tc>
          <w:tcPr>
            <w:tcW w:w="1276" w:type="dxa"/>
          </w:tcPr>
          <w:p w:rsidR="00066465" w:rsidRPr="00AC2A42" w:rsidRDefault="00066465" w:rsidP="002E6E71">
            <w:pPr>
              <w:rPr>
                <w:rFonts w:ascii="Times New Roman" w:hAnsi="Times New Roman" w:cs="Times New Roman"/>
                <w:sz w:val="24"/>
                <w:szCs w:val="24"/>
              </w:rPr>
            </w:pPr>
            <w:r w:rsidRPr="00AC2A42">
              <w:rPr>
                <w:rFonts w:ascii="Times New Roman" w:hAnsi="Times New Roman" w:cs="Times New Roman"/>
                <w:sz w:val="24"/>
                <w:szCs w:val="24"/>
              </w:rPr>
              <w:t>10,14</w:t>
            </w:r>
          </w:p>
        </w:tc>
        <w:tc>
          <w:tcPr>
            <w:tcW w:w="2126" w:type="dxa"/>
            <w:shd w:val="clear" w:color="auto" w:fill="FFFF00"/>
          </w:tcPr>
          <w:p w:rsidR="00066465"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0,86</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lastRenderedPageBreak/>
              <w:t>Savivaldybei pavaldžių stacionarines ASP paslaugas teikiančių asmens sveikatos priežiūros įstaigų pacientų pasitenkinimo lygis</w:t>
            </w:r>
          </w:p>
        </w:tc>
        <w:tc>
          <w:tcPr>
            <w:tcW w:w="1559"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992"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134"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127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c>
          <w:tcPr>
            <w:tcW w:w="2126" w:type="dxa"/>
          </w:tcPr>
          <w:p w:rsidR="00DD0769" w:rsidRPr="00AC2A42" w:rsidRDefault="00804591" w:rsidP="002E6E71">
            <w:pPr>
              <w:rPr>
                <w:rFonts w:ascii="Times New Roman" w:hAnsi="Times New Roman" w:cs="Times New Roman"/>
                <w:sz w:val="24"/>
                <w:szCs w:val="24"/>
              </w:rPr>
            </w:pPr>
            <w:r w:rsidRPr="00AC2A42">
              <w:rPr>
                <w:rFonts w:ascii="Times New Roman" w:hAnsi="Times New Roman" w:cs="Times New Roman"/>
                <w:sz w:val="24"/>
                <w:szCs w:val="24"/>
              </w:rPr>
              <w:t>nėra</w:t>
            </w:r>
          </w:p>
        </w:tc>
      </w:tr>
      <w:tr w:rsidR="00D829DE" w:rsidRPr="00AC2A42" w:rsidTr="003E62DB">
        <w:tc>
          <w:tcPr>
            <w:tcW w:w="9073"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Sergamumas vaistams atsparia tuberkulioze 10 000 gyventojų</w:t>
            </w:r>
          </w:p>
        </w:tc>
        <w:tc>
          <w:tcPr>
            <w:tcW w:w="1559" w:type="dxa"/>
          </w:tcPr>
          <w:p w:rsidR="00D829DE" w:rsidRPr="00AC2A42" w:rsidRDefault="00D829DE" w:rsidP="00AC76F2">
            <w:pPr>
              <w:rPr>
                <w:rFonts w:ascii="Times New Roman" w:hAnsi="Times New Roman" w:cs="Times New Roman"/>
                <w:sz w:val="24"/>
                <w:szCs w:val="24"/>
              </w:rPr>
            </w:pPr>
            <w:r w:rsidRPr="00AC2A42">
              <w:rPr>
                <w:rFonts w:ascii="Times New Roman" w:hAnsi="Times New Roman" w:cs="Times New Roman"/>
                <w:sz w:val="24"/>
                <w:szCs w:val="24"/>
              </w:rPr>
              <w:t>10,31</w:t>
            </w:r>
          </w:p>
        </w:tc>
        <w:tc>
          <w:tcPr>
            <w:tcW w:w="992"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4,4</w:t>
            </w:r>
          </w:p>
        </w:tc>
        <w:tc>
          <w:tcPr>
            <w:tcW w:w="1134"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14,26</w:t>
            </w:r>
          </w:p>
        </w:tc>
        <w:tc>
          <w:tcPr>
            <w:tcW w:w="2126" w:type="dxa"/>
            <w:shd w:val="clear" w:color="auto" w:fill="FF0000"/>
          </w:tcPr>
          <w:p w:rsidR="00D829DE"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2,34</w:t>
            </w:r>
          </w:p>
        </w:tc>
      </w:tr>
      <w:tr w:rsidR="00D829DE" w:rsidRPr="00AC2A42" w:rsidTr="003E62DB">
        <w:tc>
          <w:tcPr>
            <w:tcW w:w="9073"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Sergamumas ŽIV ir lytiškai plintančiomis ligomis (B20-B24, A50-A64) 10 000 gyventojų</w:t>
            </w:r>
          </w:p>
        </w:tc>
        <w:tc>
          <w:tcPr>
            <w:tcW w:w="1559"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3,09</w:t>
            </w:r>
          </w:p>
        </w:tc>
        <w:tc>
          <w:tcPr>
            <w:tcW w:w="992"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3,45</w:t>
            </w:r>
          </w:p>
        </w:tc>
        <w:tc>
          <w:tcPr>
            <w:tcW w:w="1134"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D829DE"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8,39</w:t>
            </w:r>
          </w:p>
        </w:tc>
        <w:tc>
          <w:tcPr>
            <w:tcW w:w="2126" w:type="dxa"/>
            <w:shd w:val="clear" w:color="auto" w:fill="FFFF00"/>
          </w:tcPr>
          <w:p w:rsidR="00D829DE"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0,90</w:t>
            </w:r>
          </w:p>
          <w:p w:rsidR="00AC2A42" w:rsidRPr="00AC2A42" w:rsidRDefault="00AC2A42" w:rsidP="002E6E71">
            <w:pPr>
              <w:rPr>
                <w:rFonts w:ascii="Times New Roman" w:hAnsi="Times New Roman" w:cs="Times New Roman"/>
                <w:sz w:val="24"/>
                <w:szCs w:val="24"/>
              </w:rPr>
            </w:pP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4.3. Pagerinti motinos ir vaiko sveikatą</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Kūdikių (vaikų iki 1m. amžiaus) mirtingumas 1 000 gyvų gimusių kūdikių</w:t>
            </w:r>
          </w:p>
        </w:tc>
        <w:tc>
          <w:tcPr>
            <w:tcW w:w="1559" w:type="dxa"/>
          </w:tcPr>
          <w:p w:rsidR="00DD0769"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992" w:type="dxa"/>
          </w:tcPr>
          <w:p w:rsidR="00DD0769"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3,9</w:t>
            </w:r>
          </w:p>
        </w:tc>
        <w:tc>
          <w:tcPr>
            <w:tcW w:w="1134" w:type="dxa"/>
          </w:tcPr>
          <w:p w:rsidR="00DD0769"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DD0769" w:rsidRPr="00AC2A42" w:rsidRDefault="00D829DE" w:rsidP="002E6E71">
            <w:pPr>
              <w:rPr>
                <w:rFonts w:ascii="Times New Roman" w:hAnsi="Times New Roman" w:cs="Times New Roman"/>
                <w:sz w:val="24"/>
                <w:szCs w:val="24"/>
              </w:rPr>
            </w:pPr>
            <w:r w:rsidRPr="00AC2A42">
              <w:rPr>
                <w:rFonts w:ascii="Times New Roman" w:hAnsi="Times New Roman" w:cs="Times New Roman"/>
                <w:sz w:val="24"/>
                <w:szCs w:val="24"/>
              </w:rPr>
              <w:t>18,8</w:t>
            </w:r>
          </w:p>
        </w:tc>
        <w:tc>
          <w:tcPr>
            <w:tcW w:w="2126" w:type="dxa"/>
            <w:shd w:val="clear" w:color="auto" w:fill="92D050"/>
          </w:tcPr>
          <w:p w:rsidR="00DD0769"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0</w:t>
            </w:r>
          </w:p>
        </w:tc>
      </w:tr>
      <w:tr w:rsidR="00E03305" w:rsidRPr="00AC2A42" w:rsidTr="003E62DB">
        <w:tc>
          <w:tcPr>
            <w:tcW w:w="9073" w:type="dxa"/>
          </w:tcPr>
          <w:p w:rsidR="00E03305" w:rsidRPr="00AC2A42" w:rsidRDefault="00E03305" w:rsidP="002E6E71">
            <w:pPr>
              <w:rPr>
                <w:rFonts w:ascii="Times New Roman" w:hAnsi="Times New Roman" w:cs="Times New Roman"/>
                <w:sz w:val="24"/>
                <w:szCs w:val="24"/>
              </w:rPr>
            </w:pPr>
            <w:r w:rsidRPr="00AC2A42">
              <w:rPr>
                <w:rFonts w:ascii="Times New Roman" w:hAnsi="Times New Roman" w:cs="Times New Roman"/>
                <w:sz w:val="24"/>
                <w:szCs w:val="24"/>
              </w:rPr>
              <w:t>2 metų amžiaus vaikų MMR (tymų, epideminio parotito, raudonukės vakcina, 1 dozė) skiepijimo apimtys</w:t>
            </w:r>
          </w:p>
        </w:tc>
        <w:tc>
          <w:tcPr>
            <w:tcW w:w="1559" w:type="dxa"/>
          </w:tcPr>
          <w:p w:rsidR="00E03305" w:rsidRPr="00AC2A42" w:rsidRDefault="00E03305" w:rsidP="002E6E71">
            <w:pPr>
              <w:rPr>
                <w:rFonts w:ascii="Times New Roman" w:hAnsi="Times New Roman" w:cs="Times New Roman"/>
                <w:sz w:val="24"/>
                <w:szCs w:val="24"/>
              </w:rPr>
            </w:pPr>
            <w:r w:rsidRPr="00AC2A42">
              <w:rPr>
                <w:rFonts w:ascii="Times New Roman" w:hAnsi="Times New Roman" w:cs="Times New Roman"/>
                <w:sz w:val="24"/>
                <w:szCs w:val="24"/>
              </w:rPr>
              <w:t>93</w:t>
            </w:r>
          </w:p>
        </w:tc>
        <w:tc>
          <w:tcPr>
            <w:tcW w:w="992" w:type="dxa"/>
          </w:tcPr>
          <w:p w:rsidR="00E03305" w:rsidRPr="00AC2A42" w:rsidRDefault="00E03305" w:rsidP="002E6E71">
            <w:pPr>
              <w:rPr>
                <w:rFonts w:ascii="Times New Roman" w:hAnsi="Times New Roman" w:cs="Times New Roman"/>
                <w:sz w:val="24"/>
                <w:szCs w:val="24"/>
              </w:rPr>
            </w:pPr>
            <w:r w:rsidRPr="00AC2A42">
              <w:rPr>
                <w:rFonts w:ascii="Times New Roman" w:hAnsi="Times New Roman" w:cs="Times New Roman"/>
                <w:sz w:val="24"/>
                <w:szCs w:val="24"/>
              </w:rPr>
              <w:t>93,36</w:t>
            </w:r>
          </w:p>
        </w:tc>
        <w:tc>
          <w:tcPr>
            <w:tcW w:w="1134" w:type="dxa"/>
          </w:tcPr>
          <w:p w:rsidR="00E03305" w:rsidRPr="00AC2A42" w:rsidRDefault="00E03305" w:rsidP="002E6E71">
            <w:pPr>
              <w:rPr>
                <w:rFonts w:ascii="Times New Roman" w:hAnsi="Times New Roman" w:cs="Times New Roman"/>
                <w:sz w:val="24"/>
                <w:szCs w:val="24"/>
              </w:rPr>
            </w:pPr>
            <w:r w:rsidRPr="00AC2A42">
              <w:rPr>
                <w:rFonts w:ascii="Times New Roman" w:hAnsi="Times New Roman" w:cs="Times New Roman"/>
                <w:sz w:val="24"/>
                <w:szCs w:val="24"/>
              </w:rPr>
              <w:t>77,78</w:t>
            </w:r>
          </w:p>
        </w:tc>
        <w:tc>
          <w:tcPr>
            <w:tcW w:w="1276" w:type="dxa"/>
          </w:tcPr>
          <w:p w:rsidR="00E03305" w:rsidRPr="00AC2A42" w:rsidRDefault="00E03305" w:rsidP="002E6E71">
            <w:pPr>
              <w:rPr>
                <w:rFonts w:ascii="Times New Roman" w:hAnsi="Times New Roman" w:cs="Times New Roman"/>
                <w:sz w:val="24"/>
                <w:szCs w:val="24"/>
              </w:rPr>
            </w:pPr>
            <w:r w:rsidRPr="00AC2A42">
              <w:rPr>
                <w:rFonts w:ascii="Times New Roman" w:hAnsi="Times New Roman" w:cs="Times New Roman"/>
                <w:sz w:val="24"/>
                <w:szCs w:val="24"/>
              </w:rPr>
              <w:t>100</w:t>
            </w:r>
          </w:p>
        </w:tc>
        <w:tc>
          <w:tcPr>
            <w:tcW w:w="2126" w:type="dxa"/>
            <w:shd w:val="clear" w:color="auto" w:fill="FFFF00"/>
          </w:tcPr>
          <w:p w:rsidR="00E03305"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w:t>
            </w:r>
          </w:p>
        </w:tc>
      </w:tr>
      <w:tr w:rsidR="00985AC1" w:rsidRPr="00AC2A42" w:rsidTr="003E62DB">
        <w:tc>
          <w:tcPr>
            <w:tcW w:w="9073"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1 metų amžiaus vaikų DTP3 (difterijos, stabligės, kokliušo vakcina, 3 dozės) skiepijimo apimtys</w:t>
            </w:r>
          </w:p>
        </w:tc>
        <w:tc>
          <w:tcPr>
            <w:tcW w:w="1559"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95,74</w:t>
            </w:r>
          </w:p>
        </w:tc>
        <w:tc>
          <w:tcPr>
            <w:tcW w:w="992"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92,9</w:t>
            </w:r>
          </w:p>
        </w:tc>
        <w:tc>
          <w:tcPr>
            <w:tcW w:w="1134"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81,03</w:t>
            </w:r>
          </w:p>
        </w:tc>
        <w:tc>
          <w:tcPr>
            <w:tcW w:w="1276"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99,38</w:t>
            </w:r>
          </w:p>
        </w:tc>
        <w:tc>
          <w:tcPr>
            <w:tcW w:w="2126" w:type="dxa"/>
            <w:shd w:val="clear" w:color="auto" w:fill="FFFF00"/>
          </w:tcPr>
          <w:p w:rsidR="00985AC1"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1,03</w:t>
            </w:r>
          </w:p>
        </w:tc>
      </w:tr>
      <w:tr w:rsidR="00985AC1" w:rsidRPr="00AC2A42" w:rsidTr="003E62DB">
        <w:tc>
          <w:tcPr>
            <w:tcW w:w="9073"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 xml:space="preserve">Tikslinės populiacijos dalis (proc.), dalyvavusi vaikų krūminių dantų dengimo </w:t>
            </w:r>
            <w:proofErr w:type="spellStart"/>
            <w:r w:rsidRPr="00AC2A42">
              <w:rPr>
                <w:rFonts w:ascii="Times New Roman" w:hAnsi="Times New Roman" w:cs="Times New Roman"/>
                <w:sz w:val="24"/>
                <w:szCs w:val="24"/>
              </w:rPr>
              <w:t>silantinėmis</w:t>
            </w:r>
            <w:proofErr w:type="spellEnd"/>
            <w:r w:rsidRPr="00AC2A42">
              <w:rPr>
                <w:rFonts w:ascii="Times New Roman" w:hAnsi="Times New Roman" w:cs="Times New Roman"/>
                <w:sz w:val="24"/>
                <w:szCs w:val="24"/>
              </w:rPr>
              <w:t xml:space="preserve"> medžiagomis programoje</w:t>
            </w:r>
          </w:p>
        </w:tc>
        <w:tc>
          <w:tcPr>
            <w:tcW w:w="1559"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36,13</w:t>
            </w:r>
          </w:p>
        </w:tc>
        <w:tc>
          <w:tcPr>
            <w:tcW w:w="992"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20,94</w:t>
            </w:r>
          </w:p>
        </w:tc>
        <w:tc>
          <w:tcPr>
            <w:tcW w:w="1134"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4,39</w:t>
            </w:r>
          </w:p>
        </w:tc>
        <w:tc>
          <w:tcPr>
            <w:tcW w:w="1276" w:type="dxa"/>
          </w:tcPr>
          <w:p w:rsidR="00985AC1" w:rsidRPr="00AC2A42" w:rsidRDefault="00985AC1" w:rsidP="002E6E71">
            <w:pPr>
              <w:rPr>
                <w:rFonts w:ascii="Times New Roman" w:hAnsi="Times New Roman" w:cs="Times New Roman"/>
                <w:sz w:val="24"/>
                <w:szCs w:val="24"/>
              </w:rPr>
            </w:pPr>
            <w:r w:rsidRPr="00AC2A42">
              <w:rPr>
                <w:rFonts w:ascii="Times New Roman" w:hAnsi="Times New Roman" w:cs="Times New Roman"/>
                <w:sz w:val="24"/>
                <w:szCs w:val="24"/>
              </w:rPr>
              <w:t>76,39</w:t>
            </w:r>
          </w:p>
        </w:tc>
        <w:tc>
          <w:tcPr>
            <w:tcW w:w="2126" w:type="dxa"/>
            <w:shd w:val="clear" w:color="auto" w:fill="92D050"/>
          </w:tcPr>
          <w:p w:rsidR="00985AC1" w:rsidRPr="00AC2A42" w:rsidRDefault="004445BB" w:rsidP="002E6E71">
            <w:pPr>
              <w:rPr>
                <w:rFonts w:ascii="Times New Roman" w:hAnsi="Times New Roman" w:cs="Times New Roman"/>
                <w:sz w:val="24"/>
                <w:szCs w:val="24"/>
              </w:rPr>
            </w:pPr>
            <w:r w:rsidRPr="00AC2A42">
              <w:rPr>
                <w:rFonts w:ascii="Times New Roman" w:hAnsi="Times New Roman" w:cs="Times New Roman"/>
                <w:sz w:val="24"/>
                <w:szCs w:val="24"/>
              </w:rPr>
              <w:t>1,73</w:t>
            </w:r>
          </w:p>
        </w:tc>
      </w:tr>
      <w:tr w:rsidR="00DD0769" w:rsidRPr="00AC2A42" w:rsidTr="003E62DB">
        <w:tc>
          <w:tcPr>
            <w:tcW w:w="9073" w:type="dxa"/>
          </w:tcPr>
          <w:p w:rsidR="00DD0769" w:rsidRPr="00AC2A42" w:rsidRDefault="00AD0BBD" w:rsidP="00804591">
            <w:pPr>
              <w:rPr>
                <w:rFonts w:ascii="Times New Roman" w:hAnsi="Times New Roman" w:cs="Times New Roman"/>
                <w:sz w:val="24"/>
                <w:szCs w:val="24"/>
              </w:rPr>
            </w:pPr>
            <w:r w:rsidRPr="00AC2A42">
              <w:rPr>
                <w:rFonts w:ascii="Times New Roman" w:hAnsi="Times New Roman" w:cs="Times New Roman"/>
                <w:sz w:val="24"/>
                <w:szCs w:val="24"/>
              </w:rPr>
              <w:t>Vaikų, kuriems nustatytas dantų ėduonis (K02), skaičius 10 000 gyventojų</w:t>
            </w:r>
          </w:p>
        </w:tc>
        <w:tc>
          <w:tcPr>
            <w:tcW w:w="1559" w:type="dxa"/>
          </w:tcPr>
          <w:p w:rsidR="00DD0769" w:rsidRPr="00AC2A42" w:rsidRDefault="00AD0BBD" w:rsidP="002E6E71">
            <w:pPr>
              <w:rPr>
                <w:rFonts w:ascii="Times New Roman" w:hAnsi="Times New Roman" w:cs="Times New Roman"/>
                <w:sz w:val="24"/>
                <w:szCs w:val="24"/>
              </w:rPr>
            </w:pPr>
            <w:r w:rsidRPr="00AC2A42">
              <w:rPr>
                <w:rFonts w:ascii="Times New Roman" w:hAnsi="Times New Roman" w:cs="Times New Roman"/>
                <w:sz w:val="24"/>
                <w:szCs w:val="24"/>
              </w:rPr>
              <w:t>-100000</w:t>
            </w:r>
          </w:p>
        </w:tc>
        <w:tc>
          <w:tcPr>
            <w:tcW w:w="992" w:type="dxa"/>
          </w:tcPr>
          <w:p w:rsidR="00DD0769" w:rsidRPr="00AC2A42" w:rsidRDefault="00AD0BBD" w:rsidP="002E6E71">
            <w:pPr>
              <w:rPr>
                <w:rFonts w:ascii="Times New Roman" w:hAnsi="Times New Roman" w:cs="Times New Roman"/>
                <w:sz w:val="24"/>
                <w:szCs w:val="24"/>
              </w:rPr>
            </w:pPr>
            <w:r w:rsidRPr="00AC2A42">
              <w:rPr>
                <w:rFonts w:ascii="Times New Roman" w:hAnsi="Times New Roman" w:cs="Times New Roman"/>
                <w:sz w:val="24"/>
                <w:szCs w:val="24"/>
              </w:rPr>
              <w:t>3,41</w:t>
            </w:r>
          </w:p>
        </w:tc>
        <w:tc>
          <w:tcPr>
            <w:tcW w:w="1134" w:type="dxa"/>
          </w:tcPr>
          <w:p w:rsidR="00DD0769" w:rsidRPr="00AC2A42" w:rsidRDefault="00AD0BBD" w:rsidP="002E6E71">
            <w:pPr>
              <w:rPr>
                <w:rFonts w:ascii="Times New Roman" w:hAnsi="Times New Roman" w:cs="Times New Roman"/>
                <w:sz w:val="24"/>
                <w:szCs w:val="24"/>
              </w:rPr>
            </w:pPr>
            <w:r w:rsidRPr="00AC2A42">
              <w:rPr>
                <w:rFonts w:ascii="Times New Roman" w:hAnsi="Times New Roman" w:cs="Times New Roman"/>
                <w:sz w:val="24"/>
                <w:szCs w:val="24"/>
              </w:rPr>
              <w:t>-100000</w:t>
            </w:r>
          </w:p>
        </w:tc>
        <w:tc>
          <w:tcPr>
            <w:tcW w:w="1276" w:type="dxa"/>
          </w:tcPr>
          <w:p w:rsidR="00DD0769" w:rsidRPr="00AC2A42" w:rsidRDefault="00AD0BBD" w:rsidP="002E6E71">
            <w:pPr>
              <w:rPr>
                <w:rFonts w:ascii="Times New Roman" w:hAnsi="Times New Roman" w:cs="Times New Roman"/>
                <w:sz w:val="24"/>
                <w:szCs w:val="24"/>
              </w:rPr>
            </w:pPr>
            <w:r w:rsidRPr="00AC2A42">
              <w:rPr>
                <w:rFonts w:ascii="Times New Roman" w:hAnsi="Times New Roman" w:cs="Times New Roman"/>
                <w:sz w:val="24"/>
                <w:szCs w:val="24"/>
              </w:rPr>
              <w:t>8,14</w:t>
            </w:r>
          </w:p>
        </w:tc>
        <w:tc>
          <w:tcPr>
            <w:tcW w:w="2126" w:type="dxa"/>
          </w:tcPr>
          <w:p w:rsidR="00DD0769" w:rsidRPr="00AC2A42" w:rsidRDefault="00497446" w:rsidP="002E6E71">
            <w:pPr>
              <w:rPr>
                <w:rFonts w:ascii="Times New Roman" w:hAnsi="Times New Roman" w:cs="Times New Roman"/>
                <w:sz w:val="24"/>
                <w:szCs w:val="24"/>
              </w:rPr>
            </w:pPr>
            <w:r w:rsidRPr="00AC2A42">
              <w:rPr>
                <w:rFonts w:ascii="Times New Roman" w:hAnsi="Times New Roman" w:cs="Times New Roman"/>
                <w:sz w:val="24"/>
                <w:szCs w:val="24"/>
              </w:rPr>
              <w:t>Nėra duomenų</w:t>
            </w:r>
          </w:p>
        </w:tc>
      </w:tr>
      <w:tr w:rsidR="00211623" w:rsidRPr="00AC2A42" w:rsidTr="003E62DB">
        <w:tc>
          <w:tcPr>
            <w:tcW w:w="9073" w:type="dxa"/>
          </w:tcPr>
          <w:p w:rsidR="00211623"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Paauglių (15-17 m.) gimdymų skaičius 100 000 gyventojų</w:t>
            </w:r>
          </w:p>
        </w:tc>
        <w:tc>
          <w:tcPr>
            <w:tcW w:w="1559" w:type="dxa"/>
          </w:tcPr>
          <w:p w:rsidR="00211623"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3,1</w:t>
            </w:r>
          </w:p>
        </w:tc>
        <w:tc>
          <w:tcPr>
            <w:tcW w:w="992" w:type="dxa"/>
          </w:tcPr>
          <w:p w:rsidR="00211623"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5,85</w:t>
            </w:r>
          </w:p>
        </w:tc>
        <w:tc>
          <w:tcPr>
            <w:tcW w:w="1134" w:type="dxa"/>
          </w:tcPr>
          <w:p w:rsidR="00211623"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0</w:t>
            </w:r>
          </w:p>
        </w:tc>
        <w:tc>
          <w:tcPr>
            <w:tcW w:w="1276" w:type="dxa"/>
          </w:tcPr>
          <w:p w:rsidR="00211623"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17,86</w:t>
            </w:r>
          </w:p>
        </w:tc>
        <w:tc>
          <w:tcPr>
            <w:tcW w:w="2126" w:type="dxa"/>
            <w:shd w:val="clear" w:color="auto" w:fill="FFFF00"/>
          </w:tcPr>
          <w:p w:rsidR="00211623"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0,53</w:t>
            </w:r>
          </w:p>
        </w:tc>
      </w:tr>
      <w:tr w:rsidR="00804591" w:rsidRPr="00AC2A42" w:rsidTr="003E62DB">
        <w:tc>
          <w:tcPr>
            <w:tcW w:w="16160" w:type="dxa"/>
            <w:gridSpan w:val="6"/>
            <w:shd w:val="clear" w:color="auto" w:fill="EAF1DD" w:themeFill="accent3" w:themeFillTint="33"/>
          </w:tcPr>
          <w:p w:rsidR="00804591" w:rsidRPr="00AC2A42" w:rsidRDefault="00804591" w:rsidP="002E6E71">
            <w:pPr>
              <w:rPr>
                <w:rFonts w:ascii="Times New Roman" w:hAnsi="Times New Roman" w:cs="Times New Roman"/>
                <w:sz w:val="24"/>
                <w:szCs w:val="24"/>
              </w:rPr>
            </w:pPr>
            <w:r w:rsidRPr="00AC2A42">
              <w:rPr>
                <w:rFonts w:ascii="Times New Roman" w:hAnsi="Times New Roman" w:cs="Times New Roman"/>
                <w:b/>
                <w:sz w:val="24"/>
                <w:szCs w:val="24"/>
              </w:rPr>
              <w:t>4.4. Stiprinti lėtinių neinfekcinių ligų prevenciją ir kontrolę</w:t>
            </w:r>
          </w:p>
        </w:tc>
      </w:tr>
      <w:tr w:rsidR="00DD0769" w:rsidRPr="00AC2A42" w:rsidTr="003E62DB">
        <w:tc>
          <w:tcPr>
            <w:tcW w:w="9073" w:type="dxa"/>
          </w:tcPr>
          <w:p w:rsidR="00DD0769" w:rsidRPr="00AC2A42" w:rsidRDefault="00DD0769" w:rsidP="002E6E71">
            <w:pPr>
              <w:rPr>
                <w:rFonts w:ascii="Times New Roman" w:hAnsi="Times New Roman" w:cs="Times New Roman"/>
                <w:sz w:val="24"/>
                <w:szCs w:val="24"/>
              </w:rPr>
            </w:pPr>
            <w:r w:rsidRPr="00AC2A42">
              <w:rPr>
                <w:rFonts w:ascii="Times New Roman" w:hAnsi="Times New Roman" w:cs="Times New Roman"/>
                <w:sz w:val="24"/>
                <w:szCs w:val="24"/>
              </w:rPr>
              <w:t>Mirtingumas nuo kraujotakos sistemos ligų rodiklis (I00-I99) 100 000 gyventojų</w:t>
            </w:r>
          </w:p>
        </w:tc>
        <w:tc>
          <w:tcPr>
            <w:tcW w:w="1559" w:type="dxa"/>
          </w:tcPr>
          <w:p w:rsidR="00DD0769"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1133,58</w:t>
            </w:r>
          </w:p>
        </w:tc>
        <w:tc>
          <w:tcPr>
            <w:tcW w:w="992" w:type="dxa"/>
          </w:tcPr>
          <w:p w:rsidR="00DD0769"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768,12</w:t>
            </w:r>
          </w:p>
        </w:tc>
        <w:tc>
          <w:tcPr>
            <w:tcW w:w="1134" w:type="dxa"/>
          </w:tcPr>
          <w:p w:rsidR="00DD0769"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572,28</w:t>
            </w:r>
          </w:p>
        </w:tc>
        <w:tc>
          <w:tcPr>
            <w:tcW w:w="1276" w:type="dxa"/>
          </w:tcPr>
          <w:p w:rsidR="00DD0769" w:rsidRPr="00AC2A42" w:rsidRDefault="00211623" w:rsidP="002E6E71">
            <w:pPr>
              <w:rPr>
                <w:rFonts w:ascii="Times New Roman" w:hAnsi="Times New Roman" w:cs="Times New Roman"/>
                <w:sz w:val="24"/>
                <w:szCs w:val="24"/>
              </w:rPr>
            </w:pPr>
            <w:r w:rsidRPr="00AC2A42">
              <w:rPr>
                <w:rFonts w:ascii="Times New Roman" w:hAnsi="Times New Roman" w:cs="Times New Roman"/>
                <w:sz w:val="24"/>
                <w:szCs w:val="24"/>
              </w:rPr>
              <w:t>1284,36</w:t>
            </w:r>
          </w:p>
        </w:tc>
        <w:tc>
          <w:tcPr>
            <w:tcW w:w="2126" w:type="dxa"/>
            <w:shd w:val="clear" w:color="auto" w:fill="FF0000"/>
          </w:tcPr>
          <w:p w:rsidR="00DD0769"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1,48</w:t>
            </w:r>
          </w:p>
        </w:tc>
      </w:tr>
      <w:tr w:rsidR="00797C27" w:rsidRPr="00AC2A42" w:rsidTr="003E62DB">
        <w:tc>
          <w:tcPr>
            <w:tcW w:w="9073" w:type="dxa"/>
          </w:tcPr>
          <w:p w:rsidR="00797C27" w:rsidRPr="00AC2A42" w:rsidRDefault="00797C27"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nuo kraujotakos sistemos ligų rodiklis (I00-I99) 100 000 gyventojų</w:t>
            </w:r>
          </w:p>
        </w:tc>
        <w:tc>
          <w:tcPr>
            <w:tcW w:w="1559" w:type="dxa"/>
          </w:tcPr>
          <w:p w:rsidR="00797C27" w:rsidRPr="00AC2A42" w:rsidRDefault="00797C27" w:rsidP="002E6E71">
            <w:pPr>
              <w:rPr>
                <w:rFonts w:ascii="Times New Roman" w:hAnsi="Times New Roman" w:cs="Times New Roman"/>
                <w:sz w:val="24"/>
                <w:szCs w:val="24"/>
              </w:rPr>
            </w:pPr>
            <w:r w:rsidRPr="00AC2A42">
              <w:rPr>
                <w:rFonts w:ascii="Times New Roman" w:hAnsi="Times New Roman" w:cs="Times New Roman"/>
                <w:sz w:val="24"/>
                <w:szCs w:val="24"/>
              </w:rPr>
              <w:t>932,22</w:t>
            </w:r>
          </w:p>
        </w:tc>
        <w:tc>
          <w:tcPr>
            <w:tcW w:w="992" w:type="dxa"/>
          </w:tcPr>
          <w:p w:rsidR="00797C27" w:rsidRPr="00AC2A42" w:rsidRDefault="00797C27" w:rsidP="002E6E71">
            <w:pPr>
              <w:rPr>
                <w:rFonts w:ascii="Times New Roman" w:hAnsi="Times New Roman" w:cs="Times New Roman"/>
                <w:sz w:val="24"/>
                <w:szCs w:val="24"/>
              </w:rPr>
            </w:pPr>
            <w:r w:rsidRPr="00AC2A42">
              <w:rPr>
                <w:rFonts w:ascii="Times New Roman" w:hAnsi="Times New Roman" w:cs="Times New Roman"/>
                <w:sz w:val="24"/>
                <w:szCs w:val="24"/>
              </w:rPr>
              <w:t>804,06</w:t>
            </w:r>
          </w:p>
        </w:tc>
        <w:tc>
          <w:tcPr>
            <w:tcW w:w="1134" w:type="dxa"/>
          </w:tcPr>
          <w:p w:rsidR="00797C27" w:rsidRPr="00AC2A42" w:rsidRDefault="00797C27" w:rsidP="002E6E71">
            <w:pPr>
              <w:rPr>
                <w:rFonts w:ascii="Times New Roman" w:hAnsi="Times New Roman" w:cs="Times New Roman"/>
                <w:sz w:val="24"/>
                <w:szCs w:val="24"/>
              </w:rPr>
            </w:pPr>
            <w:r w:rsidRPr="00AC2A42">
              <w:rPr>
                <w:rFonts w:ascii="Times New Roman" w:hAnsi="Times New Roman" w:cs="Times New Roman"/>
                <w:sz w:val="24"/>
                <w:szCs w:val="24"/>
              </w:rPr>
              <w:t>597,86</w:t>
            </w:r>
          </w:p>
        </w:tc>
        <w:tc>
          <w:tcPr>
            <w:tcW w:w="1276" w:type="dxa"/>
          </w:tcPr>
          <w:p w:rsidR="00797C27" w:rsidRPr="00AC2A42" w:rsidRDefault="00797C27" w:rsidP="002E6E71">
            <w:pPr>
              <w:rPr>
                <w:rFonts w:ascii="Times New Roman" w:hAnsi="Times New Roman" w:cs="Times New Roman"/>
                <w:sz w:val="24"/>
                <w:szCs w:val="24"/>
              </w:rPr>
            </w:pPr>
            <w:r w:rsidRPr="00AC2A42">
              <w:rPr>
                <w:rFonts w:ascii="Times New Roman" w:hAnsi="Times New Roman" w:cs="Times New Roman"/>
                <w:sz w:val="24"/>
                <w:szCs w:val="24"/>
              </w:rPr>
              <w:t>1179,02</w:t>
            </w:r>
          </w:p>
        </w:tc>
        <w:tc>
          <w:tcPr>
            <w:tcW w:w="2126" w:type="dxa"/>
            <w:shd w:val="clear" w:color="auto" w:fill="FF0000"/>
          </w:tcPr>
          <w:p w:rsidR="00797C27"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1,16</w:t>
            </w:r>
          </w:p>
        </w:tc>
      </w:tr>
      <w:tr w:rsidR="00A030C2" w:rsidRPr="00AC2A42" w:rsidTr="003E62DB">
        <w:tc>
          <w:tcPr>
            <w:tcW w:w="9073" w:type="dxa"/>
          </w:tcPr>
          <w:p w:rsidR="00A030C2" w:rsidRPr="00AC2A42" w:rsidRDefault="00A030C2" w:rsidP="002E6E71">
            <w:pPr>
              <w:rPr>
                <w:rFonts w:ascii="Times New Roman" w:hAnsi="Times New Roman" w:cs="Times New Roman"/>
                <w:sz w:val="24"/>
                <w:szCs w:val="24"/>
              </w:rPr>
            </w:pPr>
            <w:r w:rsidRPr="00AC2A42">
              <w:rPr>
                <w:rFonts w:ascii="Times New Roman" w:hAnsi="Times New Roman" w:cs="Times New Roman"/>
                <w:sz w:val="24"/>
                <w:szCs w:val="24"/>
              </w:rPr>
              <w:t>Mirtingumas nuo piktybinių navikų rodiklis (C00-C97) 100 000 gyventojų</w:t>
            </w:r>
          </w:p>
        </w:tc>
        <w:tc>
          <w:tcPr>
            <w:tcW w:w="1559" w:type="dxa"/>
          </w:tcPr>
          <w:p w:rsidR="00A030C2" w:rsidRPr="00AC2A42" w:rsidRDefault="00A030C2" w:rsidP="002E6E71">
            <w:pPr>
              <w:rPr>
                <w:rFonts w:ascii="Times New Roman" w:hAnsi="Times New Roman" w:cs="Times New Roman"/>
                <w:sz w:val="24"/>
                <w:szCs w:val="24"/>
              </w:rPr>
            </w:pPr>
            <w:r w:rsidRPr="00AC2A42">
              <w:rPr>
                <w:rFonts w:ascii="Times New Roman" w:hAnsi="Times New Roman" w:cs="Times New Roman"/>
                <w:sz w:val="24"/>
                <w:szCs w:val="24"/>
              </w:rPr>
              <w:t>334,92</w:t>
            </w:r>
          </w:p>
        </w:tc>
        <w:tc>
          <w:tcPr>
            <w:tcW w:w="992" w:type="dxa"/>
          </w:tcPr>
          <w:p w:rsidR="00A030C2" w:rsidRPr="00AC2A42" w:rsidRDefault="00A030C2" w:rsidP="002E6E71">
            <w:pPr>
              <w:rPr>
                <w:rFonts w:ascii="Times New Roman" w:hAnsi="Times New Roman" w:cs="Times New Roman"/>
                <w:sz w:val="24"/>
                <w:szCs w:val="24"/>
              </w:rPr>
            </w:pPr>
            <w:r w:rsidRPr="00AC2A42">
              <w:rPr>
                <w:rFonts w:ascii="Times New Roman" w:hAnsi="Times New Roman" w:cs="Times New Roman"/>
                <w:sz w:val="24"/>
                <w:szCs w:val="24"/>
              </w:rPr>
              <w:t>273,77</w:t>
            </w:r>
          </w:p>
        </w:tc>
        <w:tc>
          <w:tcPr>
            <w:tcW w:w="1134" w:type="dxa"/>
          </w:tcPr>
          <w:p w:rsidR="00A030C2" w:rsidRPr="00AC2A42" w:rsidRDefault="00A030C2" w:rsidP="002E6E71">
            <w:pPr>
              <w:rPr>
                <w:rFonts w:ascii="Times New Roman" w:hAnsi="Times New Roman" w:cs="Times New Roman"/>
                <w:sz w:val="24"/>
                <w:szCs w:val="24"/>
              </w:rPr>
            </w:pPr>
            <w:r w:rsidRPr="00AC2A42">
              <w:rPr>
                <w:rFonts w:ascii="Times New Roman" w:hAnsi="Times New Roman" w:cs="Times New Roman"/>
                <w:sz w:val="24"/>
                <w:szCs w:val="24"/>
              </w:rPr>
              <w:t>214,2</w:t>
            </w:r>
          </w:p>
        </w:tc>
        <w:tc>
          <w:tcPr>
            <w:tcW w:w="1276" w:type="dxa"/>
          </w:tcPr>
          <w:p w:rsidR="00A030C2" w:rsidRPr="00AC2A42" w:rsidRDefault="00A030C2" w:rsidP="002E6E71">
            <w:pPr>
              <w:rPr>
                <w:rFonts w:ascii="Times New Roman" w:hAnsi="Times New Roman" w:cs="Times New Roman"/>
                <w:sz w:val="24"/>
                <w:szCs w:val="24"/>
              </w:rPr>
            </w:pPr>
            <w:r w:rsidRPr="00AC2A42">
              <w:rPr>
                <w:rFonts w:ascii="Times New Roman" w:hAnsi="Times New Roman" w:cs="Times New Roman"/>
                <w:sz w:val="24"/>
                <w:szCs w:val="24"/>
              </w:rPr>
              <w:t>390,69</w:t>
            </w:r>
          </w:p>
        </w:tc>
        <w:tc>
          <w:tcPr>
            <w:tcW w:w="2126" w:type="dxa"/>
            <w:shd w:val="clear" w:color="auto" w:fill="FF0000"/>
          </w:tcPr>
          <w:p w:rsidR="00A030C2"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1,22</w:t>
            </w:r>
          </w:p>
        </w:tc>
      </w:tr>
      <w:tr w:rsidR="00626B69" w:rsidRPr="00AC2A42" w:rsidTr="003E62DB">
        <w:tc>
          <w:tcPr>
            <w:tcW w:w="9073" w:type="dxa"/>
          </w:tcPr>
          <w:p w:rsidR="00626B69" w:rsidRPr="00AC2A42" w:rsidRDefault="00626B69" w:rsidP="002E6E71">
            <w:pPr>
              <w:rPr>
                <w:rFonts w:ascii="Times New Roman" w:hAnsi="Times New Roman" w:cs="Times New Roman"/>
                <w:sz w:val="24"/>
                <w:szCs w:val="24"/>
              </w:rPr>
            </w:pPr>
            <w:r w:rsidRPr="00AC2A42">
              <w:rPr>
                <w:rFonts w:ascii="Times New Roman" w:hAnsi="Times New Roman" w:cs="Times New Roman"/>
                <w:sz w:val="24"/>
                <w:szCs w:val="24"/>
              </w:rPr>
              <w:t>Standartizuotas mirtingumo nuo piktybinių navikų rodiklis (C00-C97) 100 000 gyventojų</w:t>
            </w:r>
          </w:p>
        </w:tc>
        <w:tc>
          <w:tcPr>
            <w:tcW w:w="1559" w:type="dxa"/>
          </w:tcPr>
          <w:p w:rsidR="00626B69" w:rsidRPr="00AC2A42" w:rsidRDefault="00626B69" w:rsidP="002E6E71">
            <w:pPr>
              <w:rPr>
                <w:rFonts w:ascii="Times New Roman" w:hAnsi="Times New Roman" w:cs="Times New Roman"/>
                <w:sz w:val="24"/>
                <w:szCs w:val="24"/>
              </w:rPr>
            </w:pPr>
            <w:r w:rsidRPr="00AC2A42">
              <w:rPr>
                <w:rFonts w:ascii="Times New Roman" w:hAnsi="Times New Roman" w:cs="Times New Roman"/>
                <w:sz w:val="24"/>
                <w:szCs w:val="24"/>
              </w:rPr>
              <w:t>279,52</w:t>
            </w:r>
          </w:p>
        </w:tc>
        <w:tc>
          <w:tcPr>
            <w:tcW w:w="992" w:type="dxa"/>
          </w:tcPr>
          <w:p w:rsidR="00626B69" w:rsidRPr="00AC2A42" w:rsidRDefault="00626B69" w:rsidP="002E6E71">
            <w:pPr>
              <w:rPr>
                <w:rFonts w:ascii="Times New Roman" w:hAnsi="Times New Roman" w:cs="Times New Roman"/>
                <w:sz w:val="24"/>
                <w:szCs w:val="24"/>
              </w:rPr>
            </w:pPr>
            <w:r w:rsidRPr="00AC2A42">
              <w:rPr>
                <w:rFonts w:ascii="Times New Roman" w:hAnsi="Times New Roman" w:cs="Times New Roman"/>
                <w:sz w:val="24"/>
                <w:szCs w:val="24"/>
              </w:rPr>
              <w:t>278,19</w:t>
            </w:r>
          </w:p>
        </w:tc>
        <w:tc>
          <w:tcPr>
            <w:tcW w:w="1134" w:type="dxa"/>
          </w:tcPr>
          <w:p w:rsidR="00626B69" w:rsidRPr="00AC2A42" w:rsidRDefault="00626B69" w:rsidP="002E6E71">
            <w:pPr>
              <w:rPr>
                <w:rFonts w:ascii="Times New Roman" w:hAnsi="Times New Roman" w:cs="Times New Roman"/>
                <w:sz w:val="24"/>
                <w:szCs w:val="24"/>
              </w:rPr>
            </w:pPr>
            <w:r w:rsidRPr="00AC2A42">
              <w:rPr>
                <w:rFonts w:ascii="Times New Roman" w:hAnsi="Times New Roman" w:cs="Times New Roman"/>
                <w:sz w:val="24"/>
                <w:szCs w:val="24"/>
              </w:rPr>
              <w:t>216,42</w:t>
            </w:r>
          </w:p>
        </w:tc>
        <w:tc>
          <w:tcPr>
            <w:tcW w:w="1276" w:type="dxa"/>
          </w:tcPr>
          <w:p w:rsidR="00626B69" w:rsidRPr="00AC2A42" w:rsidRDefault="00626B69" w:rsidP="002E6E71">
            <w:pPr>
              <w:rPr>
                <w:rFonts w:ascii="Times New Roman" w:hAnsi="Times New Roman" w:cs="Times New Roman"/>
                <w:sz w:val="24"/>
                <w:szCs w:val="24"/>
              </w:rPr>
            </w:pPr>
            <w:r w:rsidRPr="00AC2A42">
              <w:rPr>
                <w:rFonts w:ascii="Times New Roman" w:hAnsi="Times New Roman" w:cs="Times New Roman"/>
                <w:sz w:val="24"/>
                <w:szCs w:val="24"/>
              </w:rPr>
              <w:t>531,17</w:t>
            </w:r>
          </w:p>
        </w:tc>
        <w:tc>
          <w:tcPr>
            <w:tcW w:w="2126" w:type="dxa"/>
            <w:shd w:val="clear" w:color="auto" w:fill="FF0000"/>
          </w:tcPr>
          <w:p w:rsidR="00626B69"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1</w:t>
            </w:r>
          </w:p>
        </w:tc>
      </w:tr>
      <w:tr w:rsidR="00A66D03" w:rsidRPr="00AC2A42" w:rsidTr="003E62DB">
        <w:tc>
          <w:tcPr>
            <w:tcW w:w="9073"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 xml:space="preserve">Mirtingumas nuo </w:t>
            </w:r>
            <w:proofErr w:type="spellStart"/>
            <w:r w:rsidRPr="00AC2A42">
              <w:rPr>
                <w:rFonts w:ascii="Times New Roman" w:hAnsi="Times New Roman" w:cs="Times New Roman"/>
                <w:sz w:val="24"/>
                <w:szCs w:val="24"/>
              </w:rPr>
              <w:t>cerebrovaskulinių</w:t>
            </w:r>
            <w:proofErr w:type="spellEnd"/>
            <w:r w:rsidRPr="00AC2A42">
              <w:rPr>
                <w:rFonts w:ascii="Times New Roman" w:hAnsi="Times New Roman" w:cs="Times New Roman"/>
                <w:sz w:val="24"/>
                <w:szCs w:val="24"/>
              </w:rPr>
              <w:t xml:space="preserve"> ligų rodiklis (I60-69) 100 000 gyventojų</w:t>
            </w:r>
          </w:p>
        </w:tc>
        <w:tc>
          <w:tcPr>
            <w:tcW w:w="1559"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468,89</w:t>
            </w:r>
          </w:p>
        </w:tc>
        <w:tc>
          <w:tcPr>
            <w:tcW w:w="992"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187,9</w:t>
            </w:r>
          </w:p>
        </w:tc>
        <w:tc>
          <w:tcPr>
            <w:tcW w:w="1134"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35,52</w:t>
            </w:r>
          </w:p>
        </w:tc>
        <w:tc>
          <w:tcPr>
            <w:tcW w:w="1276"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481,21</w:t>
            </w:r>
          </w:p>
        </w:tc>
        <w:tc>
          <w:tcPr>
            <w:tcW w:w="2126" w:type="dxa"/>
            <w:shd w:val="clear" w:color="auto" w:fill="FF0000"/>
          </w:tcPr>
          <w:p w:rsidR="00A66D03"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2,5</w:t>
            </w:r>
          </w:p>
        </w:tc>
      </w:tr>
      <w:tr w:rsidR="00A66D03" w:rsidRPr="00AC2A42" w:rsidTr="003E62DB">
        <w:tc>
          <w:tcPr>
            <w:tcW w:w="9073"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 xml:space="preserve">Standartizuotas mirtingumo nuo </w:t>
            </w:r>
            <w:proofErr w:type="spellStart"/>
            <w:r w:rsidRPr="00AC2A42">
              <w:rPr>
                <w:rFonts w:ascii="Times New Roman" w:hAnsi="Times New Roman" w:cs="Times New Roman"/>
                <w:sz w:val="24"/>
                <w:szCs w:val="24"/>
              </w:rPr>
              <w:t>cerebrovaskulinių</w:t>
            </w:r>
            <w:proofErr w:type="spellEnd"/>
            <w:r w:rsidRPr="00AC2A42">
              <w:rPr>
                <w:rFonts w:ascii="Times New Roman" w:hAnsi="Times New Roman" w:cs="Times New Roman"/>
                <w:sz w:val="24"/>
                <w:szCs w:val="24"/>
              </w:rPr>
              <w:t xml:space="preserve"> ligų rodiklis (I60-69) 100 000 gyventojų</w:t>
            </w:r>
          </w:p>
        </w:tc>
        <w:tc>
          <w:tcPr>
            <w:tcW w:w="1559"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381,23</w:t>
            </w:r>
          </w:p>
        </w:tc>
        <w:tc>
          <w:tcPr>
            <w:tcW w:w="992"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196,05</w:t>
            </w:r>
          </w:p>
        </w:tc>
        <w:tc>
          <w:tcPr>
            <w:tcW w:w="1134"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89,79</w:t>
            </w:r>
          </w:p>
        </w:tc>
        <w:tc>
          <w:tcPr>
            <w:tcW w:w="1276" w:type="dxa"/>
          </w:tcPr>
          <w:p w:rsidR="00A66D03" w:rsidRPr="00AC2A42" w:rsidRDefault="00A66D03" w:rsidP="002E6E71">
            <w:pPr>
              <w:rPr>
                <w:rFonts w:ascii="Times New Roman" w:hAnsi="Times New Roman" w:cs="Times New Roman"/>
                <w:sz w:val="24"/>
                <w:szCs w:val="24"/>
              </w:rPr>
            </w:pPr>
            <w:r w:rsidRPr="00AC2A42">
              <w:rPr>
                <w:rFonts w:ascii="Times New Roman" w:hAnsi="Times New Roman" w:cs="Times New Roman"/>
                <w:sz w:val="24"/>
                <w:szCs w:val="24"/>
              </w:rPr>
              <w:t>430,53</w:t>
            </w:r>
          </w:p>
        </w:tc>
        <w:tc>
          <w:tcPr>
            <w:tcW w:w="2126" w:type="dxa"/>
            <w:shd w:val="clear" w:color="auto" w:fill="FF0000"/>
          </w:tcPr>
          <w:p w:rsidR="00A66D03"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1,94</w:t>
            </w:r>
          </w:p>
        </w:tc>
      </w:tr>
      <w:tr w:rsidR="006622FC" w:rsidRPr="00AC2A42" w:rsidTr="003E62DB">
        <w:tc>
          <w:tcPr>
            <w:tcW w:w="9073"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Sergamumas II tipo cukriniu diabetu (E11) 10 000 gyventojų</w:t>
            </w:r>
          </w:p>
        </w:tc>
        <w:tc>
          <w:tcPr>
            <w:tcW w:w="1559"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39,16</w:t>
            </w:r>
          </w:p>
        </w:tc>
        <w:tc>
          <w:tcPr>
            <w:tcW w:w="992"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43,69</w:t>
            </w:r>
          </w:p>
        </w:tc>
        <w:tc>
          <w:tcPr>
            <w:tcW w:w="1134"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13,8</w:t>
            </w:r>
          </w:p>
        </w:tc>
        <w:tc>
          <w:tcPr>
            <w:tcW w:w="1276"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107,36</w:t>
            </w:r>
          </w:p>
        </w:tc>
        <w:tc>
          <w:tcPr>
            <w:tcW w:w="2126" w:type="dxa"/>
            <w:shd w:val="clear" w:color="auto" w:fill="FFFF00"/>
          </w:tcPr>
          <w:p w:rsidR="006622FC"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0,90</w:t>
            </w:r>
          </w:p>
        </w:tc>
      </w:tr>
      <w:tr w:rsidR="006622FC" w:rsidRPr="00AC2A42" w:rsidTr="003E62DB">
        <w:tc>
          <w:tcPr>
            <w:tcW w:w="9073"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 xml:space="preserve">Tikslinės populiacijos dalis (proc.), dalyvavusi atrankinės </w:t>
            </w:r>
            <w:proofErr w:type="spellStart"/>
            <w:r w:rsidRPr="00AC2A42">
              <w:rPr>
                <w:rFonts w:ascii="Times New Roman" w:hAnsi="Times New Roman" w:cs="Times New Roman"/>
                <w:sz w:val="24"/>
                <w:szCs w:val="24"/>
              </w:rPr>
              <w:t>mamografinės</w:t>
            </w:r>
            <w:proofErr w:type="spellEnd"/>
            <w:r w:rsidRPr="00AC2A42">
              <w:rPr>
                <w:rFonts w:ascii="Times New Roman" w:hAnsi="Times New Roman" w:cs="Times New Roman"/>
                <w:sz w:val="24"/>
                <w:szCs w:val="24"/>
              </w:rPr>
              <w:t xml:space="preserve"> patikros dėl krūties vėžio finansavimo programoje</w:t>
            </w:r>
          </w:p>
        </w:tc>
        <w:tc>
          <w:tcPr>
            <w:tcW w:w="1559"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27,53</w:t>
            </w:r>
          </w:p>
        </w:tc>
        <w:tc>
          <w:tcPr>
            <w:tcW w:w="992"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43,66</w:t>
            </w:r>
          </w:p>
        </w:tc>
        <w:tc>
          <w:tcPr>
            <w:tcW w:w="1134"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12,17</w:t>
            </w:r>
          </w:p>
        </w:tc>
        <w:tc>
          <w:tcPr>
            <w:tcW w:w="1276" w:type="dxa"/>
          </w:tcPr>
          <w:p w:rsidR="006622FC" w:rsidRPr="00AC2A42" w:rsidRDefault="006622FC" w:rsidP="002E6E71">
            <w:pPr>
              <w:rPr>
                <w:rFonts w:ascii="Times New Roman" w:hAnsi="Times New Roman" w:cs="Times New Roman"/>
                <w:sz w:val="24"/>
                <w:szCs w:val="24"/>
              </w:rPr>
            </w:pPr>
            <w:r w:rsidRPr="00AC2A42">
              <w:rPr>
                <w:rFonts w:ascii="Times New Roman" w:hAnsi="Times New Roman" w:cs="Times New Roman"/>
                <w:sz w:val="24"/>
                <w:szCs w:val="24"/>
              </w:rPr>
              <w:t>61,23</w:t>
            </w:r>
          </w:p>
        </w:tc>
        <w:tc>
          <w:tcPr>
            <w:tcW w:w="2126" w:type="dxa"/>
            <w:shd w:val="clear" w:color="auto" w:fill="FFFF00"/>
          </w:tcPr>
          <w:p w:rsidR="006622FC"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0,63</w:t>
            </w:r>
          </w:p>
        </w:tc>
      </w:tr>
      <w:tr w:rsidR="00E56910" w:rsidRPr="00AC2A42" w:rsidTr="003E62DB">
        <w:tc>
          <w:tcPr>
            <w:tcW w:w="9073" w:type="dxa"/>
          </w:tcPr>
          <w:p w:rsidR="00E56910" w:rsidRPr="00AC2A42" w:rsidRDefault="00E56910" w:rsidP="002E6E71">
            <w:pPr>
              <w:rPr>
                <w:rFonts w:ascii="Times New Roman" w:hAnsi="Times New Roman" w:cs="Times New Roman"/>
                <w:sz w:val="24"/>
                <w:szCs w:val="24"/>
              </w:rPr>
            </w:pPr>
            <w:r w:rsidRPr="00AC2A42">
              <w:rPr>
                <w:rFonts w:ascii="Times New Roman" w:hAnsi="Times New Roman" w:cs="Times New Roman"/>
                <w:sz w:val="24"/>
                <w:szCs w:val="24"/>
              </w:rPr>
              <w:t>Tikslinės populiacijos dalis (proc.), dalyvavusi gimdos kaklelio piktybinių navikų prevencinių priemonių, apmokamų iš Privalomojo sveikatos draudimo biudžeto lėšų, finansavimo programoje</w:t>
            </w:r>
          </w:p>
        </w:tc>
        <w:tc>
          <w:tcPr>
            <w:tcW w:w="1559" w:type="dxa"/>
          </w:tcPr>
          <w:p w:rsidR="00E56910" w:rsidRPr="00AC2A42" w:rsidRDefault="00505776" w:rsidP="002E6E71">
            <w:pPr>
              <w:rPr>
                <w:rFonts w:ascii="Times New Roman" w:hAnsi="Times New Roman" w:cs="Times New Roman"/>
                <w:sz w:val="24"/>
                <w:szCs w:val="24"/>
              </w:rPr>
            </w:pPr>
            <w:r w:rsidRPr="00AC2A42">
              <w:rPr>
                <w:rFonts w:ascii="Times New Roman" w:hAnsi="Times New Roman" w:cs="Times New Roman"/>
                <w:sz w:val="24"/>
                <w:szCs w:val="24"/>
              </w:rPr>
              <w:t>42,37</w:t>
            </w:r>
          </w:p>
        </w:tc>
        <w:tc>
          <w:tcPr>
            <w:tcW w:w="992" w:type="dxa"/>
          </w:tcPr>
          <w:p w:rsidR="00E56910" w:rsidRPr="00AC2A42" w:rsidRDefault="00E56910" w:rsidP="002E6E71">
            <w:pPr>
              <w:rPr>
                <w:rFonts w:ascii="Times New Roman" w:hAnsi="Times New Roman" w:cs="Times New Roman"/>
                <w:sz w:val="24"/>
                <w:szCs w:val="24"/>
              </w:rPr>
            </w:pPr>
            <w:r w:rsidRPr="00AC2A42">
              <w:rPr>
                <w:rFonts w:ascii="Times New Roman" w:hAnsi="Times New Roman" w:cs="Times New Roman"/>
                <w:sz w:val="24"/>
                <w:szCs w:val="24"/>
              </w:rPr>
              <w:t>49,56</w:t>
            </w:r>
          </w:p>
        </w:tc>
        <w:tc>
          <w:tcPr>
            <w:tcW w:w="1134" w:type="dxa"/>
          </w:tcPr>
          <w:p w:rsidR="00E56910" w:rsidRPr="00AC2A42" w:rsidRDefault="00E56910" w:rsidP="002E6E71">
            <w:pPr>
              <w:rPr>
                <w:rFonts w:ascii="Times New Roman" w:hAnsi="Times New Roman" w:cs="Times New Roman"/>
                <w:sz w:val="24"/>
                <w:szCs w:val="24"/>
              </w:rPr>
            </w:pPr>
            <w:r w:rsidRPr="00AC2A42">
              <w:rPr>
                <w:rFonts w:ascii="Times New Roman" w:hAnsi="Times New Roman" w:cs="Times New Roman"/>
                <w:sz w:val="24"/>
                <w:szCs w:val="24"/>
              </w:rPr>
              <w:t>27,07</w:t>
            </w:r>
          </w:p>
        </w:tc>
        <w:tc>
          <w:tcPr>
            <w:tcW w:w="1276" w:type="dxa"/>
          </w:tcPr>
          <w:p w:rsidR="00E56910" w:rsidRPr="00AC2A42" w:rsidRDefault="00E56910" w:rsidP="002E6E71">
            <w:pPr>
              <w:rPr>
                <w:rFonts w:ascii="Times New Roman" w:hAnsi="Times New Roman" w:cs="Times New Roman"/>
                <w:sz w:val="24"/>
                <w:szCs w:val="24"/>
              </w:rPr>
            </w:pPr>
            <w:r w:rsidRPr="00AC2A42">
              <w:rPr>
                <w:rFonts w:ascii="Times New Roman" w:hAnsi="Times New Roman" w:cs="Times New Roman"/>
                <w:sz w:val="24"/>
                <w:szCs w:val="24"/>
              </w:rPr>
              <w:t>74,89</w:t>
            </w:r>
          </w:p>
        </w:tc>
        <w:tc>
          <w:tcPr>
            <w:tcW w:w="2126" w:type="dxa"/>
            <w:shd w:val="clear" w:color="auto" w:fill="FFFF00"/>
          </w:tcPr>
          <w:p w:rsidR="00E56910"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0,85</w:t>
            </w:r>
          </w:p>
        </w:tc>
      </w:tr>
      <w:tr w:rsidR="00F61EDA" w:rsidRPr="00AC2A42" w:rsidTr="003E62DB">
        <w:tc>
          <w:tcPr>
            <w:tcW w:w="9073"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Tikslinės populiacijos dalis (proc.), dalyvavusi storosios žarnos vėžio ankstyvosios diagnostikos finansavimo programoje</w:t>
            </w:r>
          </w:p>
        </w:tc>
        <w:tc>
          <w:tcPr>
            <w:tcW w:w="1559"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27,39</w:t>
            </w:r>
          </w:p>
        </w:tc>
        <w:tc>
          <w:tcPr>
            <w:tcW w:w="992"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42,47</w:t>
            </w:r>
          </w:p>
        </w:tc>
        <w:tc>
          <w:tcPr>
            <w:tcW w:w="1134"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10,64</w:t>
            </w:r>
          </w:p>
        </w:tc>
        <w:tc>
          <w:tcPr>
            <w:tcW w:w="1276"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59,99</w:t>
            </w:r>
          </w:p>
        </w:tc>
        <w:tc>
          <w:tcPr>
            <w:tcW w:w="2126" w:type="dxa"/>
            <w:shd w:val="clear" w:color="auto" w:fill="FFFF00"/>
          </w:tcPr>
          <w:p w:rsidR="00F61EDA"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0,64</w:t>
            </w:r>
          </w:p>
        </w:tc>
      </w:tr>
      <w:tr w:rsidR="00F61EDA" w:rsidRPr="00AC2A42" w:rsidTr="003E62DB">
        <w:tc>
          <w:tcPr>
            <w:tcW w:w="9073"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Tikslinės populiacijos dalis (proc.), dalyvavusi asmenų, priskirtinų širdies ir kraujagyslių ligų didelės rizikos grupei, atrankos ir prevencijos priemonių finansavimo programoje</w:t>
            </w:r>
          </w:p>
        </w:tc>
        <w:tc>
          <w:tcPr>
            <w:tcW w:w="1559" w:type="dxa"/>
          </w:tcPr>
          <w:p w:rsidR="00F61EDA" w:rsidRPr="00AC2A42" w:rsidRDefault="00F61EDA" w:rsidP="00804591">
            <w:pPr>
              <w:rPr>
                <w:rFonts w:ascii="Times New Roman" w:hAnsi="Times New Roman" w:cs="Times New Roman"/>
                <w:sz w:val="24"/>
                <w:szCs w:val="24"/>
              </w:rPr>
            </w:pPr>
            <w:r w:rsidRPr="00AC2A42">
              <w:rPr>
                <w:rFonts w:ascii="Times New Roman" w:hAnsi="Times New Roman" w:cs="Times New Roman"/>
                <w:sz w:val="24"/>
                <w:szCs w:val="24"/>
              </w:rPr>
              <w:t>30,61</w:t>
            </w:r>
          </w:p>
        </w:tc>
        <w:tc>
          <w:tcPr>
            <w:tcW w:w="992"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34,67</w:t>
            </w:r>
          </w:p>
        </w:tc>
        <w:tc>
          <w:tcPr>
            <w:tcW w:w="1134"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7,57</w:t>
            </w:r>
          </w:p>
        </w:tc>
        <w:tc>
          <w:tcPr>
            <w:tcW w:w="1276" w:type="dxa"/>
          </w:tcPr>
          <w:p w:rsidR="00F61EDA" w:rsidRPr="00AC2A42" w:rsidRDefault="00F61EDA" w:rsidP="002E6E71">
            <w:pPr>
              <w:rPr>
                <w:rFonts w:ascii="Times New Roman" w:hAnsi="Times New Roman" w:cs="Times New Roman"/>
                <w:sz w:val="24"/>
                <w:szCs w:val="24"/>
              </w:rPr>
            </w:pPr>
            <w:r w:rsidRPr="00AC2A42">
              <w:rPr>
                <w:rFonts w:ascii="Times New Roman" w:hAnsi="Times New Roman" w:cs="Times New Roman"/>
                <w:sz w:val="24"/>
                <w:szCs w:val="24"/>
              </w:rPr>
              <w:t>51,86</w:t>
            </w:r>
          </w:p>
        </w:tc>
        <w:tc>
          <w:tcPr>
            <w:tcW w:w="2126" w:type="dxa"/>
            <w:shd w:val="clear" w:color="auto" w:fill="FFFF00"/>
          </w:tcPr>
          <w:p w:rsidR="00F61EDA" w:rsidRPr="00AC2A42" w:rsidRDefault="00F12293" w:rsidP="002E6E71">
            <w:pPr>
              <w:rPr>
                <w:rFonts w:ascii="Times New Roman" w:hAnsi="Times New Roman" w:cs="Times New Roman"/>
                <w:sz w:val="24"/>
                <w:szCs w:val="24"/>
              </w:rPr>
            </w:pPr>
            <w:r w:rsidRPr="00AC2A42">
              <w:rPr>
                <w:rFonts w:ascii="Times New Roman" w:hAnsi="Times New Roman" w:cs="Times New Roman"/>
                <w:sz w:val="24"/>
                <w:szCs w:val="24"/>
              </w:rPr>
              <w:t>0,88</w:t>
            </w:r>
          </w:p>
        </w:tc>
      </w:tr>
    </w:tbl>
    <w:p w:rsidR="004E04CF" w:rsidRDefault="004E04CF">
      <w:pPr>
        <w:sectPr w:rsidR="004E04CF" w:rsidSect="004E04CF">
          <w:pgSz w:w="16838" w:h="11906" w:orient="landscape"/>
          <w:pgMar w:top="284" w:right="1701" w:bottom="426" w:left="1134" w:header="567" w:footer="567" w:gutter="0"/>
          <w:cols w:space="1296"/>
          <w:docGrid w:linePitch="360"/>
        </w:sectPr>
      </w:pPr>
    </w:p>
    <w:p w:rsidR="00CF42CF" w:rsidRPr="00F82BDF" w:rsidRDefault="00CF42CF" w:rsidP="00F82BDF">
      <w:pPr>
        <w:spacing w:after="0" w:line="360" w:lineRule="auto"/>
        <w:ind w:firstLine="851"/>
        <w:jc w:val="both"/>
        <w:rPr>
          <w:rFonts w:ascii="Times New Roman" w:hAnsi="Times New Roman" w:cs="Times New Roman"/>
          <w:sz w:val="24"/>
          <w:szCs w:val="24"/>
        </w:rPr>
      </w:pPr>
      <w:r w:rsidRPr="00F82BDF">
        <w:rPr>
          <w:rFonts w:ascii="Times New Roman" w:hAnsi="Times New Roman" w:cs="Times New Roman"/>
          <w:sz w:val="24"/>
          <w:szCs w:val="24"/>
        </w:rPr>
        <w:lastRenderedPageBreak/>
        <w:t xml:space="preserve">Lietuvos statistikos departamento duomenimis 2014 m. </w:t>
      </w:r>
      <w:r w:rsidR="00F80EFF" w:rsidRPr="00F82BDF">
        <w:rPr>
          <w:rFonts w:ascii="Times New Roman" w:hAnsi="Times New Roman" w:cs="Times New Roman"/>
          <w:sz w:val="24"/>
          <w:szCs w:val="24"/>
        </w:rPr>
        <w:t>Molėtų</w:t>
      </w:r>
      <w:r w:rsidR="00F82BDF" w:rsidRPr="00F82BDF">
        <w:rPr>
          <w:rFonts w:ascii="Times New Roman" w:hAnsi="Times New Roman" w:cs="Times New Roman"/>
          <w:sz w:val="24"/>
          <w:szCs w:val="24"/>
        </w:rPr>
        <w:t xml:space="preserve"> r.</w:t>
      </w:r>
      <w:r w:rsidRPr="00F82BDF">
        <w:rPr>
          <w:rFonts w:ascii="Times New Roman" w:hAnsi="Times New Roman" w:cs="Times New Roman"/>
          <w:sz w:val="24"/>
          <w:szCs w:val="24"/>
        </w:rPr>
        <w:t xml:space="preserve"> gyveno </w:t>
      </w:r>
      <w:r w:rsidR="008D06E0" w:rsidRPr="00F82BDF">
        <w:rPr>
          <w:rFonts w:ascii="Times New Roman" w:hAnsi="Times New Roman" w:cs="Times New Roman"/>
          <w:sz w:val="24"/>
          <w:szCs w:val="24"/>
        </w:rPr>
        <w:t>19 582 žmonės,</w:t>
      </w:r>
      <w:r w:rsidR="00D64214" w:rsidRPr="00F82BDF">
        <w:rPr>
          <w:rFonts w:ascii="Times New Roman" w:hAnsi="Times New Roman" w:cs="Times New Roman"/>
          <w:sz w:val="24"/>
          <w:szCs w:val="24"/>
        </w:rPr>
        <w:t xml:space="preserve"> </w:t>
      </w:r>
      <w:r w:rsidR="00704284" w:rsidRPr="00F82BDF">
        <w:rPr>
          <w:rFonts w:ascii="Times New Roman" w:hAnsi="Times New Roman" w:cs="Times New Roman"/>
          <w:sz w:val="24"/>
          <w:szCs w:val="24"/>
        </w:rPr>
        <w:t>iš jų</w:t>
      </w:r>
      <w:r w:rsidR="008D06E0" w:rsidRPr="00F82BDF">
        <w:rPr>
          <w:rFonts w:ascii="Times New Roman" w:hAnsi="Times New Roman" w:cs="Times New Roman"/>
          <w:sz w:val="24"/>
          <w:szCs w:val="24"/>
        </w:rPr>
        <w:t xml:space="preserve"> 47,7</w:t>
      </w:r>
      <w:r w:rsidR="00F80EFF" w:rsidRPr="00F82BDF">
        <w:rPr>
          <w:rFonts w:ascii="Times New Roman" w:hAnsi="Times New Roman" w:cs="Times New Roman"/>
          <w:sz w:val="24"/>
          <w:szCs w:val="24"/>
        </w:rPr>
        <w:t xml:space="preserve"> proc. </w:t>
      </w:r>
      <w:r w:rsidR="008D06E0" w:rsidRPr="00F82BDF">
        <w:rPr>
          <w:rFonts w:ascii="Times New Roman" w:hAnsi="Times New Roman" w:cs="Times New Roman"/>
          <w:sz w:val="24"/>
          <w:szCs w:val="24"/>
        </w:rPr>
        <w:t>sudarė vyrai, 52,3</w:t>
      </w:r>
      <w:r w:rsidRPr="00F82BDF">
        <w:rPr>
          <w:rFonts w:ascii="Times New Roman" w:hAnsi="Times New Roman" w:cs="Times New Roman"/>
          <w:sz w:val="24"/>
          <w:szCs w:val="24"/>
        </w:rPr>
        <w:t xml:space="preserve"> proc. </w:t>
      </w:r>
      <w:r w:rsidR="00F82BDF" w:rsidRPr="00F82BDF">
        <w:rPr>
          <w:rFonts w:ascii="Times New Roman" w:hAnsi="Times New Roman" w:cs="Times New Roman"/>
          <w:sz w:val="24"/>
          <w:szCs w:val="24"/>
        </w:rPr>
        <w:t>–</w:t>
      </w:r>
      <w:r w:rsidR="003E62DB" w:rsidRPr="00F82BDF">
        <w:rPr>
          <w:rFonts w:ascii="Times New Roman" w:hAnsi="Times New Roman" w:cs="Times New Roman"/>
          <w:sz w:val="24"/>
          <w:szCs w:val="24"/>
        </w:rPr>
        <w:t xml:space="preserve"> </w:t>
      </w:r>
      <w:r w:rsidRPr="00F82BDF">
        <w:rPr>
          <w:rFonts w:ascii="Times New Roman" w:hAnsi="Times New Roman" w:cs="Times New Roman"/>
          <w:sz w:val="24"/>
          <w:szCs w:val="24"/>
        </w:rPr>
        <w:t xml:space="preserve">moterys. Lyginant su ankstesniais metais gyventojų skaičius sumažėjo (2013 m. – </w:t>
      </w:r>
      <w:r w:rsidR="008D06E0" w:rsidRPr="00F82BDF">
        <w:rPr>
          <w:rFonts w:ascii="Times New Roman" w:hAnsi="Times New Roman" w:cs="Times New Roman"/>
          <w:sz w:val="24"/>
          <w:szCs w:val="24"/>
        </w:rPr>
        <w:t>20 032</w:t>
      </w:r>
      <w:r w:rsidRPr="00F82BDF">
        <w:rPr>
          <w:rFonts w:ascii="Times New Roman" w:hAnsi="Times New Roman" w:cs="Times New Roman"/>
          <w:sz w:val="24"/>
          <w:szCs w:val="24"/>
        </w:rPr>
        <w:t xml:space="preserve"> gyventojų). Vaikai iki 17 m. amžiaus sudarė</w:t>
      </w:r>
      <w:r w:rsidR="008D06E0" w:rsidRPr="00F82BDF">
        <w:rPr>
          <w:rFonts w:ascii="Times New Roman" w:hAnsi="Times New Roman" w:cs="Times New Roman"/>
          <w:sz w:val="24"/>
          <w:szCs w:val="24"/>
        </w:rPr>
        <w:t xml:space="preserve"> 15,5</w:t>
      </w:r>
      <w:r w:rsidR="00D64214" w:rsidRPr="00F82BDF">
        <w:rPr>
          <w:rFonts w:ascii="Times New Roman" w:hAnsi="Times New Roman" w:cs="Times New Roman"/>
          <w:sz w:val="24"/>
          <w:szCs w:val="24"/>
        </w:rPr>
        <w:t xml:space="preserve"> proc.</w:t>
      </w:r>
      <w:r w:rsidRPr="00F82BDF">
        <w:rPr>
          <w:rFonts w:ascii="Times New Roman" w:hAnsi="Times New Roman" w:cs="Times New Roman"/>
          <w:sz w:val="24"/>
          <w:szCs w:val="24"/>
        </w:rPr>
        <w:t>, vaisingo a</w:t>
      </w:r>
      <w:r w:rsidR="00D64214" w:rsidRPr="00F82BDF">
        <w:rPr>
          <w:rFonts w:ascii="Times New Roman" w:hAnsi="Times New Roman" w:cs="Times New Roman"/>
          <w:sz w:val="24"/>
          <w:szCs w:val="24"/>
        </w:rPr>
        <w:t>mžiaus (15-49 m.) moterys –</w:t>
      </w:r>
      <w:r w:rsidRPr="00F82BDF">
        <w:rPr>
          <w:rFonts w:ascii="Times New Roman" w:hAnsi="Times New Roman" w:cs="Times New Roman"/>
          <w:sz w:val="24"/>
          <w:szCs w:val="24"/>
        </w:rPr>
        <w:t xml:space="preserve"> </w:t>
      </w:r>
      <w:r w:rsidR="008D06E0" w:rsidRPr="00F82BDF">
        <w:rPr>
          <w:rFonts w:ascii="Times New Roman" w:hAnsi="Times New Roman" w:cs="Times New Roman"/>
          <w:sz w:val="24"/>
          <w:szCs w:val="24"/>
        </w:rPr>
        <w:t>20,4</w:t>
      </w:r>
      <w:r w:rsidRPr="00F82BDF">
        <w:rPr>
          <w:rFonts w:ascii="Times New Roman" w:hAnsi="Times New Roman" w:cs="Times New Roman"/>
          <w:sz w:val="24"/>
          <w:szCs w:val="24"/>
        </w:rPr>
        <w:t xml:space="preserve"> proc.</w:t>
      </w:r>
      <w:r w:rsidR="00704284" w:rsidRPr="00F82BDF">
        <w:rPr>
          <w:rFonts w:ascii="Times New Roman" w:hAnsi="Times New Roman" w:cs="Times New Roman"/>
          <w:sz w:val="24"/>
          <w:szCs w:val="24"/>
        </w:rPr>
        <w:t>,</w:t>
      </w:r>
      <w:r w:rsidRPr="00F82BDF">
        <w:rPr>
          <w:rFonts w:ascii="Times New Roman" w:hAnsi="Times New Roman" w:cs="Times New Roman"/>
          <w:sz w:val="24"/>
          <w:szCs w:val="24"/>
        </w:rPr>
        <w:t xml:space="preserve"> 18-44 m. amžiaus </w:t>
      </w:r>
      <w:r w:rsidR="00704284" w:rsidRPr="00F82BDF">
        <w:rPr>
          <w:rFonts w:ascii="Times New Roman" w:hAnsi="Times New Roman" w:cs="Times New Roman"/>
          <w:sz w:val="24"/>
          <w:szCs w:val="24"/>
        </w:rPr>
        <w:t>–</w:t>
      </w:r>
      <w:r w:rsidRPr="00F82BDF">
        <w:rPr>
          <w:rFonts w:ascii="Times New Roman" w:hAnsi="Times New Roman" w:cs="Times New Roman"/>
          <w:sz w:val="24"/>
          <w:szCs w:val="24"/>
        </w:rPr>
        <w:t xml:space="preserve"> </w:t>
      </w:r>
      <w:r w:rsidR="008377F1" w:rsidRPr="00F82BDF">
        <w:rPr>
          <w:rFonts w:ascii="Times New Roman" w:hAnsi="Times New Roman" w:cs="Times New Roman"/>
          <w:sz w:val="24"/>
          <w:szCs w:val="24"/>
        </w:rPr>
        <w:t>32,5</w:t>
      </w:r>
      <w:r w:rsidRPr="00F82BDF">
        <w:rPr>
          <w:rFonts w:ascii="Times New Roman" w:hAnsi="Times New Roman" w:cs="Times New Roman"/>
          <w:sz w:val="24"/>
          <w:szCs w:val="24"/>
        </w:rPr>
        <w:t xml:space="preserve"> proc. gyventojų,</w:t>
      </w:r>
      <w:r w:rsidR="00D64214" w:rsidRPr="00F82BDF">
        <w:rPr>
          <w:rFonts w:ascii="Times New Roman" w:hAnsi="Times New Roman" w:cs="Times New Roman"/>
          <w:sz w:val="24"/>
          <w:szCs w:val="24"/>
        </w:rPr>
        <w:t xml:space="preserve"> </w:t>
      </w:r>
      <w:r w:rsidRPr="00F82BDF">
        <w:rPr>
          <w:rFonts w:ascii="Times New Roman" w:hAnsi="Times New Roman" w:cs="Times New Roman"/>
          <w:sz w:val="24"/>
          <w:szCs w:val="24"/>
        </w:rPr>
        <w:t xml:space="preserve"> 45-64 m.</w:t>
      </w:r>
      <w:r w:rsidR="00704284" w:rsidRPr="00F82BDF">
        <w:rPr>
          <w:rFonts w:ascii="Times New Roman" w:hAnsi="Times New Roman" w:cs="Times New Roman"/>
          <w:sz w:val="24"/>
          <w:szCs w:val="24"/>
        </w:rPr>
        <w:t xml:space="preserve"> amžiaus –</w:t>
      </w:r>
      <w:r w:rsidRPr="00F82BDF">
        <w:rPr>
          <w:rFonts w:ascii="Times New Roman" w:hAnsi="Times New Roman" w:cs="Times New Roman"/>
          <w:sz w:val="24"/>
          <w:szCs w:val="24"/>
        </w:rPr>
        <w:t xml:space="preserve"> </w:t>
      </w:r>
      <w:r w:rsidR="00522D54" w:rsidRPr="00F82BDF">
        <w:rPr>
          <w:rFonts w:ascii="Times New Roman" w:hAnsi="Times New Roman" w:cs="Times New Roman"/>
          <w:sz w:val="24"/>
          <w:szCs w:val="24"/>
        </w:rPr>
        <w:t>28,6</w:t>
      </w:r>
      <w:r w:rsidRPr="00F82BDF">
        <w:rPr>
          <w:rFonts w:ascii="Times New Roman" w:hAnsi="Times New Roman" w:cs="Times New Roman"/>
          <w:sz w:val="24"/>
          <w:szCs w:val="24"/>
        </w:rPr>
        <w:t xml:space="preserve"> proc., 65 m. ir vyresnio amžiaus asmenys</w:t>
      </w:r>
      <w:r w:rsidR="002C10E0" w:rsidRPr="00F82BDF">
        <w:rPr>
          <w:rFonts w:ascii="Times New Roman" w:hAnsi="Times New Roman" w:cs="Times New Roman"/>
          <w:sz w:val="24"/>
          <w:szCs w:val="24"/>
        </w:rPr>
        <w:t xml:space="preserve"> –</w:t>
      </w:r>
      <w:r w:rsidR="003E62DB" w:rsidRPr="00F82BDF">
        <w:rPr>
          <w:rFonts w:ascii="Times New Roman" w:hAnsi="Times New Roman" w:cs="Times New Roman"/>
          <w:sz w:val="24"/>
          <w:szCs w:val="24"/>
        </w:rPr>
        <w:t xml:space="preserve"> 23,4</w:t>
      </w:r>
      <w:r w:rsidR="00F80EFF" w:rsidRPr="00F82BDF">
        <w:rPr>
          <w:rFonts w:ascii="Times New Roman" w:hAnsi="Times New Roman" w:cs="Times New Roman"/>
          <w:sz w:val="24"/>
          <w:szCs w:val="24"/>
        </w:rPr>
        <w:t xml:space="preserve"> proc. Molėtų</w:t>
      </w:r>
      <w:r w:rsidR="00F82BDF" w:rsidRPr="00F82BDF">
        <w:rPr>
          <w:rFonts w:ascii="Times New Roman" w:hAnsi="Times New Roman" w:cs="Times New Roman"/>
          <w:sz w:val="24"/>
          <w:szCs w:val="24"/>
        </w:rPr>
        <w:t xml:space="preserve"> r.</w:t>
      </w:r>
      <w:r w:rsidRPr="00F82BDF">
        <w:rPr>
          <w:rFonts w:ascii="Times New Roman" w:hAnsi="Times New Roman" w:cs="Times New Roman"/>
          <w:sz w:val="24"/>
          <w:szCs w:val="24"/>
        </w:rPr>
        <w:t xml:space="preserve"> gyventojų.</w:t>
      </w:r>
    </w:p>
    <w:p w:rsidR="00CF42CF" w:rsidRPr="00F82BDF" w:rsidRDefault="00CF42CF" w:rsidP="00AC2A42">
      <w:pPr>
        <w:spacing w:after="0" w:line="360" w:lineRule="auto"/>
        <w:ind w:firstLine="851"/>
        <w:jc w:val="both"/>
        <w:rPr>
          <w:rFonts w:ascii="Times New Roman" w:hAnsi="Times New Roman" w:cs="Times New Roman"/>
          <w:sz w:val="24"/>
          <w:szCs w:val="24"/>
        </w:rPr>
      </w:pPr>
      <w:r w:rsidRPr="00F82BDF">
        <w:rPr>
          <w:rFonts w:ascii="Times New Roman" w:hAnsi="Times New Roman" w:cs="Times New Roman"/>
          <w:sz w:val="24"/>
          <w:szCs w:val="24"/>
        </w:rPr>
        <w:t>Iš 1 lentelėje „</w:t>
      </w:r>
      <w:r w:rsidR="00F80EFF" w:rsidRPr="00F82BDF">
        <w:rPr>
          <w:rFonts w:ascii="Times New Roman" w:hAnsi="Times New Roman" w:cs="Times New Roman"/>
          <w:sz w:val="24"/>
          <w:szCs w:val="24"/>
        </w:rPr>
        <w:t>Molėtų</w:t>
      </w:r>
      <w:r w:rsidRPr="00F82BDF">
        <w:rPr>
          <w:rFonts w:ascii="Times New Roman" w:hAnsi="Times New Roman" w:cs="Times New Roman"/>
          <w:sz w:val="24"/>
          <w:szCs w:val="24"/>
        </w:rPr>
        <w:t xml:space="preserve"> rajono savivaldybės visuomenės  sveikatos stebėsenos rodiklių profilis“ pateiktų PRS rodiklių reikšmių matyti, kad:</w:t>
      </w:r>
    </w:p>
    <w:p w:rsidR="00CF42CF" w:rsidRPr="00F82BDF" w:rsidRDefault="00CF42CF" w:rsidP="00AC2A42">
      <w:pPr>
        <w:spacing w:after="0" w:line="360" w:lineRule="auto"/>
        <w:ind w:firstLine="851"/>
        <w:jc w:val="both"/>
        <w:rPr>
          <w:rFonts w:ascii="Times New Roman" w:hAnsi="Times New Roman" w:cs="Times New Roman"/>
          <w:sz w:val="24"/>
          <w:szCs w:val="24"/>
        </w:rPr>
      </w:pPr>
      <w:r w:rsidRPr="00F82BDF">
        <w:rPr>
          <w:rFonts w:ascii="Times New Roman" w:hAnsi="Times New Roman" w:cs="Times New Roman"/>
          <w:sz w:val="24"/>
          <w:szCs w:val="24"/>
        </w:rPr>
        <w:t>iš visų sveikatos rodiklių yra geresni (</w:t>
      </w:r>
      <w:r w:rsidRPr="00F82BDF">
        <w:rPr>
          <w:rFonts w:ascii="Times New Roman" w:hAnsi="Times New Roman" w:cs="Times New Roman"/>
          <w:b/>
          <w:color w:val="00B050"/>
          <w:sz w:val="24"/>
          <w:szCs w:val="24"/>
        </w:rPr>
        <w:t>žalioji zona</w:t>
      </w:r>
      <w:r w:rsidRPr="00F82BDF">
        <w:rPr>
          <w:rFonts w:ascii="Times New Roman" w:hAnsi="Times New Roman" w:cs="Times New Roman"/>
          <w:sz w:val="24"/>
          <w:szCs w:val="24"/>
        </w:rPr>
        <w:t>):</w:t>
      </w:r>
    </w:p>
    <w:p w:rsidR="00CF42CF" w:rsidRPr="00F82BDF" w:rsidRDefault="005015AC"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 xml:space="preserve">tikslinės populiacijos dalis (proc.), dalyvavusi vaikų krūminių dantų dengimo </w:t>
      </w:r>
      <w:proofErr w:type="spellStart"/>
      <w:r w:rsidRPr="00F82BDF">
        <w:rPr>
          <w:rFonts w:ascii="Times New Roman" w:hAnsi="Times New Roman" w:cs="Times New Roman"/>
          <w:sz w:val="24"/>
          <w:szCs w:val="24"/>
        </w:rPr>
        <w:t>silantinėmis</w:t>
      </w:r>
      <w:proofErr w:type="spellEnd"/>
      <w:r w:rsidRPr="00F82BDF">
        <w:rPr>
          <w:rFonts w:ascii="Times New Roman" w:hAnsi="Times New Roman" w:cs="Times New Roman"/>
          <w:sz w:val="24"/>
          <w:szCs w:val="24"/>
        </w:rPr>
        <w:t xml:space="preserve"> medžiagomis programoje</w:t>
      </w:r>
      <w:r w:rsidR="00CF42CF" w:rsidRPr="00F82BDF">
        <w:rPr>
          <w:rFonts w:ascii="Times New Roman" w:hAnsi="Times New Roman" w:cs="Times New Roman"/>
          <w:sz w:val="24"/>
          <w:szCs w:val="24"/>
        </w:rPr>
        <w:t xml:space="preserve">; </w:t>
      </w:r>
    </w:p>
    <w:p w:rsidR="00CF42CF" w:rsidRPr="00F82BDF" w:rsidRDefault="005015AC"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gyventojų skaičiaus pokytis</w:t>
      </w:r>
      <w:r w:rsidR="00CF42CF" w:rsidRPr="00F82BDF">
        <w:rPr>
          <w:rFonts w:ascii="Times New Roman" w:hAnsi="Times New Roman" w:cs="Times New Roman"/>
          <w:sz w:val="24"/>
          <w:szCs w:val="24"/>
        </w:rPr>
        <w:t xml:space="preserve">; </w:t>
      </w:r>
    </w:p>
    <w:p w:rsidR="00CF42CF" w:rsidRPr="00F82BDF" w:rsidRDefault="000E4217"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t</w:t>
      </w:r>
      <w:r w:rsidR="005015AC" w:rsidRPr="00F82BDF">
        <w:rPr>
          <w:rFonts w:ascii="Times New Roman" w:hAnsi="Times New Roman" w:cs="Times New Roman"/>
          <w:sz w:val="24"/>
          <w:szCs w:val="24"/>
        </w:rPr>
        <w:t>ransporto įvykiuose patirtų traumų skaičius</w:t>
      </w:r>
      <w:r w:rsidR="00CF42CF" w:rsidRPr="00F82BDF">
        <w:rPr>
          <w:rFonts w:ascii="Times New Roman" w:hAnsi="Times New Roman" w:cs="Times New Roman"/>
          <w:sz w:val="24"/>
          <w:szCs w:val="24"/>
        </w:rPr>
        <w:t xml:space="preserve">; </w:t>
      </w:r>
    </w:p>
    <w:p w:rsidR="00CF42CF" w:rsidRPr="00F82BDF" w:rsidRDefault="000E4217"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w:t>
      </w:r>
      <w:r w:rsidR="005015AC" w:rsidRPr="00F82BDF">
        <w:rPr>
          <w:rFonts w:ascii="Times New Roman" w:hAnsi="Times New Roman" w:cs="Times New Roman"/>
          <w:sz w:val="24"/>
          <w:szCs w:val="24"/>
        </w:rPr>
        <w:t>okyklinio amžiaus vaikų, nesimokančių mokyklose, skaičius</w:t>
      </w:r>
      <w:r w:rsidR="00CF42CF" w:rsidRPr="00F82BDF">
        <w:rPr>
          <w:rFonts w:ascii="Times New Roman" w:hAnsi="Times New Roman" w:cs="Times New Roman"/>
          <w:sz w:val="24"/>
          <w:szCs w:val="24"/>
        </w:rPr>
        <w:t xml:space="preserve">; </w:t>
      </w:r>
    </w:p>
    <w:p w:rsidR="00CF42CF" w:rsidRPr="00F82BDF" w:rsidRDefault="000E4217"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nusikalstomos veiklos, susijusios su disponavimu narkotinėmis medžiagomis ir jų kontrabanda (nusikaltimai).</w:t>
      </w:r>
    </w:p>
    <w:p w:rsidR="00CF42CF" w:rsidRPr="00F82BDF" w:rsidRDefault="00CF42CF" w:rsidP="00AC2A42">
      <w:pPr>
        <w:spacing w:after="0" w:line="360" w:lineRule="auto"/>
        <w:ind w:firstLine="851"/>
        <w:jc w:val="both"/>
        <w:rPr>
          <w:rFonts w:ascii="Times New Roman" w:hAnsi="Times New Roman" w:cs="Times New Roman"/>
          <w:sz w:val="24"/>
          <w:szCs w:val="24"/>
        </w:rPr>
      </w:pPr>
      <w:r w:rsidRPr="00F82BDF">
        <w:rPr>
          <w:rFonts w:ascii="Times New Roman" w:hAnsi="Times New Roman" w:cs="Times New Roman"/>
          <w:sz w:val="24"/>
          <w:szCs w:val="24"/>
        </w:rPr>
        <w:t>D</w:t>
      </w:r>
      <w:r w:rsidR="00AC2A42" w:rsidRPr="00F82BDF">
        <w:rPr>
          <w:rFonts w:ascii="Times New Roman" w:hAnsi="Times New Roman" w:cs="Times New Roman"/>
          <w:sz w:val="24"/>
          <w:szCs w:val="24"/>
        </w:rPr>
        <w:t>alis rodiklių reikšmės patenka į</w:t>
      </w:r>
      <w:r w:rsidRPr="00F82BDF">
        <w:rPr>
          <w:rFonts w:ascii="Times New Roman" w:hAnsi="Times New Roman" w:cs="Times New Roman"/>
          <w:sz w:val="24"/>
          <w:szCs w:val="24"/>
        </w:rPr>
        <w:t xml:space="preserve"> prasčiausių savivaldybių </w:t>
      </w:r>
      <w:proofErr w:type="spellStart"/>
      <w:r w:rsidRPr="00F82BDF">
        <w:rPr>
          <w:rFonts w:ascii="Times New Roman" w:hAnsi="Times New Roman" w:cs="Times New Roman"/>
          <w:sz w:val="24"/>
          <w:szCs w:val="24"/>
        </w:rPr>
        <w:t>kvintilių</w:t>
      </w:r>
      <w:proofErr w:type="spellEnd"/>
      <w:r w:rsidRPr="00F82BDF">
        <w:rPr>
          <w:rFonts w:ascii="Times New Roman" w:hAnsi="Times New Roman" w:cs="Times New Roman"/>
          <w:sz w:val="24"/>
          <w:szCs w:val="24"/>
        </w:rPr>
        <w:t xml:space="preserve"> grupę (</w:t>
      </w:r>
      <w:r w:rsidRPr="00F82BDF">
        <w:rPr>
          <w:rFonts w:ascii="Times New Roman" w:hAnsi="Times New Roman" w:cs="Times New Roman"/>
          <w:b/>
          <w:color w:val="C00000"/>
          <w:sz w:val="24"/>
          <w:szCs w:val="24"/>
        </w:rPr>
        <w:t>raudonoji zona</w:t>
      </w:r>
      <w:r w:rsidRPr="00F82BDF">
        <w:rPr>
          <w:rFonts w:ascii="Times New Roman" w:hAnsi="Times New Roman" w:cs="Times New Roman"/>
          <w:sz w:val="24"/>
          <w:szCs w:val="24"/>
        </w:rPr>
        <w:t>):</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w:t>
      </w:r>
      <w:r w:rsidR="00F82BDF" w:rsidRPr="00F82BDF">
        <w:rPr>
          <w:rFonts w:ascii="Times New Roman" w:hAnsi="Times New Roman" w:cs="Times New Roman"/>
          <w:sz w:val="24"/>
          <w:szCs w:val="24"/>
        </w:rPr>
        <w:t>irtingumo/standartizuoto mirtingumo</w:t>
      </w:r>
      <w:r w:rsidRPr="00F82BDF">
        <w:rPr>
          <w:rFonts w:ascii="Times New Roman" w:hAnsi="Times New Roman" w:cs="Times New Roman"/>
          <w:sz w:val="24"/>
          <w:szCs w:val="24"/>
        </w:rPr>
        <w:t xml:space="preserve"> dėl priežasčių, susijusių </w:t>
      </w:r>
      <w:r w:rsidR="003E62DB" w:rsidRPr="00F82BDF">
        <w:rPr>
          <w:rFonts w:ascii="Times New Roman" w:hAnsi="Times New Roman" w:cs="Times New Roman"/>
          <w:sz w:val="24"/>
          <w:szCs w:val="24"/>
        </w:rPr>
        <w:t>su narkotikų vartojimu</w:t>
      </w:r>
      <w:r w:rsidRPr="00F82BDF">
        <w:rPr>
          <w:rFonts w:ascii="Times New Roman" w:hAnsi="Times New Roman" w:cs="Times New Roman"/>
          <w:sz w:val="24"/>
          <w:szCs w:val="24"/>
        </w:rPr>
        <w:t>;</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mirtingum</w:t>
      </w:r>
      <w:r w:rsidR="00F82BDF" w:rsidRPr="00F82BDF">
        <w:rPr>
          <w:rFonts w:ascii="Times New Roman" w:hAnsi="Times New Roman" w:cs="Times New Roman"/>
          <w:sz w:val="24"/>
          <w:szCs w:val="24"/>
        </w:rPr>
        <w:t>o/standartizuoto mirtingumo</w:t>
      </w:r>
      <w:r w:rsidRPr="00F82BDF">
        <w:rPr>
          <w:rFonts w:ascii="Times New Roman" w:hAnsi="Times New Roman" w:cs="Times New Roman"/>
          <w:sz w:val="24"/>
          <w:szCs w:val="24"/>
        </w:rPr>
        <w:t xml:space="preserve"> dėl a</w:t>
      </w:r>
      <w:r w:rsidR="003E62DB" w:rsidRPr="00F82BDF">
        <w:rPr>
          <w:rFonts w:ascii="Times New Roman" w:hAnsi="Times New Roman" w:cs="Times New Roman"/>
          <w:sz w:val="24"/>
          <w:szCs w:val="24"/>
        </w:rPr>
        <w:t>tsitiktinio paskendimo</w:t>
      </w:r>
      <w:r w:rsidRPr="00F82BDF">
        <w:rPr>
          <w:rFonts w:ascii="Times New Roman" w:hAnsi="Times New Roman" w:cs="Times New Roman"/>
          <w:sz w:val="24"/>
          <w:szCs w:val="24"/>
        </w:rPr>
        <w:t>;</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w:t>
      </w:r>
      <w:r w:rsidR="00F82BDF" w:rsidRPr="00F82BDF">
        <w:rPr>
          <w:rFonts w:ascii="Times New Roman" w:hAnsi="Times New Roman" w:cs="Times New Roman"/>
          <w:sz w:val="24"/>
          <w:szCs w:val="24"/>
        </w:rPr>
        <w:t>irtingumo/standartizuoto mirtingumo</w:t>
      </w:r>
      <w:r w:rsidRPr="00F82BDF">
        <w:rPr>
          <w:rFonts w:ascii="Times New Roman" w:hAnsi="Times New Roman" w:cs="Times New Roman"/>
          <w:sz w:val="24"/>
          <w:szCs w:val="24"/>
        </w:rPr>
        <w:t xml:space="preserve"> nuo</w:t>
      </w:r>
      <w:r w:rsidR="003E62DB" w:rsidRPr="00F82BDF">
        <w:rPr>
          <w:rFonts w:ascii="Times New Roman" w:hAnsi="Times New Roman" w:cs="Times New Roman"/>
          <w:sz w:val="24"/>
          <w:szCs w:val="24"/>
        </w:rPr>
        <w:t xml:space="preserve"> </w:t>
      </w:r>
      <w:proofErr w:type="spellStart"/>
      <w:r w:rsidR="003E62DB" w:rsidRPr="00F82BDF">
        <w:rPr>
          <w:rFonts w:ascii="Times New Roman" w:hAnsi="Times New Roman" w:cs="Times New Roman"/>
          <w:sz w:val="24"/>
          <w:szCs w:val="24"/>
        </w:rPr>
        <w:t>cerebrovaskulinių</w:t>
      </w:r>
      <w:proofErr w:type="spellEnd"/>
      <w:r w:rsidR="003E62DB" w:rsidRPr="00F82BDF">
        <w:rPr>
          <w:rFonts w:ascii="Times New Roman" w:hAnsi="Times New Roman" w:cs="Times New Roman"/>
          <w:sz w:val="24"/>
          <w:szCs w:val="24"/>
        </w:rPr>
        <w:t xml:space="preserve"> ligų</w:t>
      </w:r>
      <w:r w:rsidRPr="00F82BDF">
        <w:rPr>
          <w:rFonts w:ascii="Times New Roman" w:hAnsi="Times New Roman" w:cs="Times New Roman"/>
          <w:sz w:val="24"/>
          <w:szCs w:val="24"/>
        </w:rPr>
        <w:t>;</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sergamumas vaistams atsparia tuberkulioze;</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mirtingumas/standartizuotas mirtingumas dėl išorinių priežasčių;</w:t>
      </w:r>
    </w:p>
    <w:p w:rsidR="000E4217" w:rsidRPr="00F82BDF" w:rsidRDefault="000E4217" w:rsidP="00AC2A42">
      <w:pPr>
        <w:pStyle w:val="Sraopastraipa"/>
        <w:numPr>
          <w:ilvl w:val="0"/>
          <w:numId w:val="3"/>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 xml:space="preserve">asmenų žuvusių ar sunkiai sužalotų </w:t>
      </w:r>
      <w:r w:rsidR="00AC2A42" w:rsidRPr="00F82BDF">
        <w:rPr>
          <w:rFonts w:ascii="Times New Roman" w:hAnsi="Times New Roman" w:cs="Times New Roman"/>
          <w:sz w:val="24"/>
          <w:szCs w:val="24"/>
        </w:rPr>
        <w:t xml:space="preserve">dėl nelaimingų atsitikimų darbe </w:t>
      </w:r>
      <w:r w:rsidRPr="00F82BDF">
        <w:rPr>
          <w:rFonts w:ascii="Times New Roman" w:hAnsi="Times New Roman" w:cs="Times New Roman"/>
          <w:sz w:val="24"/>
          <w:szCs w:val="24"/>
        </w:rPr>
        <w:t>ir k</w:t>
      </w:r>
      <w:r w:rsidR="00AC2A42" w:rsidRPr="00F82BDF">
        <w:rPr>
          <w:rFonts w:ascii="Times New Roman" w:hAnsi="Times New Roman" w:cs="Times New Roman"/>
          <w:sz w:val="24"/>
          <w:szCs w:val="24"/>
        </w:rPr>
        <w:t>i</w:t>
      </w:r>
      <w:r w:rsidRPr="00F82BDF">
        <w:rPr>
          <w:rFonts w:ascii="Times New Roman" w:hAnsi="Times New Roman" w:cs="Times New Roman"/>
          <w:sz w:val="24"/>
          <w:szCs w:val="24"/>
        </w:rPr>
        <w:t>t</w:t>
      </w:r>
      <w:r w:rsidR="00AC2A42" w:rsidRPr="00F82BDF">
        <w:rPr>
          <w:rFonts w:ascii="Times New Roman" w:hAnsi="Times New Roman" w:cs="Times New Roman"/>
          <w:sz w:val="24"/>
          <w:szCs w:val="24"/>
        </w:rPr>
        <w:t>i rodikliai</w:t>
      </w:r>
      <w:r w:rsidRPr="00F82BDF">
        <w:rPr>
          <w:rFonts w:ascii="Times New Roman" w:hAnsi="Times New Roman" w:cs="Times New Roman"/>
          <w:sz w:val="24"/>
          <w:szCs w:val="24"/>
        </w:rPr>
        <w:t>.</w:t>
      </w:r>
    </w:p>
    <w:p w:rsidR="00CF42CF" w:rsidRPr="00F82BDF" w:rsidRDefault="0080028F" w:rsidP="00AC2A42">
      <w:pPr>
        <w:pStyle w:val="Sraopastraipa"/>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Didžioji dalis</w:t>
      </w:r>
      <w:r w:rsidR="00CF42CF" w:rsidRPr="00F82BDF">
        <w:rPr>
          <w:rFonts w:ascii="Times New Roman" w:hAnsi="Times New Roman" w:cs="Times New Roman"/>
          <w:sz w:val="24"/>
          <w:szCs w:val="24"/>
        </w:rPr>
        <w:t xml:space="preserve"> </w:t>
      </w:r>
      <w:r w:rsidRPr="00F82BDF">
        <w:rPr>
          <w:rFonts w:ascii="Times New Roman" w:hAnsi="Times New Roman" w:cs="Times New Roman"/>
          <w:sz w:val="24"/>
          <w:szCs w:val="24"/>
        </w:rPr>
        <w:t>Molėtų r</w:t>
      </w:r>
      <w:r w:rsidR="009C2A33">
        <w:rPr>
          <w:rFonts w:ascii="Times New Roman" w:hAnsi="Times New Roman" w:cs="Times New Roman"/>
          <w:sz w:val="24"/>
          <w:szCs w:val="24"/>
        </w:rPr>
        <w:t>.</w:t>
      </w:r>
      <w:r w:rsidRPr="00F82BDF">
        <w:rPr>
          <w:rFonts w:ascii="Times New Roman" w:hAnsi="Times New Roman" w:cs="Times New Roman"/>
          <w:sz w:val="24"/>
          <w:szCs w:val="24"/>
        </w:rPr>
        <w:t xml:space="preserve"> rodiklių reikšmių</w:t>
      </w:r>
      <w:r w:rsidR="00CF42CF" w:rsidRPr="00F82BDF">
        <w:rPr>
          <w:rFonts w:ascii="Times New Roman" w:hAnsi="Times New Roman" w:cs="Times New Roman"/>
          <w:sz w:val="24"/>
          <w:szCs w:val="24"/>
        </w:rPr>
        <w:t xml:space="preserve"> patenka į Lietuvos vidurkių atitinkančią </w:t>
      </w:r>
      <w:proofErr w:type="spellStart"/>
      <w:r w:rsidR="00CF42CF" w:rsidRPr="00F82BDF">
        <w:rPr>
          <w:rFonts w:ascii="Times New Roman" w:hAnsi="Times New Roman" w:cs="Times New Roman"/>
          <w:sz w:val="24"/>
          <w:szCs w:val="24"/>
        </w:rPr>
        <w:t>kvintilių</w:t>
      </w:r>
      <w:proofErr w:type="spellEnd"/>
      <w:r w:rsidR="00CF42CF" w:rsidRPr="00F82BDF">
        <w:rPr>
          <w:rFonts w:ascii="Times New Roman" w:hAnsi="Times New Roman" w:cs="Times New Roman"/>
          <w:sz w:val="24"/>
          <w:szCs w:val="24"/>
        </w:rPr>
        <w:t xml:space="preserve"> grupę (</w:t>
      </w:r>
      <w:r w:rsidR="00CF42CF" w:rsidRPr="00F82BDF">
        <w:rPr>
          <w:rFonts w:ascii="Times New Roman" w:hAnsi="Times New Roman" w:cs="Times New Roman"/>
          <w:b/>
          <w:color w:val="FFC000"/>
          <w:sz w:val="24"/>
          <w:szCs w:val="24"/>
        </w:rPr>
        <w:t>geltonoji zona</w:t>
      </w:r>
      <w:r w:rsidR="00CF42CF" w:rsidRPr="00F82BDF">
        <w:rPr>
          <w:rFonts w:ascii="Times New Roman" w:hAnsi="Times New Roman" w:cs="Times New Roman"/>
          <w:sz w:val="24"/>
          <w:szCs w:val="24"/>
        </w:rPr>
        <w:t>), tačiau į juos taip pat reikėtų atkreipti dėmesį:</w:t>
      </w:r>
    </w:p>
    <w:p w:rsidR="00CF42CF" w:rsidRPr="00F82BDF" w:rsidRDefault="00CF42CF"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 xml:space="preserve">socialinės rizikos šeimų skaičius; </w:t>
      </w:r>
    </w:p>
    <w:p w:rsidR="00CF42CF" w:rsidRPr="00F82BDF" w:rsidRDefault="00CF42CF"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 xml:space="preserve">mirtingumas/standartizuotas mirtingumas dėl </w:t>
      </w:r>
      <w:r w:rsidR="003E62DB" w:rsidRPr="00F82BDF">
        <w:rPr>
          <w:rFonts w:ascii="Times New Roman" w:hAnsi="Times New Roman" w:cs="Times New Roman"/>
          <w:sz w:val="24"/>
          <w:szCs w:val="24"/>
        </w:rPr>
        <w:t>transporto įvykių</w:t>
      </w:r>
      <w:r w:rsidRPr="00F82BDF">
        <w:rPr>
          <w:rFonts w:ascii="Times New Roman" w:hAnsi="Times New Roman" w:cs="Times New Roman"/>
          <w:sz w:val="24"/>
          <w:szCs w:val="24"/>
        </w:rPr>
        <w:t xml:space="preserve">; </w:t>
      </w:r>
    </w:p>
    <w:p w:rsidR="0080028F" w:rsidRPr="00F82BDF" w:rsidRDefault="0080028F"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ilgalaikis nedarbo lygis;</w:t>
      </w:r>
    </w:p>
    <w:p w:rsidR="00CF42CF" w:rsidRPr="00F82BDF" w:rsidRDefault="0080028F" w:rsidP="00AC2A42">
      <w:pPr>
        <w:pStyle w:val="Sraopastraipa"/>
        <w:numPr>
          <w:ilvl w:val="0"/>
          <w:numId w:val="2"/>
        </w:numPr>
        <w:spacing w:after="0"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mokinių gaunanč</w:t>
      </w:r>
      <w:r w:rsidR="00AC2A42" w:rsidRPr="00F82BDF">
        <w:rPr>
          <w:rFonts w:ascii="Times New Roman" w:hAnsi="Times New Roman" w:cs="Times New Roman"/>
          <w:sz w:val="24"/>
          <w:szCs w:val="24"/>
        </w:rPr>
        <w:t xml:space="preserve">ių nemokamą maitinimą mokyklose </w:t>
      </w:r>
      <w:r w:rsidRPr="00F82BDF">
        <w:rPr>
          <w:rFonts w:ascii="Times New Roman" w:hAnsi="Times New Roman" w:cs="Times New Roman"/>
          <w:sz w:val="24"/>
          <w:szCs w:val="24"/>
        </w:rPr>
        <w:t>ir k</w:t>
      </w:r>
      <w:r w:rsidR="00AC2A42" w:rsidRPr="00F82BDF">
        <w:rPr>
          <w:rFonts w:ascii="Times New Roman" w:hAnsi="Times New Roman" w:cs="Times New Roman"/>
          <w:sz w:val="24"/>
          <w:szCs w:val="24"/>
        </w:rPr>
        <w:t>i</w:t>
      </w:r>
      <w:r w:rsidRPr="00F82BDF">
        <w:rPr>
          <w:rFonts w:ascii="Times New Roman" w:hAnsi="Times New Roman" w:cs="Times New Roman"/>
          <w:sz w:val="24"/>
          <w:szCs w:val="24"/>
        </w:rPr>
        <w:t>t</w:t>
      </w:r>
      <w:r w:rsidR="00AC2A42" w:rsidRPr="00F82BDF">
        <w:rPr>
          <w:rFonts w:ascii="Times New Roman" w:hAnsi="Times New Roman" w:cs="Times New Roman"/>
          <w:sz w:val="24"/>
          <w:szCs w:val="24"/>
        </w:rPr>
        <w:t>i rodikliai</w:t>
      </w:r>
      <w:r w:rsidRPr="00F82BDF">
        <w:rPr>
          <w:rFonts w:ascii="Times New Roman" w:hAnsi="Times New Roman" w:cs="Times New Roman"/>
          <w:sz w:val="24"/>
          <w:szCs w:val="24"/>
        </w:rPr>
        <w:t>.</w:t>
      </w:r>
    </w:p>
    <w:p w:rsidR="004411F2" w:rsidRPr="00F82BDF" w:rsidRDefault="004411F2" w:rsidP="004411F2">
      <w:pPr>
        <w:pStyle w:val="Sraopastraipa"/>
        <w:spacing w:after="0" w:line="360" w:lineRule="auto"/>
        <w:ind w:left="851"/>
        <w:jc w:val="both"/>
        <w:rPr>
          <w:rFonts w:ascii="Times New Roman" w:hAnsi="Times New Roman" w:cs="Times New Roman"/>
          <w:sz w:val="24"/>
          <w:szCs w:val="24"/>
        </w:rPr>
      </w:pPr>
    </w:p>
    <w:p w:rsidR="009C2A33" w:rsidRDefault="009C2A33" w:rsidP="004B2207">
      <w:pPr>
        <w:pStyle w:val="Sraopastraipa"/>
        <w:spacing w:line="360" w:lineRule="auto"/>
        <w:ind w:left="0" w:firstLine="851"/>
        <w:jc w:val="both"/>
        <w:rPr>
          <w:rFonts w:ascii="Times New Roman" w:hAnsi="Times New Roman" w:cs="Times New Roman"/>
          <w:sz w:val="24"/>
          <w:szCs w:val="24"/>
        </w:rPr>
      </w:pPr>
    </w:p>
    <w:p w:rsidR="00CF42CF" w:rsidRPr="00F82BDF" w:rsidRDefault="00102451" w:rsidP="004B2207">
      <w:pPr>
        <w:pStyle w:val="Sraopastraipa"/>
        <w:spacing w:line="360" w:lineRule="auto"/>
        <w:ind w:left="0" w:firstLine="851"/>
        <w:jc w:val="both"/>
        <w:rPr>
          <w:rFonts w:ascii="Times New Roman" w:hAnsi="Times New Roman" w:cs="Times New Roman"/>
          <w:sz w:val="24"/>
          <w:szCs w:val="24"/>
        </w:rPr>
      </w:pPr>
      <w:r w:rsidRPr="00F82BDF">
        <w:rPr>
          <w:rFonts w:ascii="Times New Roman" w:hAnsi="Times New Roman" w:cs="Times New Roman"/>
          <w:sz w:val="24"/>
          <w:szCs w:val="24"/>
        </w:rPr>
        <w:t>Mi</w:t>
      </w:r>
      <w:r w:rsidR="004B2207" w:rsidRPr="00F82BDF">
        <w:rPr>
          <w:rFonts w:ascii="Times New Roman" w:hAnsi="Times New Roman" w:cs="Times New Roman"/>
          <w:sz w:val="24"/>
          <w:szCs w:val="24"/>
        </w:rPr>
        <w:t xml:space="preserve">rtingumo statistika reikšminga, </w:t>
      </w:r>
      <w:r w:rsidRPr="00F82BDF">
        <w:rPr>
          <w:rFonts w:ascii="Times New Roman" w:hAnsi="Times New Roman" w:cs="Times New Roman"/>
          <w:sz w:val="24"/>
          <w:szCs w:val="24"/>
        </w:rPr>
        <w:t xml:space="preserve">nes ji rodo bendrą gyventojų sveikatos būklę, sveikatos priežiūros veiksmingumą ir kokybę, sveikatos netolygumus bei sveikatos priežiūros </w:t>
      </w:r>
      <w:r w:rsidR="006D5DB4" w:rsidRPr="00F82BDF">
        <w:rPr>
          <w:rFonts w:ascii="Times New Roman" w:hAnsi="Times New Roman" w:cs="Times New Roman"/>
          <w:sz w:val="24"/>
          <w:szCs w:val="24"/>
        </w:rPr>
        <w:t xml:space="preserve">prieinamumą. </w:t>
      </w:r>
      <w:r w:rsidR="00F82BDF">
        <w:rPr>
          <w:rFonts w:ascii="Times New Roman" w:hAnsi="Times New Roman" w:cs="Times New Roman"/>
          <w:sz w:val="24"/>
          <w:szCs w:val="24"/>
        </w:rPr>
        <w:t xml:space="preserve">2014 m. </w:t>
      </w:r>
      <w:r w:rsidR="006D5DB4" w:rsidRPr="00F82BDF">
        <w:rPr>
          <w:rFonts w:ascii="Times New Roman" w:hAnsi="Times New Roman" w:cs="Times New Roman"/>
          <w:sz w:val="24"/>
          <w:szCs w:val="24"/>
        </w:rPr>
        <w:t>Molėtų r.</w:t>
      </w:r>
      <w:r w:rsidRPr="00F82BDF">
        <w:rPr>
          <w:rFonts w:ascii="Times New Roman" w:hAnsi="Times New Roman" w:cs="Times New Roman"/>
          <w:sz w:val="24"/>
          <w:szCs w:val="24"/>
        </w:rPr>
        <w:t xml:space="preserve"> savivaldybėje </w:t>
      </w:r>
      <w:r w:rsidR="006D5DB4" w:rsidRPr="00F82BDF">
        <w:rPr>
          <w:rFonts w:ascii="Times New Roman" w:hAnsi="Times New Roman" w:cs="Times New Roman"/>
          <w:sz w:val="24"/>
          <w:szCs w:val="24"/>
        </w:rPr>
        <w:t xml:space="preserve">standartizuotas </w:t>
      </w:r>
      <w:r w:rsidRPr="00F82BDF">
        <w:rPr>
          <w:rFonts w:ascii="Times New Roman" w:hAnsi="Times New Roman" w:cs="Times New Roman"/>
          <w:sz w:val="24"/>
          <w:szCs w:val="24"/>
        </w:rPr>
        <w:t xml:space="preserve">mirtingumas </w:t>
      </w:r>
      <w:r w:rsidR="004B2207" w:rsidRPr="00F82BDF">
        <w:rPr>
          <w:rFonts w:ascii="Times New Roman" w:hAnsi="Times New Roman" w:cs="Times New Roman"/>
          <w:sz w:val="24"/>
          <w:szCs w:val="24"/>
        </w:rPr>
        <w:t>–</w:t>
      </w:r>
      <w:r w:rsidRPr="00F82BDF">
        <w:rPr>
          <w:rFonts w:ascii="Times New Roman" w:hAnsi="Times New Roman" w:cs="Times New Roman"/>
          <w:sz w:val="24"/>
          <w:szCs w:val="24"/>
        </w:rPr>
        <w:t xml:space="preserve"> vienas didžiausių, lyginant su ki</w:t>
      </w:r>
      <w:r w:rsidR="00F82BDF">
        <w:rPr>
          <w:rFonts w:ascii="Times New Roman" w:hAnsi="Times New Roman" w:cs="Times New Roman"/>
          <w:sz w:val="24"/>
          <w:szCs w:val="24"/>
        </w:rPr>
        <w:t xml:space="preserve">tomis </w:t>
      </w:r>
      <w:r w:rsidR="00F82BDF">
        <w:rPr>
          <w:rFonts w:ascii="Times New Roman" w:hAnsi="Times New Roman" w:cs="Times New Roman"/>
          <w:sz w:val="24"/>
          <w:szCs w:val="24"/>
        </w:rPr>
        <w:lastRenderedPageBreak/>
        <w:t>šalies savivaldybėmis</w:t>
      </w:r>
      <w:r w:rsidRPr="00F82BDF">
        <w:rPr>
          <w:rFonts w:ascii="Times New Roman" w:hAnsi="Times New Roman" w:cs="Times New Roman"/>
          <w:sz w:val="24"/>
          <w:szCs w:val="24"/>
        </w:rPr>
        <w:t xml:space="preserve">. </w:t>
      </w:r>
      <w:r w:rsidR="006D5DB4" w:rsidRPr="00F82BDF">
        <w:rPr>
          <w:rFonts w:ascii="Times New Roman" w:hAnsi="Times New Roman" w:cs="Times New Roman"/>
          <w:sz w:val="24"/>
          <w:szCs w:val="24"/>
        </w:rPr>
        <w:t>Siekiant detaliau išsiaiškinti galimas tokio didelio mirtingumo ro</w:t>
      </w:r>
      <w:r w:rsidR="004B2207" w:rsidRPr="00F82BDF">
        <w:rPr>
          <w:rFonts w:ascii="Times New Roman" w:hAnsi="Times New Roman" w:cs="Times New Roman"/>
          <w:sz w:val="24"/>
          <w:szCs w:val="24"/>
        </w:rPr>
        <w:t>diklių priežastis, buvo atlikta</w:t>
      </w:r>
      <w:r w:rsidR="006D5DB4" w:rsidRPr="00F82BDF">
        <w:rPr>
          <w:rFonts w:ascii="Times New Roman" w:hAnsi="Times New Roman" w:cs="Times New Roman"/>
          <w:sz w:val="24"/>
          <w:szCs w:val="24"/>
        </w:rPr>
        <w:t xml:space="preserve"> detalizuoto standartizuoto mirtingumo pagal pagrindines mirties priežastis</w:t>
      </w:r>
      <w:r w:rsidR="004B2207" w:rsidRPr="00F82BDF">
        <w:rPr>
          <w:rFonts w:ascii="Times New Roman" w:hAnsi="Times New Roman" w:cs="Times New Roman"/>
          <w:sz w:val="24"/>
          <w:szCs w:val="24"/>
        </w:rPr>
        <w:t xml:space="preserve"> analizė</w:t>
      </w:r>
      <w:r w:rsidR="006D5DB4" w:rsidRPr="00F82BDF">
        <w:rPr>
          <w:rFonts w:ascii="Times New Roman" w:hAnsi="Times New Roman" w:cs="Times New Roman"/>
          <w:sz w:val="24"/>
          <w:szCs w:val="24"/>
        </w:rPr>
        <w:t xml:space="preserve"> (skleidimas pagal mirt</w:t>
      </w:r>
      <w:r w:rsidR="004B2207" w:rsidRPr="00F82BDF">
        <w:rPr>
          <w:rFonts w:ascii="Times New Roman" w:hAnsi="Times New Roman" w:cs="Times New Roman"/>
          <w:sz w:val="24"/>
          <w:szCs w:val="24"/>
        </w:rPr>
        <w:t>ies priežastis),</w:t>
      </w:r>
      <w:r w:rsidR="006D5DB4" w:rsidRPr="00F82BDF">
        <w:rPr>
          <w:rFonts w:ascii="Times New Roman" w:hAnsi="Times New Roman" w:cs="Times New Roman"/>
          <w:sz w:val="24"/>
          <w:szCs w:val="24"/>
        </w:rPr>
        <w:t xml:space="preserve"> </w:t>
      </w:r>
      <w:r w:rsidR="00D97D8A" w:rsidRPr="00F82BDF">
        <w:rPr>
          <w:rFonts w:ascii="Times New Roman" w:hAnsi="Times New Roman" w:cs="Times New Roman"/>
          <w:sz w:val="24"/>
          <w:szCs w:val="24"/>
        </w:rPr>
        <w:t>Molėtų</w:t>
      </w:r>
      <w:r w:rsidR="006D5DB4" w:rsidRPr="00F82BDF">
        <w:rPr>
          <w:rFonts w:ascii="Times New Roman" w:hAnsi="Times New Roman" w:cs="Times New Roman"/>
          <w:sz w:val="24"/>
          <w:szCs w:val="24"/>
        </w:rPr>
        <w:t xml:space="preserve"> r. rodiklių palyginimas su Lietuvos vidurkiu ir šio santykio interpretavimas. Žalia spalva pavaizduotas mirtingumo rodiklis, kurio reikšmė yra mažesnė už Lietuvos vidurkį, raudona – kai reikšmė yra didesnė už Lietuvos vidurkį, o geltona - kai mirtingumo rod</w:t>
      </w:r>
      <w:r w:rsidR="00D97D8A" w:rsidRPr="00F82BDF">
        <w:rPr>
          <w:rFonts w:ascii="Times New Roman" w:hAnsi="Times New Roman" w:cs="Times New Roman"/>
          <w:sz w:val="24"/>
          <w:szCs w:val="24"/>
        </w:rPr>
        <w:t>iklis atitinka Lietuvos vidurkį (žr. 1 pav.).</w:t>
      </w:r>
    </w:p>
    <w:p w:rsidR="00CF42CF" w:rsidRDefault="00CF42CF" w:rsidP="006D5DB4">
      <w:pPr>
        <w:pStyle w:val="Sraopastraipa"/>
        <w:ind w:left="0"/>
      </w:pPr>
    </w:p>
    <w:p w:rsidR="0020327A" w:rsidRDefault="0020327A" w:rsidP="006D5DB4">
      <w:pPr>
        <w:pStyle w:val="Sraopastraipa"/>
        <w:ind w:left="0"/>
      </w:pPr>
      <w:r>
        <w:rPr>
          <w:noProof/>
          <w:lang w:eastAsia="lt-LT"/>
        </w:rPr>
        <w:drawing>
          <wp:inline distT="0" distB="0" distL="0" distR="0" wp14:anchorId="23705F07">
            <wp:extent cx="5931673" cy="399155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1" t="15730" r="24660" b="8769"/>
                    <a:stretch/>
                  </pic:blipFill>
                  <pic:spPr bwMode="auto">
                    <a:xfrm>
                      <a:off x="0" y="0"/>
                      <a:ext cx="5936751" cy="3994972"/>
                    </a:xfrm>
                    <a:prstGeom prst="rect">
                      <a:avLst/>
                    </a:prstGeom>
                    <a:noFill/>
                    <a:ln>
                      <a:noFill/>
                    </a:ln>
                    <a:extLst>
                      <a:ext uri="{53640926-AAD7-44D8-BBD7-CCE9431645EC}">
                        <a14:shadowObscured xmlns:a14="http://schemas.microsoft.com/office/drawing/2010/main"/>
                      </a:ext>
                    </a:extLst>
                  </pic:spPr>
                </pic:pic>
              </a:graphicData>
            </a:graphic>
          </wp:inline>
        </w:drawing>
      </w:r>
    </w:p>
    <w:p w:rsidR="00AC2A42" w:rsidRPr="00AC2A42" w:rsidRDefault="00AC2A42" w:rsidP="00AC2A42">
      <w:pPr>
        <w:pStyle w:val="Sraopastraipa"/>
        <w:ind w:left="-284"/>
        <w:jc w:val="center"/>
        <w:rPr>
          <w:rFonts w:ascii="Times New Roman" w:hAnsi="Times New Roman" w:cs="Times New Roman"/>
          <w:b/>
          <w:sz w:val="24"/>
          <w:szCs w:val="24"/>
        </w:rPr>
      </w:pPr>
      <w:r w:rsidRPr="00AC2A42">
        <w:rPr>
          <w:rFonts w:ascii="Times New Roman" w:hAnsi="Times New Roman" w:cs="Times New Roman"/>
          <w:b/>
          <w:sz w:val="24"/>
          <w:szCs w:val="24"/>
        </w:rPr>
        <w:t>1 pav. Standartizuotas mirtingumas pagal mirties priežastis 100000 gyv. Molėtų r. sav. palyginimas su Lietuvos vidurkiu. Lietuva=1. 2014 metais</w:t>
      </w:r>
    </w:p>
    <w:p w:rsidR="00CF42CF" w:rsidRPr="00AF3B3F" w:rsidRDefault="00AF3B3F" w:rsidP="00AF3B3F">
      <w:pPr>
        <w:ind w:left="720"/>
        <w:contextualSpacing/>
        <w:rPr>
          <w:rFonts w:ascii="Times New Roman" w:hAnsi="Times New Roman" w:cs="Times New Roman"/>
          <w:i/>
          <w:sz w:val="24"/>
          <w:szCs w:val="24"/>
        </w:rPr>
      </w:pPr>
      <w:r w:rsidRPr="00AF3B3F">
        <w:rPr>
          <w:rFonts w:ascii="Times New Roman" w:hAnsi="Times New Roman" w:cs="Times New Roman"/>
          <w:i/>
          <w:sz w:val="24"/>
          <w:szCs w:val="24"/>
        </w:rPr>
        <w:t>Šaltinis: HISIC.</w:t>
      </w:r>
    </w:p>
    <w:p w:rsidR="00CF42CF" w:rsidRPr="00AC2A42" w:rsidRDefault="00D97D8A" w:rsidP="00AC2A42">
      <w:pPr>
        <w:pStyle w:val="Sraopastraipa"/>
        <w:ind w:left="0" w:firstLine="851"/>
        <w:rPr>
          <w:rFonts w:ascii="Times New Roman" w:hAnsi="Times New Roman" w:cs="Times New Roman"/>
          <w:sz w:val="24"/>
          <w:szCs w:val="24"/>
        </w:rPr>
      </w:pPr>
      <w:r w:rsidRPr="00AC2A42">
        <w:rPr>
          <w:rFonts w:ascii="Times New Roman" w:hAnsi="Times New Roman" w:cs="Times New Roman"/>
          <w:sz w:val="24"/>
          <w:szCs w:val="24"/>
        </w:rPr>
        <w:t xml:space="preserve">Kaip matyti </w:t>
      </w:r>
      <w:r w:rsidR="00080290" w:rsidRPr="00AC2A42">
        <w:rPr>
          <w:rFonts w:ascii="Times New Roman" w:hAnsi="Times New Roman" w:cs="Times New Roman"/>
          <w:sz w:val="24"/>
          <w:szCs w:val="24"/>
        </w:rPr>
        <w:t>iš aukščiau pateikto paveiksl</w:t>
      </w:r>
      <w:r w:rsidRPr="00AC2A42">
        <w:rPr>
          <w:rFonts w:ascii="Times New Roman" w:hAnsi="Times New Roman" w:cs="Times New Roman"/>
          <w:sz w:val="24"/>
          <w:szCs w:val="24"/>
        </w:rPr>
        <w:t xml:space="preserve">o </w:t>
      </w:r>
      <w:r w:rsidR="00AC2A42" w:rsidRPr="00AC2A42">
        <w:rPr>
          <w:rFonts w:ascii="Times New Roman" w:hAnsi="Times New Roman" w:cs="Times New Roman"/>
          <w:sz w:val="24"/>
          <w:szCs w:val="24"/>
        </w:rPr>
        <w:t xml:space="preserve">Molėtų r. sav. </w:t>
      </w:r>
      <w:r w:rsidRPr="00AC2A42">
        <w:rPr>
          <w:rFonts w:ascii="Times New Roman" w:hAnsi="Times New Roman" w:cs="Times New Roman"/>
          <w:sz w:val="24"/>
          <w:szCs w:val="24"/>
        </w:rPr>
        <w:t xml:space="preserve">didžiausias mirtingumas buvo nuo narkotikų sąlygotų priežasčių, dėl paskendimų bei nuo </w:t>
      </w:r>
      <w:proofErr w:type="spellStart"/>
      <w:r w:rsidRPr="00AC2A42">
        <w:rPr>
          <w:rFonts w:ascii="Times New Roman" w:hAnsi="Times New Roman" w:cs="Times New Roman"/>
          <w:sz w:val="24"/>
          <w:szCs w:val="24"/>
        </w:rPr>
        <w:t>cerebrovaskulinių</w:t>
      </w:r>
      <w:proofErr w:type="spellEnd"/>
      <w:r w:rsidRPr="00AC2A42">
        <w:rPr>
          <w:rFonts w:ascii="Times New Roman" w:hAnsi="Times New Roman" w:cs="Times New Roman"/>
          <w:sz w:val="24"/>
          <w:szCs w:val="24"/>
        </w:rPr>
        <w:t xml:space="preserve"> ligų.</w:t>
      </w:r>
    </w:p>
    <w:p w:rsidR="00D97D8A" w:rsidRDefault="00D97D8A" w:rsidP="00CF42CF">
      <w:pPr>
        <w:pStyle w:val="Sraopastraipa"/>
      </w:pPr>
    </w:p>
    <w:p w:rsidR="00CF42CF" w:rsidRDefault="00CF42CF" w:rsidP="00CF42CF">
      <w:pPr>
        <w:pStyle w:val="Sraopastraipa"/>
      </w:pPr>
    </w:p>
    <w:p w:rsidR="00AC2A42" w:rsidRDefault="00AC2A42" w:rsidP="00CF42CF">
      <w:pPr>
        <w:pStyle w:val="Sraopastraipa"/>
      </w:pPr>
    </w:p>
    <w:p w:rsidR="00711AAE" w:rsidRDefault="00711AAE" w:rsidP="009C2A33">
      <w:pPr>
        <w:spacing w:after="0" w:line="360" w:lineRule="auto"/>
      </w:pPr>
    </w:p>
    <w:p w:rsidR="009C2A33" w:rsidRPr="009C2A33" w:rsidRDefault="009C2A33" w:rsidP="009C2A33">
      <w:pPr>
        <w:spacing w:after="0" w:line="360" w:lineRule="auto"/>
        <w:rPr>
          <w:rFonts w:ascii="Times New Roman" w:hAnsi="Times New Roman" w:cs="Times New Roman"/>
          <w:b/>
          <w:sz w:val="24"/>
          <w:szCs w:val="24"/>
          <w:u w:val="single"/>
        </w:rPr>
      </w:pPr>
    </w:p>
    <w:p w:rsidR="00D97D8A" w:rsidRPr="00281132" w:rsidRDefault="00281132" w:rsidP="00A9302A">
      <w:pPr>
        <w:pStyle w:val="Sraopastraipa"/>
        <w:spacing w:after="0" w:line="360" w:lineRule="auto"/>
        <w:ind w:left="0" w:firstLine="851"/>
        <w:jc w:val="center"/>
        <w:rPr>
          <w:rFonts w:ascii="Times New Roman" w:hAnsi="Times New Roman" w:cs="Times New Roman"/>
          <w:b/>
          <w:sz w:val="24"/>
          <w:szCs w:val="24"/>
          <w:u w:val="single"/>
        </w:rPr>
      </w:pPr>
      <w:r w:rsidRPr="00281132">
        <w:rPr>
          <w:rFonts w:ascii="Times New Roman" w:hAnsi="Times New Roman" w:cs="Times New Roman"/>
          <w:b/>
          <w:sz w:val="24"/>
          <w:szCs w:val="24"/>
          <w:u w:val="single"/>
        </w:rPr>
        <w:t>Išsamesnei</w:t>
      </w:r>
      <w:r w:rsidR="00D97D8A" w:rsidRPr="00281132">
        <w:rPr>
          <w:rFonts w:ascii="Times New Roman" w:hAnsi="Times New Roman" w:cs="Times New Roman"/>
          <w:b/>
          <w:sz w:val="24"/>
          <w:szCs w:val="24"/>
          <w:u w:val="single"/>
        </w:rPr>
        <w:t xml:space="preserve"> analizei, kaip prioritetinės sveikatos problemos, pasirinkti šie rodikliai:</w:t>
      </w:r>
    </w:p>
    <w:p w:rsidR="00D97D8A" w:rsidRPr="00E45382" w:rsidRDefault="00D97D8A" w:rsidP="00A9302A">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Molėtų r</w:t>
      </w:r>
      <w:r w:rsidR="009C2A33">
        <w:rPr>
          <w:rFonts w:ascii="Times New Roman" w:hAnsi="Times New Roman" w:cs="Times New Roman"/>
          <w:sz w:val="24"/>
          <w:szCs w:val="24"/>
        </w:rPr>
        <w:t>.</w:t>
      </w:r>
      <w:r>
        <w:rPr>
          <w:rFonts w:ascii="Times New Roman" w:hAnsi="Times New Roman" w:cs="Times New Roman"/>
          <w:sz w:val="24"/>
          <w:szCs w:val="24"/>
        </w:rPr>
        <w:t xml:space="preserve"> gyventojų mirtingumas/standartizuotas mirtingumas dėl priežasčių, susijusių su narkotikų vartojimu rodiklis (detali </w:t>
      </w:r>
      <w:r w:rsidRPr="00AC2A42">
        <w:rPr>
          <w:rFonts w:ascii="Times New Roman" w:hAnsi="Times New Roman" w:cs="Times New Roman"/>
          <w:sz w:val="24"/>
          <w:szCs w:val="24"/>
        </w:rPr>
        <w:t>analizė apims raudonosios zonos rodiklį</w:t>
      </w:r>
      <w:r w:rsidR="00AC2A42">
        <w:rPr>
          <w:rFonts w:ascii="Times New Roman" w:hAnsi="Times New Roman" w:cs="Times New Roman"/>
          <w:sz w:val="24"/>
          <w:szCs w:val="24"/>
        </w:rPr>
        <w:t xml:space="preserve"> mirtingumas/standartizuotas mirtingumas dėl priežasčių, susijusių su narkotikų vartojimu rodiklis)</w:t>
      </w:r>
      <w:r w:rsidR="00A9302A">
        <w:rPr>
          <w:rFonts w:ascii="Times New Roman" w:hAnsi="Times New Roman" w:cs="Times New Roman"/>
          <w:sz w:val="24"/>
          <w:szCs w:val="24"/>
        </w:rPr>
        <w:t>.</w:t>
      </w:r>
    </w:p>
    <w:p w:rsidR="00D97D8A" w:rsidRDefault="009C2A33" w:rsidP="009C2A33">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Molėtų </w:t>
      </w:r>
      <w:r w:rsidR="00D97D8A">
        <w:rPr>
          <w:rFonts w:ascii="Times New Roman" w:hAnsi="Times New Roman" w:cs="Times New Roman"/>
          <w:sz w:val="24"/>
          <w:szCs w:val="24"/>
        </w:rPr>
        <w:t>r</w:t>
      </w:r>
      <w:r>
        <w:rPr>
          <w:rFonts w:ascii="Times New Roman" w:hAnsi="Times New Roman" w:cs="Times New Roman"/>
          <w:sz w:val="24"/>
          <w:szCs w:val="24"/>
        </w:rPr>
        <w:t xml:space="preserve">. </w:t>
      </w:r>
      <w:r w:rsidR="00D97D8A">
        <w:rPr>
          <w:rFonts w:ascii="Times New Roman" w:hAnsi="Times New Roman" w:cs="Times New Roman"/>
          <w:sz w:val="24"/>
          <w:szCs w:val="24"/>
        </w:rPr>
        <w:t xml:space="preserve">gyventojų mirtingumas/standartizuotas mirtingumas dėl atsitiktinio paskendimo rodiklis (detali analizė </w:t>
      </w:r>
      <w:r w:rsidR="00A9302A">
        <w:rPr>
          <w:rFonts w:ascii="Times New Roman" w:hAnsi="Times New Roman" w:cs="Times New Roman"/>
          <w:sz w:val="24"/>
          <w:szCs w:val="24"/>
        </w:rPr>
        <w:t>apims raudonosios zonos rodiklį mirtingumas/standartizuotas mirtingumas dėl atsitiktinio paskendimo rodiklis).</w:t>
      </w:r>
    </w:p>
    <w:p w:rsidR="00A9302A" w:rsidRPr="00602ACE" w:rsidRDefault="00D97D8A" w:rsidP="00602ACE">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Molėtų</w:t>
      </w:r>
      <w:r w:rsidRPr="00410D6B">
        <w:rPr>
          <w:rFonts w:ascii="Times New Roman" w:hAnsi="Times New Roman" w:cs="Times New Roman"/>
          <w:sz w:val="24"/>
          <w:szCs w:val="24"/>
        </w:rPr>
        <w:t xml:space="preserve"> r</w:t>
      </w:r>
      <w:r w:rsidR="009C2A33">
        <w:rPr>
          <w:rFonts w:ascii="Times New Roman" w:hAnsi="Times New Roman" w:cs="Times New Roman"/>
          <w:sz w:val="24"/>
          <w:szCs w:val="24"/>
        </w:rPr>
        <w:t xml:space="preserve">. </w:t>
      </w:r>
      <w:r w:rsidRPr="00410D6B">
        <w:rPr>
          <w:rFonts w:ascii="Times New Roman" w:hAnsi="Times New Roman" w:cs="Times New Roman"/>
          <w:sz w:val="24"/>
          <w:szCs w:val="24"/>
        </w:rPr>
        <w:t xml:space="preserve"> gyve</w:t>
      </w:r>
      <w:r>
        <w:rPr>
          <w:rFonts w:ascii="Times New Roman" w:hAnsi="Times New Roman" w:cs="Times New Roman"/>
          <w:sz w:val="24"/>
          <w:szCs w:val="24"/>
        </w:rPr>
        <w:t xml:space="preserve">ntojų mirtingumas/standartizuotas mirtingumas nuo </w:t>
      </w:r>
      <w:proofErr w:type="spellStart"/>
      <w:r>
        <w:rPr>
          <w:rFonts w:ascii="Times New Roman" w:hAnsi="Times New Roman" w:cs="Times New Roman"/>
          <w:sz w:val="24"/>
          <w:szCs w:val="24"/>
        </w:rPr>
        <w:t>cerebrovaskulinių</w:t>
      </w:r>
      <w:proofErr w:type="spellEnd"/>
      <w:r>
        <w:rPr>
          <w:rFonts w:ascii="Times New Roman" w:hAnsi="Times New Roman" w:cs="Times New Roman"/>
          <w:sz w:val="24"/>
          <w:szCs w:val="24"/>
        </w:rPr>
        <w:t xml:space="preserve"> ligų (detali analizė apims raudonosios zonos rodiklius: mirtingumas/ standartizuotas mirtingumas nuo </w:t>
      </w:r>
      <w:proofErr w:type="spellStart"/>
      <w:r>
        <w:rPr>
          <w:rFonts w:ascii="Times New Roman" w:hAnsi="Times New Roman" w:cs="Times New Roman"/>
          <w:sz w:val="24"/>
          <w:szCs w:val="24"/>
        </w:rPr>
        <w:t>cerebrovuskalinių</w:t>
      </w:r>
      <w:proofErr w:type="spellEnd"/>
      <w:r>
        <w:rPr>
          <w:rFonts w:ascii="Times New Roman" w:hAnsi="Times New Roman" w:cs="Times New Roman"/>
          <w:sz w:val="24"/>
          <w:szCs w:val="24"/>
        </w:rPr>
        <w:t xml:space="preserve"> ligų).</w:t>
      </w:r>
    </w:p>
    <w:p w:rsidR="00281132" w:rsidRDefault="00281132" w:rsidP="00A9302A">
      <w:pPr>
        <w:spacing w:line="360" w:lineRule="auto"/>
        <w:ind w:firstLine="851"/>
        <w:jc w:val="center"/>
        <w:rPr>
          <w:rFonts w:ascii="Times New Roman" w:hAnsi="Times New Roman" w:cs="Times New Roman"/>
          <w:b/>
          <w:sz w:val="28"/>
          <w:szCs w:val="28"/>
        </w:rPr>
      </w:pPr>
    </w:p>
    <w:p w:rsidR="00CF42CF" w:rsidRPr="00281132" w:rsidRDefault="009C2A33" w:rsidP="00FE56FF">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2</w:t>
      </w:r>
      <w:r w:rsidR="00CF42CF" w:rsidRPr="00281132">
        <w:rPr>
          <w:rFonts w:ascii="Times New Roman" w:hAnsi="Times New Roman" w:cs="Times New Roman"/>
          <w:b/>
          <w:sz w:val="28"/>
          <w:szCs w:val="28"/>
        </w:rPr>
        <w:t>. SPECIALIOJI DALIS</w:t>
      </w:r>
    </w:p>
    <w:p w:rsidR="009E2116" w:rsidRPr="00281132" w:rsidRDefault="00A6052E" w:rsidP="00FE56FF">
      <w:pPr>
        <w:spacing w:line="360" w:lineRule="auto"/>
        <w:ind w:firstLine="426"/>
        <w:jc w:val="center"/>
        <w:rPr>
          <w:rFonts w:ascii="Times New Roman" w:hAnsi="Times New Roman" w:cs="Times New Roman"/>
          <w:b/>
          <w:sz w:val="28"/>
          <w:szCs w:val="28"/>
        </w:rPr>
      </w:pPr>
      <w:r w:rsidRPr="00281132">
        <w:rPr>
          <w:rFonts w:ascii="Times New Roman" w:hAnsi="Times New Roman" w:cs="Times New Roman"/>
          <w:b/>
          <w:sz w:val="28"/>
          <w:szCs w:val="28"/>
        </w:rPr>
        <w:t>ATRINKTŲ RODIKLIŲ DETALI ANALIZĖ IR INTERPRETAVIMAS</w:t>
      </w:r>
    </w:p>
    <w:p w:rsidR="00A6052E" w:rsidRPr="00E06D54" w:rsidRDefault="00FE56FF" w:rsidP="00FE56FF">
      <w:pPr>
        <w:tabs>
          <w:tab w:val="left" w:pos="993"/>
        </w:tabs>
        <w:spacing w:line="360" w:lineRule="auto"/>
        <w:ind w:left="-142" w:hanging="142"/>
        <w:jc w:val="center"/>
        <w:rPr>
          <w:rFonts w:ascii="Times New Roman" w:hAnsi="Times New Roman" w:cs="Times New Roman"/>
          <w:b/>
          <w:sz w:val="28"/>
          <w:szCs w:val="28"/>
        </w:rPr>
      </w:pPr>
      <w:r>
        <w:rPr>
          <w:rFonts w:ascii="Times New Roman" w:hAnsi="Times New Roman" w:cs="Times New Roman"/>
          <w:b/>
          <w:sz w:val="28"/>
          <w:szCs w:val="28"/>
        </w:rPr>
        <w:t>2</w:t>
      </w:r>
      <w:r w:rsidRPr="00E06D54">
        <w:rPr>
          <w:rFonts w:ascii="Times New Roman" w:hAnsi="Times New Roman" w:cs="Times New Roman"/>
          <w:b/>
          <w:sz w:val="28"/>
          <w:szCs w:val="28"/>
        </w:rPr>
        <w:t>.1. MOLĖTŲ RAJONO GYVENTOJŲ MIRTINGUMAS/STANDARTIZUOTAS MIRTINGUMAS DĖL PRIEŽASČIŲ, SUSIJUSIŲ SU NARKOTIKŲ VARTOJIMU RODIKLIS</w:t>
      </w:r>
    </w:p>
    <w:p w:rsidR="00A9302A" w:rsidRDefault="00CF4B44" w:rsidP="00A9302A">
      <w:pPr>
        <w:spacing w:line="360" w:lineRule="auto"/>
        <w:ind w:firstLine="851"/>
        <w:contextualSpacing/>
        <w:jc w:val="both"/>
        <w:rPr>
          <w:rFonts w:ascii="Times New Roman" w:hAnsi="Times New Roman" w:cs="Times New Roman"/>
          <w:sz w:val="24"/>
          <w:szCs w:val="24"/>
        </w:rPr>
      </w:pPr>
      <w:r w:rsidRPr="00CF4B44">
        <w:rPr>
          <w:rFonts w:ascii="Times New Roman" w:hAnsi="Times New Roman" w:cs="Times New Roman"/>
          <w:sz w:val="24"/>
          <w:szCs w:val="24"/>
        </w:rPr>
        <w:t xml:space="preserve">Didelio mirtingumo rodiklio dėl priežasčių susijusių su narkotikų vartojimu analizė savivaldybėje būtina įgyvendinant  LSP tikslo </w:t>
      </w:r>
      <w:r w:rsidRPr="00A9302A">
        <w:rPr>
          <w:rFonts w:ascii="Times New Roman" w:hAnsi="Times New Roman" w:cs="Times New Roman"/>
          <w:i/>
          <w:sz w:val="24"/>
          <w:szCs w:val="24"/>
        </w:rPr>
        <w:t>„Formuoti sveiką gyvenseną ir jos kultūrą“</w:t>
      </w:r>
      <w:r w:rsidRPr="00CF4B44">
        <w:rPr>
          <w:rFonts w:ascii="Times New Roman" w:hAnsi="Times New Roman" w:cs="Times New Roman"/>
          <w:sz w:val="24"/>
          <w:szCs w:val="24"/>
        </w:rPr>
        <w:t xml:space="preserve"> uždavinį </w:t>
      </w:r>
      <w:r w:rsidRPr="00A9302A">
        <w:rPr>
          <w:rFonts w:ascii="Times New Roman" w:hAnsi="Times New Roman" w:cs="Times New Roman"/>
          <w:i/>
          <w:sz w:val="24"/>
          <w:szCs w:val="24"/>
        </w:rPr>
        <w:t>„Sumažinti alkoholinių gėrimų, tabako vartojimą, neteisėtą narkotinių ir psichotropinių medžiagų vartojimą ir prieinamumą“</w:t>
      </w:r>
      <w:r w:rsidRPr="00CF4B44">
        <w:rPr>
          <w:rFonts w:ascii="Times New Roman" w:hAnsi="Times New Roman" w:cs="Times New Roman"/>
          <w:sz w:val="24"/>
          <w:szCs w:val="24"/>
        </w:rPr>
        <w:t xml:space="preserve"> bei ieškant šios problemos pri</w:t>
      </w:r>
      <w:r w:rsidR="00A9302A">
        <w:rPr>
          <w:rFonts w:ascii="Times New Roman" w:hAnsi="Times New Roman" w:cs="Times New Roman"/>
          <w:sz w:val="24"/>
          <w:szCs w:val="24"/>
        </w:rPr>
        <w:t>ežasčių bei jos sprendimo būdų.</w:t>
      </w:r>
    </w:p>
    <w:p w:rsidR="00D74CAF" w:rsidRPr="00A9302A" w:rsidRDefault="00330B55" w:rsidP="00A9302A">
      <w:pPr>
        <w:spacing w:line="360" w:lineRule="auto"/>
        <w:ind w:firstLine="851"/>
        <w:contextualSpacing/>
        <w:jc w:val="both"/>
        <w:rPr>
          <w:rFonts w:ascii="Times New Roman" w:hAnsi="Times New Roman" w:cs="Times New Roman"/>
          <w:sz w:val="24"/>
          <w:szCs w:val="24"/>
        </w:rPr>
      </w:pPr>
      <w:r w:rsidRPr="00F32430">
        <w:rPr>
          <w:rFonts w:ascii="Times New Roman" w:hAnsi="Times New Roman" w:cs="Times New Roman"/>
          <w:sz w:val="24"/>
          <w:szCs w:val="24"/>
        </w:rPr>
        <w:t xml:space="preserve">Neteisėtas narkotikų vartojimas sukelia psichikos ir elgesio sutrikimus, atsitiktinius ir tyčinius apsinuodijimus bei kitus sveikatos pavojus. </w:t>
      </w:r>
      <w:r w:rsidR="004A7E79">
        <w:rPr>
          <w:rFonts w:ascii="Times New Roman" w:hAnsi="Times New Roman" w:cs="Times New Roman"/>
          <w:sz w:val="24"/>
          <w:szCs w:val="24"/>
        </w:rPr>
        <w:t>Nors mirtingumo dėl priežasčių, susijusių su narkotikų vartojimu atvejų skaičius yra mažas (Molėtų r. –</w:t>
      </w:r>
      <w:r w:rsidR="00A9302A">
        <w:rPr>
          <w:rFonts w:ascii="Times New Roman" w:hAnsi="Times New Roman" w:cs="Times New Roman"/>
          <w:sz w:val="24"/>
          <w:szCs w:val="24"/>
        </w:rPr>
        <w:t xml:space="preserve"> 2</w:t>
      </w:r>
      <w:r w:rsidR="004A7E79">
        <w:rPr>
          <w:rFonts w:ascii="Times New Roman" w:hAnsi="Times New Roman" w:cs="Times New Roman"/>
          <w:sz w:val="24"/>
          <w:szCs w:val="24"/>
        </w:rPr>
        <w:t>, o Lietuvoje – 107 atvejai), tačiau s</w:t>
      </w:r>
      <w:r w:rsidR="00274119">
        <w:rPr>
          <w:rFonts w:ascii="Times New Roman" w:hAnsi="Times New Roman" w:cs="Times New Roman"/>
          <w:sz w:val="24"/>
          <w:szCs w:val="24"/>
        </w:rPr>
        <w:t xml:space="preserve">tandartizuotas mirtingumo </w:t>
      </w:r>
      <w:r w:rsidR="004A7E79">
        <w:rPr>
          <w:rFonts w:ascii="Times New Roman" w:hAnsi="Times New Roman" w:cs="Times New Roman"/>
          <w:sz w:val="24"/>
          <w:szCs w:val="24"/>
        </w:rPr>
        <w:t xml:space="preserve">rodiklis </w:t>
      </w:r>
      <w:r w:rsidR="00274119">
        <w:rPr>
          <w:rFonts w:ascii="Times New Roman" w:hAnsi="Times New Roman" w:cs="Times New Roman"/>
          <w:sz w:val="24"/>
          <w:szCs w:val="24"/>
        </w:rPr>
        <w:t xml:space="preserve">dėl </w:t>
      </w:r>
      <w:r w:rsidR="004A7E79">
        <w:rPr>
          <w:rFonts w:ascii="Times New Roman" w:hAnsi="Times New Roman" w:cs="Times New Roman"/>
          <w:sz w:val="24"/>
          <w:szCs w:val="24"/>
        </w:rPr>
        <w:t xml:space="preserve">šių priežasčių viršija daugiau nei 4 kartus Lietuvos rodiklį. </w:t>
      </w:r>
      <w:r w:rsidR="00274119">
        <w:rPr>
          <w:rFonts w:ascii="Times New Roman" w:hAnsi="Times New Roman" w:cs="Times New Roman"/>
          <w:sz w:val="24"/>
          <w:szCs w:val="24"/>
        </w:rPr>
        <w:t xml:space="preserve">Molėtų r. po </w:t>
      </w:r>
      <w:r w:rsidR="005055AC">
        <w:rPr>
          <w:rFonts w:ascii="Times New Roman" w:hAnsi="Times New Roman" w:cs="Times New Roman"/>
          <w:sz w:val="24"/>
          <w:szCs w:val="24"/>
        </w:rPr>
        <w:t>metų pe</w:t>
      </w:r>
      <w:r w:rsidR="00080290">
        <w:rPr>
          <w:rFonts w:ascii="Times New Roman" w:hAnsi="Times New Roman" w:cs="Times New Roman"/>
          <w:sz w:val="24"/>
          <w:szCs w:val="24"/>
        </w:rPr>
        <w:t>rtraukos padidėjo iki 14,99/100</w:t>
      </w:r>
      <w:r w:rsidR="005055AC">
        <w:rPr>
          <w:rFonts w:ascii="Times New Roman" w:hAnsi="Times New Roman" w:cs="Times New Roman"/>
          <w:sz w:val="24"/>
          <w:szCs w:val="24"/>
        </w:rPr>
        <w:t>000 gyv.</w:t>
      </w:r>
      <w:r w:rsidR="000B3232">
        <w:rPr>
          <w:rFonts w:ascii="Times New Roman" w:hAnsi="Times New Roman" w:cs="Times New Roman"/>
          <w:sz w:val="24"/>
          <w:szCs w:val="24"/>
        </w:rPr>
        <w:t xml:space="preserve"> 2014 m.</w:t>
      </w:r>
      <w:r w:rsidR="005055AC">
        <w:rPr>
          <w:rFonts w:ascii="Times New Roman" w:hAnsi="Times New Roman" w:cs="Times New Roman"/>
          <w:sz w:val="24"/>
          <w:szCs w:val="24"/>
        </w:rPr>
        <w:t>, Lietuvoje įvyko analogiškas pokytis nuo 2,14/10</w:t>
      </w:r>
      <w:r w:rsidR="00080290">
        <w:rPr>
          <w:rFonts w:ascii="Times New Roman" w:hAnsi="Times New Roman" w:cs="Times New Roman"/>
          <w:sz w:val="24"/>
          <w:szCs w:val="24"/>
        </w:rPr>
        <w:t>0 000 gyv. 2013 m. iki 3,28/100</w:t>
      </w:r>
      <w:r w:rsidR="005055AC">
        <w:rPr>
          <w:rFonts w:ascii="Times New Roman" w:hAnsi="Times New Roman" w:cs="Times New Roman"/>
          <w:sz w:val="24"/>
          <w:szCs w:val="24"/>
        </w:rPr>
        <w:t>000 gyv.</w:t>
      </w:r>
      <w:r w:rsidR="000B3232">
        <w:rPr>
          <w:rFonts w:ascii="Times New Roman" w:hAnsi="Times New Roman" w:cs="Times New Roman"/>
          <w:sz w:val="24"/>
          <w:szCs w:val="24"/>
        </w:rPr>
        <w:t xml:space="preserve"> 2014 m.</w:t>
      </w:r>
      <w:r w:rsidR="005055AC">
        <w:rPr>
          <w:rFonts w:ascii="Times New Roman" w:hAnsi="Times New Roman" w:cs="Times New Roman"/>
          <w:sz w:val="24"/>
          <w:szCs w:val="24"/>
        </w:rPr>
        <w:t>) (žr. 2 pav.).</w:t>
      </w:r>
    </w:p>
    <w:p w:rsidR="00D74CAF" w:rsidRDefault="00274119" w:rsidP="00FD458B">
      <w:pPr>
        <w:ind w:left="-142" w:hanging="142"/>
        <w:rPr>
          <w:rFonts w:ascii="Times New Roman" w:hAnsi="Times New Roman" w:cs="Times New Roman"/>
          <w:b/>
          <w:sz w:val="24"/>
          <w:szCs w:val="24"/>
        </w:rPr>
      </w:pPr>
      <w:r>
        <w:rPr>
          <w:noProof/>
          <w:lang w:eastAsia="lt-LT"/>
        </w:rPr>
        <w:lastRenderedPageBreak/>
        <w:drawing>
          <wp:inline distT="0" distB="0" distL="0" distR="0" wp14:anchorId="4D494180" wp14:editId="0E62B77A">
            <wp:extent cx="5934075" cy="269557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5AC" w:rsidRDefault="005055AC" w:rsidP="005055AC">
      <w:pPr>
        <w:ind w:firstLine="709"/>
        <w:rPr>
          <w:rFonts w:ascii="Times New Roman" w:hAnsi="Times New Roman" w:cs="Times New Roman"/>
          <w:b/>
          <w:sz w:val="24"/>
          <w:szCs w:val="24"/>
        </w:rPr>
      </w:pPr>
      <w:r w:rsidRPr="000B3232">
        <w:rPr>
          <w:rFonts w:ascii="Times New Roman" w:hAnsi="Times New Roman" w:cs="Times New Roman"/>
          <w:b/>
          <w:sz w:val="24"/>
          <w:szCs w:val="24"/>
        </w:rPr>
        <w:t>2 pav. Standartizuotas mirtingumo dėl priežasčių, susijusių su narkotikų vartojimu rodiklis</w:t>
      </w:r>
      <w:r w:rsidR="000B3232">
        <w:rPr>
          <w:rFonts w:ascii="Times New Roman" w:hAnsi="Times New Roman" w:cs="Times New Roman"/>
          <w:b/>
          <w:sz w:val="24"/>
          <w:szCs w:val="24"/>
        </w:rPr>
        <w:t xml:space="preserve"> 100</w:t>
      </w:r>
      <w:r w:rsidRPr="000B3232">
        <w:rPr>
          <w:rFonts w:ascii="Times New Roman" w:hAnsi="Times New Roman" w:cs="Times New Roman"/>
          <w:b/>
          <w:sz w:val="24"/>
          <w:szCs w:val="24"/>
        </w:rPr>
        <w:t xml:space="preserve">000 gyv. </w:t>
      </w:r>
      <w:r w:rsidR="00A9302A" w:rsidRPr="000B3232">
        <w:rPr>
          <w:rFonts w:ascii="Times New Roman" w:hAnsi="Times New Roman" w:cs="Times New Roman"/>
          <w:b/>
          <w:sz w:val="24"/>
          <w:szCs w:val="24"/>
        </w:rPr>
        <w:t xml:space="preserve">Molėtų r. </w:t>
      </w:r>
      <w:r w:rsidR="00A9302A">
        <w:rPr>
          <w:rFonts w:ascii="Times New Roman" w:hAnsi="Times New Roman" w:cs="Times New Roman"/>
          <w:b/>
          <w:sz w:val="24"/>
          <w:szCs w:val="24"/>
        </w:rPr>
        <w:t>ir Lietuvoje</w:t>
      </w:r>
      <w:r w:rsidRPr="000B3232">
        <w:rPr>
          <w:rFonts w:ascii="Times New Roman" w:hAnsi="Times New Roman" w:cs="Times New Roman"/>
          <w:b/>
          <w:sz w:val="24"/>
          <w:szCs w:val="24"/>
        </w:rPr>
        <w:t xml:space="preserve"> </w:t>
      </w:r>
      <w:r w:rsidR="00AB4FFA" w:rsidRPr="000B3232">
        <w:rPr>
          <w:rFonts w:ascii="Times New Roman" w:hAnsi="Times New Roman" w:cs="Times New Roman"/>
          <w:b/>
          <w:sz w:val="24"/>
          <w:szCs w:val="24"/>
        </w:rPr>
        <w:t>2005</w:t>
      </w:r>
      <w:r w:rsidRPr="000B3232">
        <w:rPr>
          <w:rFonts w:ascii="Times New Roman" w:hAnsi="Times New Roman" w:cs="Times New Roman"/>
          <w:b/>
          <w:sz w:val="24"/>
          <w:szCs w:val="24"/>
        </w:rPr>
        <w:t>-2014 metais</w:t>
      </w:r>
    </w:p>
    <w:p w:rsidR="00AF3B3F" w:rsidRPr="00AF3B3F" w:rsidRDefault="00AF3B3F" w:rsidP="00AF3B3F">
      <w:pPr>
        <w:ind w:left="720"/>
        <w:contextualSpacing/>
        <w:rPr>
          <w:rFonts w:ascii="Times New Roman" w:hAnsi="Times New Roman" w:cs="Times New Roman"/>
          <w:i/>
          <w:sz w:val="24"/>
          <w:szCs w:val="24"/>
        </w:rPr>
      </w:pPr>
      <w:r w:rsidRPr="00AF3B3F">
        <w:rPr>
          <w:rFonts w:ascii="Times New Roman" w:hAnsi="Times New Roman" w:cs="Times New Roman"/>
          <w:i/>
          <w:sz w:val="24"/>
          <w:szCs w:val="24"/>
        </w:rPr>
        <w:t>Šaltinis: HISIC.</w:t>
      </w:r>
    </w:p>
    <w:p w:rsidR="00AF3B3F" w:rsidRDefault="005055AC" w:rsidP="00711AAE">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Mirtingumas </w:t>
      </w:r>
      <w:r w:rsidR="007504CE">
        <w:rPr>
          <w:rFonts w:ascii="Times New Roman" w:hAnsi="Times New Roman" w:cs="Times New Roman"/>
          <w:sz w:val="24"/>
          <w:szCs w:val="24"/>
        </w:rPr>
        <w:t xml:space="preserve">Molėtų r. 2011 m. – 2014 m. </w:t>
      </w:r>
      <w:r>
        <w:rPr>
          <w:rFonts w:ascii="Times New Roman" w:hAnsi="Times New Roman" w:cs="Times New Roman"/>
          <w:sz w:val="24"/>
          <w:szCs w:val="24"/>
        </w:rPr>
        <w:t>nuo narkotikų sąlygotų priežasčių buvo fiksuotas tik tarp vyrų</w:t>
      </w:r>
      <w:r w:rsidR="007504CE">
        <w:rPr>
          <w:rFonts w:ascii="Times New Roman" w:hAnsi="Times New Roman" w:cs="Times New Roman"/>
          <w:sz w:val="24"/>
          <w:szCs w:val="24"/>
        </w:rPr>
        <w:t>, kurių amžiaus vidurkis</w:t>
      </w:r>
      <w:r w:rsidR="00A214C5">
        <w:rPr>
          <w:rFonts w:ascii="Times New Roman" w:hAnsi="Times New Roman" w:cs="Times New Roman"/>
          <w:sz w:val="24"/>
          <w:szCs w:val="24"/>
        </w:rPr>
        <w:t xml:space="preserve"> - 40 metų</w:t>
      </w:r>
      <w:r w:rsidR="00AF3B3F">
        <w:rPr>
          <w:rFonts w:ascii="Times New Roman" w:hAnsi="Times New Roman" w:cs="Times New Roman"/>
          <w:sz w:val="24"/>
          <w:szCs w:val="24"/>
        </w:rPr>
        <w:t xml:space="preserve"> (jauniausias buvo 30 m., vyriausias</w:t>
      </w:r>
      <w:r w:rsidR="000B3232">
        <w:rPr>
          <w:rFonts w:ascii="Times New Roman" w:hAnsi="Times New Roman" w:cs="Times New Roman"/>
          <w:sz w:val="24"/>
          <w:szCs w:val="24"/>
        </w:rPr>
        <w:t xml:space="preserve"> – </w:t>
      </w:r>
    </w:p>
    <w:p w:rsidR="005055AC" w:rsidRDefault="000B3232" w:rsidP="00711AA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55 m.</w:t>
      </w:r>
      <w:r w:rsidR="00AF3B3F">
        <w:rPr>
          <w:rFonts w:ascii="Times New Roman" w:hAnsi="Times New Roman" w:cs="Times New Roman"/>
          <w:sz w:val="24"/>
          <w:szCs w:val="24"/>
        </w:rPr>
        <w:t xml:space="preserve"> amžiaus</w:t>
      </w:r>
      <w:r>
        <w:rPr>
          <w:rFonts w:ascii="Times New Roman" w:hAnsi="Times New Roman" w:cs="Times New Roman"/>
          <w:sz w:val="24"/>
          <w:szCs w:val="24"/>
        </w:rPr>
        <w:t>)</w:t>
      </w:r>
      <w:r w:rsidR="005055AC">
        <w:rPr>
          <w:rFonts w:ascii="Times New Roman" w:hAnsi="Times New Roman" w:cs="Times New Roman"/>
          <w:sz w:val="24"/>
          <w:szCs w:val="24"/>
        </w:rPr>
        <w:t>.</w:t>
      </w:r>
    </w:p>
    <w:p w:rsidR="002166DD" w:rsidRDefault="002166DD" w:rsidP="00AF3B3F">
      <w:pPr>
        <w:spacing w:line="360" w:lineRule="auto"/>
        <w:ind w:firstLine="851"/>
        <w:contextualSpacing/>
        <w:jc w:val="both"/>
        <w:rPr>
          <w:rFonts w:ascii="Times New Roman" w:hAnsi="Times New Roman" w:cs="Times New Roman"/>
          <w:sz w:val="24"/>
          <w:szCs w:val="24"/>
        </w:rPr>
      </w:pPr>
      <w:r w:rsidRPr="002166DD">
        <w:rPr>
          <w:rFonts w:ascii="Times New Roman" w:hAnsi="Times New Roman" w:cs="Times New Roman"/>
          <w:sz w:val="24"/>
          <w:szCs w:val="24"/>
        </w:rPr>
        <w:t xml:space="preserve">Iš žemiau esančio paveikslo (standartizuoto mirtingumo </w:t>
      </w:r>
      <w:r w:rsidR="00D97D8A" w:rsidRPr="00D97D8A">
        <w:rPr>
          <w:rFonts w:ascii="Times New Roman" w:hAnsi="Times New Roman" w:cs="Times New Roman"/>
          <w:sz w:val="24"/>
          <w:szCs w:val="24"/>
        </w:rPr>
        <w:t>dėl priežasčių susijusių su narkotikų vartojimu</w:t>
      </w:r>
      <w:r w:rsidRPr="002166DD">
        <w:rPr>
          <w:rFonts w:ascii="Times New Roman" w:hAnsi="Times New Roman" w:cs="Times New Roman"/>
          <w:sz w:val="24"/>
          <w:szCs w:val="24"/>
        </w:rPr>
        <w:t xml:space="preserve"> Lietuvos savivaldybėse palyginimo žemėlapio)</w:t>
      </w:r>
      <w:r w:rsidR="00AF3B3F">
        <w:rPr>
          <w:rFonts w:ascii="Times New Roman" w:hAnsi="Times New Roman" w:cs="Times New Roman"/>
          <w:sz w:val="24"/>
          <w:szCs w:val="24"/>
        </w:rPr>
        <w:t xml:space="preserve"> (žr. 3</w:t>
      </w:r>
      <w:r w:rsidRPr="002166DD">
        <w:rPr>
          <w:rFonts w:ascii="Times New Roman" w:hAnsi="Times New Roman" w:cs="Times New Roman"/>
          <w:sz w:val="24"/>
          <w:szCs w:val="24"/>
        </w:rPr>
        <w:t xml:space="preserve"> pav.) galima matyti, kad </w:t>
      </w:r>
      <w:r w:rsidR="00D97D8A" w:rsidRPr="00D97D8A">
        <w:rPr>
          <w:rFonts w:ascii="Times New Roman" w:hAnsi="Times New Roman" w:cs="Times New Roman"/>
          <w:sz w:val="24"/>
          <w:szCs w:val="24"/>
        </w:rPr>
        <w:t>Molėtų</w:t>
      </w:r>
      <w:r w:rsidRPr="002166DD">
        <w:rPr>
          <w:rFonts w:ascii="Times New Roman" w:hAnsi="Times New Roman" w:cs="Times New Roman"/>
          <w:sz w:val="24"/>
          <w:szCs w:val="24"/>
        </w:rPr>
        <w:t xml:space="preserve"> r. išsiskiria ne tik aplinkinių rajonų, bet ir visos Lietuvos kontekste</w:t>
      </w:r>
      <w:r w:rsidR="00D97D8A" w:rsidRPr="00D97D8A">
        <w:rPr>
          <w:rFonts w:ascii="Times New Roman" w:hAnsi="Times New Roman" w:cs="Times New Roman"/>
          <w:sz w:val="24"/>
          <w:szCs w:val="24"/>
        </w:rPr>
        <w:t xml:space="preserve">. </w:t>
      </w:r>
    </w:p>
    <w:p w:rsidR="005055AC" w:rsidRPr="005055AC" w:rsidRDefault="00B159BF" w:rsidP="009D1EFC">
      <w:pPr>
        <w:spacing w:line="360" w:lineRule="auto"/>
        <w:ind w:firstLine="142"/>
        <w:contextualSpacing/>
        <w:jc w:val="center"/>
        <w:rPr>
          <w:rFonts w:ascii="Times New Roman" w:hAnsi="Times New Roman" w:cs="Times New Roman"/>
          <w:sz w:val="24"/>
          <w:szCs w:val="24"/>
        </w:rPr>
      </w:pPr>
      <w:r>
        <w:rPr>
          <w:noProof/>
          <w:lang w:eastAsia="lt-LT"/>
        </w:rPr>
        <w:drawing>
          <wp:inline distT="0" distB="0" distL="0" distR="0" wp14:anchorId="7C256CFA" wp14:editId="42D2B2B9">
            <wp:extent cx="4230094" cy="3004165"/>
            <wp:effectExtent l="0" t="0" r="0" b="635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355" t="3754"/>
                    <a:stretch/>
                  </pic:blipFill>
                  <pic:spPr bwMode="auto">
                    <a:xfrm>
                      <a:off x="0" y="0"/>
                      <a:ext cx="4232609" cy="300595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lt-LT"/>
        </w:rPr>
        <w:t xml:space="preserve"> </w:t>
      </w:r>
    </w:p>
    <w:p w:rsidR="00B75270" w:rsidRDefault="00AF3B3F" w:rsidP="009D1EFC">
      <w:pPr>
        <w:ind w:left="-567" w:firstLine="709"/>
        <w:contextualSpacing/>
        <w:jc w:val="center"/>
        <w:rPr>
          <w:rFonts w:ascii="Times New Roman" w:hAnsi="Times New Roman" w:cs="Times New Roman"/>
          <w:b/>
          <w:sz w:val="24"/>
          <w:szCs w:val="24"/>
        </w:rPr>
      </w:pPr>
      <w:r w:rsidRPr="00AF3B3F">
        <w:rPr>
          <w:rFonts w:ascii="Times New Roman" w:hAnsi="Times New Roman" w:cs="Times New Roman"/>
          <w:b/>
          <w:sz w:val="24"/>
          <w:szCs w:val="24"/>
        </w:rPr>
        <w:t xml:space="preserve">3 pav. Standartizuotas mirtingumas nuo narkotikų sąlygotų priežasčių 100000 gyv. </w:t>
      </w:r>
    </w:p>
    <w:p w:rsidR="002F58C3" w:rsidRDefault="00AF3B3F" w:rsidP="009D1EFC">
      <w:pPr>
        <w:ind w:left="-567" w:firstLine="709"/>
        <w:contextualSpacing/>
        <w:jc w:val="center"/>
        <w:rPr>
          <w:rFonts w:ascii="Times New Roman" w:hAnsi="Times New Roman" w:cs="Times New Roman"/>
          <w:b/>
          <w:sz w:val="24"/>
          <w:szCs w:val="24"/>
        </w:rPr>
      </w:pPr>
      <w:r w:rsidRPr="00AF3B3F">
        <w:rPr>
          <w:rFonts w:ascii="Times New Roman" w:hAnsi="Times New Roman" w:cs="Times New Roman"/>
          <w:b/>
          <w:sz w:val="24"/>
          <w:szCs w:val="24"/>
        </w:rPr>
        <w:t>Lietuvos savivaldybėse,</w:t>
      </w:r>
      <w:r>
        <w:rPr>
          <w:rFonts w:ascii="Times New Roman" w:hAnsi="Times New Roman" w:cs="Times New Roman"/>
          <w:b/>
          <w:sz w:val="24"/>
          <w:szCs w:val="24"/>
        </w:rPr>
        <w:t xml:space="preserve"> 2014 metais</w:t>
      </w:r>
    </w:p>
    <w:p w:rsidR="00095C8F" w:rsidRPr="00095C8F" w:rsidRDefault="00095C8F" w:rsidP="00095C8F">
      <w:pPr>
        <w:ind w:left="720"/>
        <w:contextualSpacing/>
        <w:rPr>
          <w:rFonts w:ascii="Times New Roman" w:hAnsi="Times New Roman" w:cs="Times New Roman"/>
          <w:i/>
          <w:sz w:val="24"/>
          <w:szCs w:val="24"/>
        </w:rPr>
      </w:pPr>
      <w:r w:rsidRPr="00095C8F">
        <w:rPr>
          <w:rFonts w:ascii="Times New Roman" w:hAnsi="Times New Roman" w:cs="Times New Roman"/>
          <w:i/>
          <w:sz w:val="24"/>
          <w:szCs w:val="24"/>
        </w:rPr>
        <w:t>Šaltinis: HISIC.</w:t>
      </w:r>
    </w:p>
    <w:p w:rsidR="00E3203B" w:rsidRPr="00AF3B3F" w:rsidRDefault="000B3232" w:rsidP="00AF3B3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Narkotinių ir psichotropinių medžiagų vartojimo</w:t>
      </w:r>
      <w:r w:rsidRPr="00035694">
        <w:rPr>
          <w:rFonts w:ascii="Times New Roman" w:hAnsi="Times New Roman" w:cs="Times New Roman"/>
          <w:sz w:val="24"/>
          <w:szCs w:val="24"/>
        </w:rPr>
        <w:t xml:space="preserve"> augimą </w:t>
      </w:r>
      <w:r w:rsidR="00281132">
        <w:rPr>
          <w:rFonts w:ascii="Times New Roman" w:hAnsi="Times New Roman" w:cs="Times New Roman"/>
          <w:sz w:val="24"/>
          <w:szCs w:val="24"/>
        </w:rPr>
        <w:t>lemia</w:t>
      </w:r>
      <w:r w:rsidRPr="00035694">
        <w:rPr>
          <w:rFonts w:ascii="Times New Roman" w:hAnsi="Times New Roman" w:cs="Times New Roman"/>
          <w:sz w:val="24"/>
          <w:szCs w:val="24"/>
        </w:rPr>
        <w:t xml:space="preserve"> paklausa, augantis vartojančių asmenų skaičius</w:t>
      </w:r>
      <w:r>
        <w:rPr>
          <w:rFonts w:ascii="Times New Roman" w:hAnsi="Times New Roman" w:cs="Times New Roman"/>
          <w:sz w:val="24"/>
          <w:szCs w:val="24"/>
        </w:rPr>
        <w:t xml:space="preserve"> bei </w:t>
      </w:r>
      <w:r w:rsidRPr="008D166D">
        <w:rPr>
          <w:rFonts w:ascii="Times New Roman" w:hAnsi="Times New Roman" w:cs="Times New Roman"/>
          <w:sz w:val="24"/>
          <w:szCs w:val="24"/>
        </w:rPr>
        <w:t>lengvas narkotinių medžiagų prieinamumas</w:t>
      </w:r>
      <w:r w:rsidR="002C10E0">
        <w:rPr>
          <w:rFonts w:ascii="Times New Roman" w:hAnsi="Times New Roman" w:cs="Times New Roman"/>
          <w:sz w:val="24"/>
          <w:szCs w:val="24"/>
        </w:rPr>
        <w:t xml:space="preserve">, jų </w:t>
      </w:r>
      <w:proofErr w:type="spellStart"/>
      <w:r w:rsidR="002C10E0">
        <w:rPr>
          <w:rFonts w:ascii="Times New Roman" w:hAnsi="Times New Roman" w:cs="Times New Roman"/>
          <w:sz w:val="24"/>
          <w:szCs w:val="24"/>
        </w:rPr>
        <w:t>įsigyjimas</w:t>
      </w:r>
      <w:proofErr w:type="spellEnd"/>
      <w:r w:rsidRPr="008D166D">
        <w:rPr>
          <w:rFonts w:ascii="Times New Roman" w:hAnsi="Times New Roman" w:cs="Times New Roman"/>
          <w:sz w:val="24"/>
          <w:szCs w:val="24"/>
        </w:rPr>
        <w:t xml:space="preserve"> kitose valstybėse</w:t>
      </w:r>
      <w:r>
        <w:rPr>
          <w:rFonts w:ascii="Times New Roman" w:hAnsi="Times New Roman" w:cs="Times New Roman"/>
          <w:sz w:val="24"/>
          <w:szCs w:val="24"/>
        </w:rPr>
        <w:t>,</w:t>
      </w:r>
      <w:r w:rsidR="00080290">
        <w:rPr>
          <w:rFonts w:ascii="Times New Roman" w:hAnsi="Times New Roman" w:cs="Times New Roman"/>
          <w:sz w:val="24"/>
          <w:szCs w:val="24"/>
        </w:rPr>
        <w:t xml:space="preserve"> </w:t>
      </w:r>
      <w:r w:rsidR="00D97D8A">
        <w:rPr>
          <w:rFonts w:ascii="Times New Roman" w:hAnsi="Times New Roman" w:cs="Times New Roman"/>
          <w:sz w:val="24"/>
          <w:szCs w:val="24"/>
        </w:rPr>
        <w:t xml:space="preserve">šių medžiagų </w:t>
      </w:r>
      <w:r w:rsidR="004A7E79">
        <w:rPr>
          <w:rFonts w:ascii="Times New Roman" w:hAnsi="Times New Roman" w:cs="Times New Roman"/>
          <w:sz w:val="24"/>
          <w:szCs w:val="24"/>
        </w:rPr>
        <w:t>n</w:t>
      </w:r>
      <w:r w:rsidR="004A7E79" w:rsidRPr="00F32430">
        <w:rPr>
          <w:rFonts w:ascii="Times New Roman" w:hAnsi="Times New Roman" w:cs="Times New Roman"/>
          <w:sz w:val="24"/>
          <w:szCs w:val="24"/>
        </w:rPr>
        <w:t xml:space="preserve">eteisėtas vartojimas sukelia atsitiktinius ir tyčinius apsinuodijimus </w:t>
      </w:r>
      <w:r w:rsidR="004A7E79">
        <w:rPr>
          <w:rFonts w:ascii="Times New Roman" w:hAnsi="Times New Roman" w:cs="Times New Roman"/>
          <w:sz w:val="24"/>
          <w:szCs w:val="24"/>
        </w:rPr>
        <w:t>tame tarpe ir mirtis.</w:t>
      </w:r>
    </w:p>
    <w:p w:rsidR="00E3203B" w:rsidRDefault="00FE56FF" w:rsidP="00FE56FF">
      <w:pPr>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AF3B3F">
        <w:rPr>
          <w:rFonts w:ascii="Times New Roman" w:hAnsi="Times New Roman" w:cs="Times New Roman"/>
          <w:b/>
          <w:sz w:val="28"/>
          <w:szCs w:val="28"/>
        </w:rPr>
        <w:t>.2 MOLĖTŲ RAJONO GYVENTOJŲ MIRTINGUMAS/ STANDARTIZUOTAS MIRTINGUMAS DĖL ATSITIKTINIO PASKENDIMO</w:t>
      </w:r>
    </w:p>
    <w:p w:rsidR="00FE56FF" w:rsidRPr="00FE56FF" w:rsidRDefault="00FE56FF" w:rsidP="00FE56FF">
      <w:pPr>
        <w:ind w:left="-567" w:firstLine="709"/>
        <w:contextualSpacing/>
        <w:jc w:val="center"/>
        <w:rPr>
          <w:rFonts w:ascii="Times New Roman" w:hAnsi="Times New Roman" w:cs="Times New Roman"/>
          <w:b/>
          <w:sz w:val="24"/>
          <w:szCs w:val="24"/>
        </w:rPr>
      </w:pPr>
    </w:p>
    <w:p w:rsidR="00E3203B" w:rsidRDefault="00AF3B3F" w:rsidP="00095C8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Didelio  mirtingumo rodiklio dėl atsitiktinių paskendimų analizė Molėtų  rajono savivaldybėje </w:t>
      </w:r>
      <w:r w:rsidR="00D65663">
        <w:rPr>
          <w:rFonts w:ascii="Times New Roman" w:hAnsi="Times New Roman" w:cs="Times New Roman"/>
          <w:sz w:val="24"/>
          <w:szCs w:val="24"/>
        </w:rPr>
        <w:t xml:space="preserve">yra </w:t>
      </w:r>
      <w:r>
        <w:rPr>
          <w:rFonts w:ascii="Times New Roman" w:hAnsi="Times New Roman" w:cs="Times New Roman"/>
          <w:sz w:val="24"/>
          <w:szCs w:val="24"/>
        </w:rPr>
        <w:t>būtina įgyvendinant LSP</w:t>
      </w:r>
      <w:r w:rsidR="00E3203B" w:rsidRPr="00D65663">
        <w:rPr>
          <w:rFonts w:ascii="Times New Roman" w:hAnsi="Times New Roman" w:cs="Times New Roman"/>
          <w:sz w:val="24"/>
          <w:szCs w:val="24"/>
        </w:rPr>
        <w:t xml:space="preserve"> </w:t>
      </w:r>
      <w:r>
        <w:rPr>
          <w:rFonts w:ascii="Times New Roman" w:hAnsi="Times New Roman" w:cs="Times New Roman"/>
          <w:i/>
          <w:sz w:val="24"/>
          <w:szCs w:val="24"/>
        </w:rPr>
        <w:t>tikslo</w:t>
      </w:r>
      <w:r w:rsidR="00E3203B" w:rsidRPr="00AF3B3F">
        <w:rPr>
          <w:rFonts w:ascii="Times New Roman" w:hAnsi="Times New Roman" w:cs="Times New Roman"/>
          <w:i/>
          <w:sz w:val="24"/>
          <w:szCs w:val="24"/>
        </w:rPr>
        <w:t xml:space="preserve"> „Sukurt</w:t>
      </w:r>
      <w:r>
        <w:rPr>
          <w:rFonts w:ascii="Times New Roman" w:hAnsi="Times New Roman" w:cs="Times New Roman"/>
          <w:i/>
          <w:sz w:val="24"/>
          <w:szCs w:val="24"/>
        </w:rPr>
        <w:t xml:space="preserve">i  sveikatai palankią fizinę darbo </w:t>
      </w:r>
      <w:r w:rsidR="00E3203B" w:rsidRPr="00AF3B3F">
        <w:rPr>
          <w:rFonts w:ascii="Times New Roman" w:hAnsi="Times New Roman" w:cs="Times New Roman"/>
          <w:i/>
          <w:sz w:val="24"/>
          <w:szCs w:val="24"/>
        </w:rPr>
        <w:t>ir gy</w:t>
      </w:r>
      <w:r>
        <w:rPr>
          <w:rFonts w:ascii="Times New Roman" w:hAnsi="Times New Roman" w:cs="Times New Roman"/>
          <w:i/>
          <w:sz w:val="24"/>
          <w:szCs w:val="24"/>
        </w:rPr>
        <w:t xml:space="preserve">venamąją </w:t>
      </w:r>
      <w:r w:rsidR="00E3203B" w:rsidRPr="00AF3B3F">
        <w:rPr>
          <w:rFonts w:ascii="Times New Roman" w:hAnsi="Times New Roman" w:cs="Times New Roman"/>
          <w:i/>
          <w:sz w:val="24"/>
          <w:szCs w:val="24"/>
        </w:rPr>
        <w:t>aplinką“</w:t>
      </w:r>
      <w:r>
        <w:rPr>
          <w:rFonts w:ascii="Times New Roman" w:hAnsi="Times New Roman" w:cs="Times New Roman"/>
          <w:sz w:val="24"/>
          <w:szCs w:val="24"/>
        </w:rPr>
        <w:t xml:space="preserve"> uždavinį </w:t>
      </w:r>
      <w:r w:rsidR="00D364FA">
        <w:rPr>
          <w:rFonts w:ascii="Times New Roman" w:hAnsi="Times New Roman" w:cs="Times New Roman"/>
          <w:i/>
          <w:sz w:val="24"/>
          <w:szCs w:val="24"/>
        </w:rPr>
        <w:t>„</w:t>
      </w:r>
      <w:r>
        <w:rPr>
          <w:rFonts w:ascii="Times New Roman" w:hAnsi="Times New Roman" w:cs="Times New Roman"/>
          <w:i/>
          <w:sz w:val="24"/>
          <w:szCs w:val="24"/>
        </w:rPr>
        <w:t xml:space="preserve">Kurti palankias sąlygas saugiai leisti </w:t>
      </w:r>
      <w:r w:rsidR="00E3203B" w:rsidRPr="00AF3B3F">
        <w:rPr>
          <w:rFonts w:ascii="Times New Roman" w:hAnsi="Times New Roman" w:cs="Times New Roman"/>
          <w:i/>
          <w:sz w:val="24"/>
          <w:szCs w:val="24"/>
        </w:rPr>
        <w:t>la</w:t>
      </w:r>
      <w:r w:rsidR="00D65663" w:rsidRPr="00AF3B3F">
        <w:rPr>
          <w:rFonts w:ascii="Times New Roman" w:hAnsi="Times New Roman" w:cs="Times New Roman"/>
          <w:i/>
          <w:sz w:val="24"/>
          <w:szCs w:val="24"/>
        </w:rPr>
        <w:t>isvalaikį“</w:t>
      </w:r>
      <w:r>
        <w:rPr>
          <w:rFonts w:ascii="Times New Roman" w:hAnsi="Times New Roman" w:cs="Times New Roman"/>
          <w:sz w:val="24"/>
          <w:szCs w:val="24"/>
        </w:rPr>
        <w:t xml:space="preserve"> bei ieškant </w:t>
      </w:r>
      <w:r w:rsidR="00D65663">
        <w:rPr>
          <w:rFonts w:ascii="Times New Roman" w:hAnsi="Times New Roman" w:cs="Times New Roman"/>
          <w:sz w:val="24"/>
          <w:szCs w:val="24"/>
        </w:rPr>
        <w:t xml:space="preserve">šios </w:t>
      </w:r>
      <w:r w:rsidR="00E3203B" w:rsidRPr="00D65663">
        <w:rPr>
          <w:rFonts w:ascii="Times New Roman" w:hAnsi="Times New Roman" w:cs="Times New Roman"/>
          <w:sz w:val="24"/>
          <w:szCs w:val="24"/>
        </w:rPr>
        <w:t xml:space="preserve">problemos priežasčių bei jos sprendimo būdų.  </w:t>
      </w:r>
    </w:p>
    <w:p w:rsidR="00962AB3" w:rsidRPr="00962AB3" w:rsidRDefault="00AF3B3F" w:rsidP="00095C8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Kaip  matyti iš pateikto paveikslo, paskendimų skaičius </w:t>
      </w:r>
      <w:r w:rsidR="00962AB3">
        <w:rPr>
          <w:rFonts w:ascii="Times New Roman" w:hAnsi="Times New Roman" w:cs="Times New Roman"/>
          <w:sz w:val="24"/>
          <w:szCs w:val="24"/>
        </w:rPr>
        <w:t>Molėtų</w:t>
      </w:r>
      <w:r w:rsidR="00962AB3" w:rsidRPr="00962AB3">
        <w:rPr>
          <w:rFonts w:ascii="Times New Roman" w:hAnsi="Times New Roman" w:cs="Times New Roman"/>
          <w:sz w:val="24"/>
          <w:szCs w:val="24"/>
        </w:rPr>
        <w:t xml:space="preserve"> </w:t>
      </w:r>
      <w:r>
        <w:rPr>
          <w:rFonts w:ascii="Times New Roman" w:hAnsi="Times New Roman" w:cs="Times New Roman"/>
          <w:sz w:val="24"/>
          <w:szCs w:val="24"/>
        </w:rPr>
        <w:t>r. savivaldybėje kito</w:t>
      </w:r>
      <w:r w:rsidR="00A214C5">
        <w:rPr>
          <w:rFonts w:ascii="Times New Roman" w:hAnsi="Times New Roman" w:cs="Times New Roman"/>
          <w:sz w:val="24"/>
          <w:szCs w:val="24"/>
        </w:rPr>
        <w:t xml:space="preserve"> gana </w:t>
      </w:r>
      <w:r w:rsidR="00962AB3" w:rsidRPr="00962AB3">
        <w:rPr>
          <w:rFonts w:ascii="Times New Roman" w:hAnsi="Times New Roman" w:cs="Times New Roman"/>
          <w:sz w:val="24"/>
          <w:szCs w:val="24"/>
        </w:rPr>
        <w:t>įva</w:t>
      </w:r>
      <w:r w:rsidR="005B1642">
        <w:rPr>
          <w:rFonts w:ascii="Times New Roman" w:hAnsi="Times New Roman" w:cs="Times New Roman"/>
          <w:sz w:val="24"/>
          <w:szCs w:val="24"/>
        </w:rPr>
        <w:t>iriai per 2001–2014</w:t>
      </w:r>
      <w:r w:rsidR="00962AB3" w:rsidRPr="00962AB3">
        <w:rPr>
          <w:rFonts w:ascii="Times New Roman" w:hAnsi="Times New Roman" w:cs="Times New Roman"/>
          <w:sz w:val="24"/>
          <w:szCs w:val="24"/>
        </w:rPr>
        <w:t xml:space="preserve"> m. laikotarpį, bet palyginti su Lietuvos vidur</w:t>
      </w:r>
      <w:r w:rsidR="00A214C5">
        <w:rPr>
          <w:rFonts w:ascii="Times New Roman" w:hAnsi="Times New Roman" w:cs="Times New Roman"/>
          <w:sz w:val="24"/>
          <w:szCs w:val="24"/>
        </w:rPr>
        <w:t xml:space="preserve">kiu (kuris mažėja), nuskendimų </w:t>
      </w:r>
      <w:r w:rsidR="00962AB3" w:rsidRPr="00962AB3">
        <w:rPr>
          <w:rFonts w:ascii="Times New Roman" w:hAnsi="Times New Roman" w:cs="Times New Roman"/>
          <w:sz w:val="24"/>
          <w:szCs w:val="24"/>
        </w:rPr>
        <w:t>skaič</w:t>
      </w:r>
      <w:r w:rsidR="00AA3DEE">
        <w:rPr>
          <w:rFonts w:ascii="Times New Roman" w:hAnsi="Times New Roman" w:cs="Times New Roman"/>
          <w:sz w:val="24"/>
          <w:szCs w:val="24"/>
        </w:rPr>
        <w:t xml:space="preserve">iaus tendencija savivaldybėje lieka </w:t>
      </w:r>
      <w:r w:rsidR="00AD1031">
        <w:rPr>
          <w:rFonts w:ascii="Times New Roman" w:hAnsi="Times New Roman" w:cs="Times New Roman"/>
          <w:sz w:val="24"/>
          <w:szCs w:val="24"/>
        </w:rPr>
        <w:t>pastovi, vertinant rajono vidurkį (brūkšninė linija)</w:t>
      </w:r>
      <w:r>
        <w:rPr>
          <w:rFonts w:ascii="Times New Roman" w:hAnsi="Times New Roman" w:cs="Times New Roman"/>
          <w:sz w:val="24"/>
          <w:szCs w:val="24"/>
        </w:rPr>
        <w:t xml:space="preserve"> </w:t>
      </w:r>
      <w:r w:rsidR="00095C8F">
        <w:rPr>
          <w:rFonts w:ascii="Times New Roman" w:hAnsi="Times New Roman" w:cs="Times New Roman"/>
          <w:sz w:val="24"/>
          <w:szCs w:val="24"/>
        </w:rPr>
        <w:t>(žr. 4 pav.)</w:t>
      </w:r>
      <w:r w:rsidR="00A214C5">
        <w:rPr>
          <w:rFonts w:ascii="Times New Roman" w:hAnsi="Times New Roman" w:cs="Times New Roman"/>
          <w:sz w:val="24"/>
          <w:szCs w:val="24"/>
        </w:rPr>
        <w:t>.</w:t>
      </w:r>
      <w:r w:rsidR="00962AB3" w:rsidRPr="00962AB3">
        <w:rPr>
          <w:rFonts w:ascii="Times New Roman" w:hAnsi="Times New Roman" w:cs="Times New Roman"/>
          <w:sz w:val="24"/>
          <w:szCs w:val="24"/>
        </w:rPr>
        <w:t xml:space="preserve"> </w:t>
      </w:r>
      <w:r w:rsidR="00123F96">
        <w:rPr>
          <w:rFonts w:ascii="Times New Roman" w:hAnsi="Times New Roman" w:cs="Times New Roman"/>
          <w:sz w:val="24"/>
          <w:szCs w:val="24"/>
        </w:rPr>
        <w:t>2014 m. šis rodiklis buvo 3 kartus didesnis nei Lietuvos rodiklis.</w:t>
      </w:r>
    </w:p>
    <w:p w:rsidR="00D65663" w:rsidRDefault="00D65663" w:rsidP="0075037C">
      <w:pPr>
        <w:ind w:left="-1276" w:firstLine="141"/>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81F3F72" wp14:editId="51D1C2E4">
            <wp:extent cx="6534150" cy="2762250"/>
            <wp:effectExtent l="0" t="0" r="19050" b="1905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663" w:rsidRPr="00095C8F" w:rsidRDefault="00095C8F" w:rsidP="00095C8F">
      <w:pPr>
        <w:ind w:firstLine="142"/>
        <w:jc w:val="center"/>
        <w:rPr>
          <w:rFonts w:ascii="Times New Roman" w:hAnsi="Times New Roman" w:cs="Times New Roman"/>
          <w:b/>
          <w:sz w:val="24"/>
          <w:szCs w:val="24"/>
        </w:rPr>
      </w:pPr>
      <w:r w:rsidRPr="00095C8F">
        <w:rPr>
          <w:rFonts w:ascii="Times New Roman" w:hAnsi="Times New Roman" w:cs="Times New Roman"/>
          <w:b/>
          <w:sz w:val="24"/>
          <w:szCs w:val="24"/>
        </w:rPr>
        <w:t xml:space="preserve">4 pav. </w:t>
      </w:r>
      <w:r w:rsidR="00D65663" w:rsidRPr="00095C8F">
        <w:rPr>
          <w:rFonts w:ascii="Times New Roman" w:hAnsi="Times New Roman" w:cs="Times New Roman"/>
          <w:b/>
          <w:sz w:val="24"/>
          <w:szCs w:val="24"/>
        </w:rPr>
        <w:t>Standartizuotas mirtingumas dėl paskendimų (W65-W74) 100000 gyv.</w:t>
      </w:r>
      <w:r w:rsidRPr="00095C8F">
        <w:rPr>
          <w:rFonts w:ascii="Times New Roman" w:hAnsi="Times New Roman" w:cs="Times New Roman"/>
          <w:b/>
          <w:sz w:val="24"/>
          <w:szCs w:val="24"/>
        </w:rPr>
        <w:t xml:space="preserve"> Molėtų r. ir Lietuvoje, 2001-2014 metais</w:t>
      </w:r>
    </w:p>
    <w:p w:rsidR="00095C8F" w:rsidRPr="00095C8F" w:rsidRDefault="00095C8F" w:rsidP="00AD1031">
      <w:pPr>
        <w:spacing w:line="360" w:lineRule="auto"/>
        <w:ind w:left="720"/>
        <w:contextualSpacing/>
        <w:rPr>
          <w:rFonts w:ascii="Times New Roman" w:hAnsi="Times New Roman" w:cs="Times New Roman"/>
          <w:i/>
          <w:sz w:val="24"/>
          <w:szCs w:val="24"/>
        </w:rPr>
      </w:pPr>
      <w:r w:rsidRPr="00095C8F">
        <w:rPr>
          <w:rFonts w:ascii="Times New Roman" w:hAnsi="Times New Roman" w:cs="Times New Roman"/>
          <w:i/>
          <w:sz w:val="24"/>
          <w:szCs w:val="24"/>
        </w:rPr>
        <w:t>Šaltinis: HISIC.</w:t>
      </w:r>
    </w:p>
    <w:p w:rsidR="00055336" w:rsidRDefault="00AA3DEE" w:rsidP="00AD1031">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Per 2010–2014  m. Molėtų r. paskendo 21 gyventojas  </w:t>
      </w:r>
      <w:r w:rsidR="00E06D54">
        <w:rPr>
          <w:rFonts w:ascii="Times New Roman" w:hAnsi="Times New Roman" w:cs="Times New Roman"/>
          <w:sz w:val="24"/>
          <w:szCs w:val="24"/>
        </w:rPr>
        <w:t>Didžioji dalis paskendusiųjų (10</w:t>
      </w:r>
      <w:r w:rsidR="00A214C5">
        <w:rPr>
          <w:rFonts w:ascii="Times New Roman" w:hAnsi="Times New Roman" w:cs="Times New Roman"/>
          <w:sz w:val="24"/>
          <w:szCs w:val="24"/>
        </w:rPr>
        <w:t xml:space="preserve"> asmenų) buvo darbingo </w:t>
      </w:r>
      <w:r w:rsidR="00E06D54">
        <w:rPr>
          <w:rFonts w:ascii="Times New Roman" w:hAnsi="Times New Roman" w:cs="Times New Roman"/>
          <w:sz w:val="24"/>
          <w:szCs w:val="24"/>
        </w:rPr>
        <w:t>45</w:t>
      </w:r>
      <w:r w:rsidR="00431D7B">
        <w:rPr>
          <w:rFonts w:ascii="Times New Roman" w:hAnsi="Times New Roman" w:cs="Times New Roman"/>
          <w:sz w:val="24"/>
          <w:szCs w:val="24"/>
        </w:rPr>
        <w:t xml:space="preserve">-59 m. </w:t>
      </w:r>
      <w:r w:rsidR="00A214C5">
        <w:rPr>
          <w:rFonts w:ascii="Times New Roman" w:hAnsi="Times New Roman" w:cs="Times New Roman"/>
          <w:sz w:val="24"/>
          <w:szCs w:val="24"/>
        </w:rPr>
        <w:t>amžiaus</w:t>
      </w:r>
      <w:r w:rsidR="00711AAE">
        <w:rPr>
          <w:rFonts w:ascii="Times New Roman" w:hAnsi="Times New Roman" w:cs="Times New Roman"/>
          <w:sz w:val="24"/>
          <w:szCs w:val="24"/>
        </w:rPr>
        <w:t xml:space="preserve"> </w:t>
      </w:r>
      <w:r w:rsidR="00281132">
        <w:rPr>
          <w:rFonts w:ascii="Times New Roman" w:hAnsi="Times New Roman" w:cs="Times New Roman"/>
          <w:sz w:val="24"/>
          <w:szCs w:val="24"/>
        </w:rPr>
        <w:t>žmonės</w:t>
      </w:r>
      <w:r w:rsidR="0075037C">
        <w:rPr>
          <w:rFonts w:ascii="Times New Roman" w:hAnsi="Times New Roman" w:cs="Times New Roman"/>
          <w:sz w:val="24"/>
          <w:szCs w:val="24"/>
        </w:rPr>
        <w:t xml:space="preserve"> (žr. 5 pav.)</w:t>
      </w:r>
      <w:r w:rsidR="00A214C5">
        <w:rPr>
          <w:rFonts w:ascii="Times New Roman" w:hAnsi="Times New Roman" w:cs="Times New Roman"/>
          <w:sz w:val="24"/>
          <w:szCs w:val="24"/>
        </w:rPr>
        <w:t>.</w:t>
      </w:r>
    </w:p>
    <w:p w:rsidR="00962AB3" w:rsidRDefault="00431D7B" w:rsidP="0075037C">
      <w:pPr>
        <w:ind w:firstLine="142"/>
        <w:jc w:val="center"/>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772E93CB" wp14:editId="50E8D353">
            <wp:extent cx="4238625" cy="2190750"/>
            <wp:effectExtent l="38100" t="0" r="9525" b="1905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5270" w:rsidRDefault="00095C8F" w:rsidP="0075037C">
      <w:pPr>
        <w:ind w:firstLine="142"/>
        <w:contextualSpacing/>
        <w:jc w:val="center"/>
        <w:rPr>
          <w:rFonts w:ascii="Times New Roman" w:hAnsi="Times New Roman" w:cs="Times New Roman"/>
          <w:b/>
          <w:sz w:val="24"/>
          <w:szCs w:val="24"/>
        </w:rPr>
      </w:pPr>
      <w:r w:rsidRPr="0075037C">
        <w:rPr>
          <w:rFonts w:ascii="Times New Roman" w:hAnsi="Times New Roman" w:cs="Times New Roman"/>
          <w:b/>
          <w:sz w:val="24"/>
          <w:szCs w:val="24"/>
        </w:rPr>
        <w:t>5 pav. M</w:t>
      </w:r>
      <w:r w:rsidR="0075037C" w:rsidRPr="0075037C">
        <w:rPr>
          <w:rFonts w:ascii="Times New Roman" w:hAnsi="Times New Roman" w:cs="Times New Roman"/>
          <w:b/>
          <w:sz w:val="24"/>
          <w:szCs w:val="24"/>
        </w:rPr>
        <w:t>olėtų r. m</w:t>
      </w:r>
      <w:r w:rsidRPr="0075037C">
        <w:rPr>
          <w:rFonts w:ascii="Times New Roman" w:hAnsi="Times New Roman" w:cs="Times New Roman"/>
          <w:b/>
          <w:sz w:val="24"/>
          <w:szCs w:val="24"/>
        </w:rPr>
        <w:t xml:space="preserve">irusiųjų dėl paskendimų </w:t>
      </w:r>
      <w:r w:rsidR="0075037C" w:rsidRPr="0075037C">
        <w:rPr>
          <w:rFonts w:ascii="Times New Roman" w:hAnsi="Times New Roman" w:cs="Times New Roman"/>
          <w:b/>
          <w:sz w:val="24"/>
          <w:szCs w:val="24"/>
        </w:rPr>
        <w:t xml:space="preserve">skaičius pagal </w:t>
      </w:r>
      <w:r w:rsidRPr="0075037C">
        <w:rPr>
          <w:rFonts w:ascii="Times New Roman" w:hAnsi="Times New Roman" w:cs="Times New Roman"/>
          <w:b/>
          <w:sz w:val="24"/>
          <w:szCs w:val="24"/>
        </w:rPr>
        <w:t>amži</w:t>
      </w:r>
      <w:r w:rsidR="0075037C" w:rsidRPr="0075037C">
        <w:rPr>
          <w:rFonts w:ascii="Times New Roman" w:hAnsi="Times New Roman" w:cs="Times New Roman"/>
          <w:b/>
          <w:sz w:val="24"/>
          <w:szCs w:val="24"/>
        </w:rPr>
        <w:t>a</w:t>
      </w:r>
      <w:r w:rsidRPr="0075037C">
        <w:rPr>
          <w:rFonts w:ascii="Times New Roman" w:hAnsi="Times New Roman" w:cs="Times New Roman"/>
          <w:b/>
          <w:sz w:val="24"/>
          <w:szCs w:val="24"/>
        </w:rPr>
        <w:t>us</w:t>
      </w:r>
      <w:r w:rsidR="0075037C" w:rsidRPr="0075037C">
        <w:rPr>
          <w:rFonts w:ascii="Times New Roman" w:hAnsi="Times New Roman" w:cs="Times New Roman"/>
          <w:b/>
          <w:sz w:val="24"/>
          <w:szCs w:val="24"/>
        </w:rPr>
        <w:t xml:space="preserve"> grupes</w:t>
      </w:r>
      <w:r w:rsidR="00B75270">
        <w:rPr>
          <w:rFonts w:ascii="Times New Roman" w:hAnsi="Times New Roman" w:cs="Times New Roman"/>
          <w:b/>
          <w:sz w:val="24"/>
          <w:szCs w:val="24"/>
        </w:rPr>
        <w:t xml:space="preserve"> (proc.)</w:t>
      </w:r>
      <w:r w:rsidR="0075037C" w:rsidRPr="0075037C">
        <w:rPr>
          <w:rFonts w:ascii="Times New Roman" w:hAnsi="Times New Roman" w:cs="Times New Roman"/>
          <w:b/>
          <w:sz w:val="24"/>
          <w:szCs w:val="24"/>
        </w:rPr>
        <w:t xml:space="preserve">, </w:t>
      </w:r>
    </w:p>
    <w:p w:rsidR="00095C8F" w:rsidRPr="0075037C" w:rsidRDefault="00AA3DEE" w:rsidP="0075037C">
      <w:pPr>
        <w:ind w:firstLine="142"/>
        <w:contextualSpacing/>
        <w:jc w:val="center"/>
        <w:rPr>
          <w:rFonts w:ascii="Times New Roman" w:hAnsi="Times New Roman" w:cs="Times New Roman"/>
          <w:b/>
          <w:sz w:val="24"/>
          <w:szCs w:val="24"/>
        </w:rPr>
      </w:pPr>
      <w:r>
        <w:rPr>
          <w:rFonts w:ascii="Times New Roman" w:hAnsi="Times New Roman" w:cs="Times New Roman"/>
          <w:b/>
          <w:sz w:val="24"/>
          <w:szCs w:val="24"/>
        </w:rPr>
        <w:t xml:space="preserve">2010 - </w:t>
      </w:r>
      <w:r w:rsidR="0075037C" w:rsidRPr="0075037C">
        <w:rPr>
          <w:rFonts w:ascii="Times New Roman" w:hAnsi="Times New Roman" w:cs="Times New Roman"/>
          <w:b/>
          <w:sz w:val="24"/>
          <w:szCs w:val="24"/>
        </w:rPr>
        <w:t>2014 metais</w:t>
      </w:r>
    </w:p>
    <w:p w:rsidR="0075037C" w:rsidRPr="0075037C" w:rsidRDefault="0075037C" w:rsidP="00AD1031">
      <w:pPr>
        <w:spacing w:line="360" w:lineRule="auto"/>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p>
    <w:p w:rsidR="00962AB3" w:rsidRDefault="00E06D54" w:rsidP="00AD1031">
      <w:pPr>
        <w:spacing w:line="360" w:lineRule="auto"/>
        <w:ind w:firstLine="851"/>
        <w:jc w:val="both"/>
        <w:rPr>
          <w:rFonts w:ascii="Times New Roman" w:hAnsi="Times New Roman" w:cs="Times New Roman"/>
          <w:sz w:val="24"/>
          <w:szCs w:val="24"/>
        </w:rPr>
      </w:pPr>
      <w:r w:rsidRPr="00E06D54">
        <w:rPr>
          <w:rFonts w:ascii="Times New Roman" w:hAnsi="Times New Roman" w:cs="Times New Roman"/>
          <w:sz w:val="24"/>
          <w:szCs w:val="24"/>
        </w:rPr>
        <w:t xml:space="preserve">Iš žemiau pateikto </w:t>
      </w:r>
      <w:r w:rsidR="00A47DC6">
        <w:rPr>
          <w:rFonts w:ascii="Times New Roman" w:hAnsi="Times New Roman" w:cs="Times New Roman"/>
          <w:sz w:val="24"/>
          <w:szCs w:val="24"/>
        </w:rPr>
        <w:t xml:space="preserve">(žr. 6 pav.) </w:t>
      </w:r>
      <w:r w:rsidRPr="00E06D54">
        <w:rPr>
          <w:rFonts w:ascii="Times New Roman" w:hAnsi="Times New Roman" w:cs="Times New Roman"/>
          <w:sz w:val="24"/>
          <w:szCs w:val="24"/>
        </w:rPr>
        <w:t xml:space="preserve">paveikslo (mirtingumo dėl paskendimų Lietuvos savivaldybėse palyginimo žemėlapio) galima matyti, kad situacija dėl paskendimų aplinkiniuose rajonuose gana skiriasi, todėl reikėtų atlikti detalesnę mirtingumo dėl paskendimų analizę, siekiant </w:t>
      </w:r>
      <w:r w:rsidR="00722B0A">
        <w:rPr>
          <w:rFonts w:ascii="Times New Roman" w:hAnsi="Times New Roman" w:cs="Times New Roman"/>
          <w:sz w:val="24"/>
          <w:szCs w:val="24"/>
        </w:rPr>
        <w:t xml:space="preserve">išsiaiškinti, kokiuose vandens </w:t>
      </w:r>
      <w:r w:rsidR="00871396">
        <w:rPr>
          <w:rFonts w:ascii="Times New Roman" w:hAnsi="Times New Roman" w:cs="Times New Roman"/>
          <w:sz w:val="24"/>
          <w:szCs w:val="24"/>
        </w:rPr>
        <w:t>telkiniuose įvyko nelaimės,</w:t>
      </w:r>
      <w:r w:rsidRPr="00E06D54">
        <w:rPr>
          <w:rFonts w:ascii="Times New Roman" w:hAnsi="Times New Roman" w:cs="Times New Roman"/>
          <w:sz w:val="24"/>
          <w:szCs w:val="24"/>
        </w:rPr>
        <w:t xml:space="preserve"> kokia dalis paskendusiųjų buvo neblaivūs</w:t>
      </w:r>
      <w:r w:rsidR="00871396">
        <w:rPr>
          <w:rFonts w:ascii="Times New Roman" w:hAnsi="Times New Roman" w:cs="Times New Roman"/>
          <w:sz w:val="24"/>
          <w:szCs w:val="24"/>
        </w:rPr>
        <w:t xml:space="preserve"> ir kiek asmenų yra išgelbėta</w:t>
      </w:r>
      <w:r w:rsidRPr="00E06D54">
        <w:rPr>
          <w:rFonts w:ascii="Times New Roman" w:hAnsi="Times New Roman" w:cs="Times New Roman"/>
          <w:sz w:val="24"/>
          <w:szCs w:val="24"/>
        </w:rPr>
        <w:t>.</w:t>
      </w:r>
    </w:p>
    <w:p w:rsidR="00E06D54" w:rsidRDefault="00C12E8D" w:rsidP="00B75270">
      <w:pPr>
        <w:ind w:firstLine="142"/>
        <w:jc w:val="center"/>
        <w:rPr>
          <w:rFonts w:ascii="Times New Roman" w:hAnsi="Times New Roman" w:cs="Times New Roman"/>
          <w:sz w:val="24"/>
          <w:szCs w:val="24"/>
        </w:rPr>
      </w:pPr>
      <w:r>
        <w:rPr>
          <w:noProof/>
          <w:lang w:eastAsia="lt-LT"/>
        </w:rPr>
        <w:drawing>
          <wp:inline distT="0" distB="0" distL="0" distR="0" wp14:anchorId="0EFFE54E" wp14:editId="0A0CA620">
            <wp:extent cx="4715123" cy="3308091"/>
            <wp:effectExtent l="0" t="0" r="0" b="698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704" t="6142" b="1033"/>
                    <a:stretch/>
                  </pic:blipFill>
                  <pic:spPr bwMode="auto">
                    <a:xfrm>
                      <a:off x="0" y="0"/>
                      <a:ext cx="4717757" cy="330993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lt-LT"/>
        </w:rPr>
        <w:t xml:space="preserve"> </w:t>
      </w:r>
    </w:p>
    <w:p w:rsidR="008C3CD0" w:rsidRDefault="00A47DC6" w:rsidP="00B75270">
      <w:pPr>
        <w:spacing w:after="0"/>
        <w:ind w:left="-567" w:firstLine="709"/>
        <w:jc w:val="center"/>
        <w:rPr>
          <w:rFonts w:ascii="Times New Roman" w:hAnsi="Times New Roman" w:cs="Times New Roman"/>
          <w:b/>
          <w:sz w:val="24"/>
          <w:szCs w:val="24"/>
        </w:rPr>
      </w:pPr>
      <w:r w:rsidRPr="00B75270">
        <w:rPr>
          <w:rFonts w:ascii="Times New Roman" w:hAnsi="Times New Roman" w:cs="Times New Roman"/>
          <w:b/>
          <w:sz w:val="24"/>
          <w:szCs w:val="24"/>
        </w:rPr>
        <w:t>6 pav</w:t>
      </w:r>
      <w:r w:rsidR="008C3CD0">
        <w:rPr>
          <w:rFonts w:ascii="Times New Roman" w:hAnsi="Times New Roman" w:cs="Times New Roman"/>
          <w:b/>
          <w:sz w:val="24"/>
          <w:szCs w:val="24"/>
        </w:rPr>
        <w:t>. Standartizuotas mirtingumo</w:t>
      </w:r>
      <w:r w:rsidRPr="00B75270">
        <w:rPr>
          <w:rFonts w:ascii="Times New Roman" w:hAnsi="Times New Roman" w:cs="Times New Roman"/>
          <w:b/>
          <w:sz w:val="24"/>
          <w:szCs w:val="24"/>
        </w:rPr>
        <w:t xml:space="preserve"> dėl </w:t>
      </w:r>
      <w:r w:rsidR="008C3CD0">
        <w:rPr>
          <w:rFonts w:ascii="Times New Roman" w:hAnsi="Times New Roman" w:cs="Times New Roman"/>
          <w:b/>
          <w:sz w:val="24"/>
          <w:szCs w:val="24"/>
        </w:rPr>
        <w:t>atsitiktinio paskendimo rodiklis</w:t>
      </w:r>
      <w:r w:rsidRPr="00B75270">
        <w:rPr>
          <w:rFonts w:ascii="Times New Roman" w:hAnsi="Times New Roman" w:cs="Times New Roman"/>
          <w:b/>
          <w:sz w:val="24"/>
          <w:szCs w:val="24"/>
        </w:rPr>
        <w:t xml:space="preserve"> (W65-W74) </w:t>
      </w:r>
    </w:p>
    <w:p w:rsidR="00A47DC6" w:rsidRPr="00B75270" w:rsidRDefault="00A47DC6" w:rsidP="008C3CD0">
      <w:pPr>
        <w:spacing w:after="0"/>
        <w:ind w:left="-567" w:firstLine="709"/>
        <w:jc w:val="center"/>
        <w:rPr>
          <w:rFonts w:ascii="Times New Roman" w:hAnsi="Times New Roman" w:cs="Times New Roman"/>
          <w:b/>
          <w:sz w:val="24"/>
          <w:szCs w:val="24"/>
        </w:rPr>
      </w:pPr>
      <w:r w:rsidRPr="00B75270">
        <w:rPr>
          <w:rFonts w:ascii="Times New Roman" w:hAnsi="Times New Roman" w:cs="Times New Roman"/>
          <w:b/>
          <w:sz w:val="24"/>
          <w:szCs w:val="24"/>
        </w:rPr>
        <w:t>100000 gyv. Lietuvos savivaldybėse, 2014 metais</w:t>
      </w:r>
    </w:p>
    <w:p w:rsidR="00E06D54" w:rsidRPr="00B75270" w:rsidRDefault="00B75270" w:rsidP="00B75270">
      <w:pPr>
        <w:spacing w:after="0"/>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p>
    <w:p w:rsidR="00962AB3" w:rsidRDefault="00B75270" w:rsidP="00B7527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Apibendrinant analizę galima </w:t>
      </w:r>
      <w:r w:rsidR="00962AB3" w:rsidRPr="00962AB3">
        <w:rPr>
          <w:rFonts w:ascii="Times New Roman" w:hAnsi="Times New Roman" w:cs="Times New Roman"/>
          <w:sz w:val="24"/>
          <w:szCs w:val="24"/>
        </w:rPr>
        <w:t xml:space="preserve">teigti, </w:t>
      </w:r>
      <w:r w:rsidR="00A63833">
        <w:rPr>
          <w:rFonts w:ascii="Times New Roman" w:hAnsi="Times New Roman" w:cs="Times New Roman"/>
          <w:sz w:val="24"/>
          <w:szCs w:val="24"/>
        </w:rPr>
        <w:t>kad</w:t>
      </w:r>
      <w:r>
        <w:rPr>
          <w:rFonts w:ascii="Times New Roman" w:hAnsi="Times New Roman" w:cs="Times New Roman"/>
          <w:sz w:val="24"/>
          <w:szCs w:val="24"/>
        </w:rPr>
        <w:t xml:space="preserve"> nors </w:t>
      </w:r>
      <w:r w:rsidR="00962AB3" w:rsidRPr="00962AB3">
        <w:rPr>
          <w:rFonts w:ascii="Times New Roman" w:hAnsi="Times New Roman" w:cs="Times New Roman"/>
          <w:sz w:val="24"/>
          <w:szCs w:val="24"/>
        </w:rPr>
        <w:t>paskendu</w:t>
      </w:r>
      <w:r>
        <w:rPr>
          <w:rFonts w:ascii="Times New Roman" w:hAnsi="Times New Roman" w:cs="Times New Roman"/>
          <w:sz w:val="24"/>
          <w:szCs w:val="24"/>
        </w:rPr>
        <w:t xml:space="preserve">siųjų skaičius savivaldybėje </w:t>
      </w:r>
      <w:r w:rsidR="00962AB3" w:rsidRPr="00962AB3">
        <w:rPr>
          <w:rFonts w:ascii="Times New Roman" w:hAnsi="Times New Roman" w:cs="Times New Roman"/>
          <w:sz w:val="24"/>
          <w:szCs w:val="24"/>
        </w:rPr>
        <w:t>nėra didelis</w:t>
      </w:r>
      <w:r w:rsidR="00AD1031">
        <w:rPr>
          <w:rFonts w:ascii="Times New Roman" w:hAnsi="Times New Roman" w:cs="Times New Roman"/>
          <w:sz w:val="24"/>
          <w:szCs w:val="24"/>
        </w:rPr>
        <w:t xml:space="preserve"> (2014 m. – 4 asmenys)</w:t>
      </w:r>
      <w:r w:rsidR="00962AB3" w:rsidRPr="00962AB3">
        <w:rPr>
          <w:rFonts w:ascii="Times New Roman" w:hAnsi="Times New Roman" w:cs="Times New Roman"/>
          <w:sz w:val="24"/>
          <w:szCs w:val="24"/>
        </w:rPr>
        <w:t xml:space="preserve">, tačiau </w:t>
      </w:r>
      <w:r w:rsidR="003B175E">
        <w:rPr>
          <w:rFonts w:ascii="Times New Roman" w:hAnsi="Times New Roman" w:cs="Times New Roman"/>
          <w:sz w:val="24"/>
          <w:szCs w:val="24"/>
        </w:rPr>
        <w:t>standartizuoto mirtingumo rodiklis dėl atsitiktinių paskendimų lenkė Lietuvos vidurkį, taip pat</w:t>
      </w:r>
      <w:r w:rsidR="00962AB3" w:rsidRPr="00962AB3">
        <w:rPr>
          <w:rFonts w:ascii="Times New Roman" w:hAnsi="Times New Roman" w:cs="Times New Roman"/>
          <w:sz w:val="24"/>
          <w:szCs w:val="24"/>
        </w:rPr>
        <w:t xml:space="preserve"> nepalanki kitimo tendencija</w:t>
      </w:r>
      <w:r w:rsidR="00BF2E96">
        <w:rPr>
          <w:rFonts w:ascii="Times New Roman" w:hAnsi="Times New Roman" w:cs="Times New Roman"/>
          <w:sz w:val="24"/>
          <w:szCs w:val="24"/>
        </w:rPr>
        <w:t>, kuri</w:t>
      </w:r>
      <w:r w:rsidR="00962AB3" w:rsidRPr="00962AB3">
        <w:rPr>
          <w:rFonts w:ascii="Times New Roman" w:hAnsi="Times New Roman" w:cs="Times New Roman"/>
          <w:sz w:val="24"/>
          <w:szCs w:val="24"/>
        </w:rPr>
        <w:t xml:space="preserve"> reikalauja atidžiai stebėti esamą situaciją, siekiant išvengti situacijos prastėjimo.</w:t>
      </w:r>
    </w:p>
    <w:p w:rsidR="00CC47F8" w:rsidRDefault="00547B38" w:rsidP="00FE56FF">
      <w:pPr>
        <w:ind w:left="-142"/>
        <w:contextualSpacing/>
        <w:jc w:val="center"/>
        <w:rPr>
          <w:rFonts w:ascii="Times New Roman" w:hAnsi="Times New Roman" w:cs="Times New Roman"/>
          <w:b/>
          <w:sz w:val="28"/>
          <w:szCs w:val="28"/>
        </w:rPr>
      </w:pPr>
      <w:r>
        <w:rPr>
          <w:rFonts w:ascii="Times New Roman" w:hAnsi="Times New Roman" w:cs="Times New Roman"/>
          <w:b/>
          <w:sz w:val="28"/>
          <w:szCs w:val="28"/>
        </w:rPr>
        <w:t>2</w:t>
      </w:r>
      <w:r w:rsidR="00FE56FF" w:rsidRPr="00B75270">
        <w:rPr>
          <w:rFonts w:ascii="Times New Roman" w:hAnsi="Times New Roman" w:cs="Times New Roman"/>
          <w:b/>
          <w:sz w:val="28"/>
          <w:szCs w:val="28"/>
        </w:rPr>
        <w:t>.3. MOLĖTŲ RAJONO GYVENTOJŲ MIRTINGUMAS/STANDARTIZUOTAS MIRTINGUMAS NUO CEREBROVASKULINIŲ LIGŲ</w:t>
      </w:r>
    </w:p>
    <w:p w:rsidR="00FE56FF" w:rsidRPr="00FE56FF" w:rsidRDefault="00FE56FF" w:rsidP="00FE56FF">
      <w:pPr>
        <w:ind w:left="-142"/>
        <w:jc w:val="center"/>
        <w:rPr>
          <w:rFonts w:ascii="Times New Roman" w:hAnsi="Times New Roman" w:cs="Times New Roman"/>
          <w:b/>
          <w:sz w:val="24"/>
          <w:szCs w:val="24"/>
        </w:rPr>
      </w:pPr>
    </w:p>
    <w:p w:rsidR="00281132" w:rsidRDefault="00AD1031" w:rsidP="00281132">
      <w:pPr>
        <w:pStyle w:val="Sraopastraipa"/>
        <w:spacing w:after="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Aukšto mirtingumo rodiklio dėl </w:t>
      </w:r>
      <w:proofErr w:type="spellStart"/>
      <w:r>
        <w:rPr>
          <w:rFonts w:ascii="Times New Roman" w:hAnsi="Times New Roman" w:cs="Times New Roman"/>
          <w:sz w:val="24"/>
          <w:szCs w:val="24"/>
        </w:rPr>
        <w:t>cerebrovaskulinių</w:t>
      </w:r>
      <w:proofErr w:type="spellEnd"/>
      <w:r>
        <w:rPr>
          <w:rFonts w:ascii="Times New Roman" w:hAnsi="Times New Roman" w:cs="Times New Roman"/>
          <w:sz w:val="24"/>
          <w:szCs w:val="24"/>
        </w:rPr>
        <w:t xml:space="preserve"> </w:t>
      </w:r>
      <w:r w:rsidR="00CC47F8" w:rsidRPr="00CC47F8">
        <w:rPr>
          <w:rFonts w:ascii="Times New Roman" w:hAnsi="Times New Roman" w:cs="Times New Roman"/>
          <w:sz w:val="24"/>
          <w:szCs w:val="24"/>
        </w:rPr>
        <w:t>anal</w:t>
      </w:r>
      <w:r>
        <w:rPr>
          <w:rFonts w:ascii="Times New Roman" w:hAnsi="Times New Roman" w:cs="Times New Roman"/>
          <w:sz w:val="24"/>
          <w:szCs w:val="24"/>
        </w:rPr>
        <w:t>izė savivaldybėje yra</w:t>
      </w:r>
      <w:r w:rsidR="00CC47F8">
        <w:rPr>
          <w:rFonts w:ascii="Times New Roman" w:hAnsi="Times New Roman" w:cs="Times New Roman"/>
          <w:sz w:val="24"/>
          <w:szCs w:val="24"/>
        </w:rPr>
        <w:t xml:space="preserve"> būtina </w:t>
      </w:r>
      <w:r>
        <w:rPr>
          <w:rFonts w:ascii="Times New Roman" w:hAnsi="Times New Roman" w:cs="Times New Roman"/>
          <w:sz w:val="24"/>
          <w:szCs w:val="24"/>
        </w:rPr>
        <w:t xml:space="preserve">įgyvendinant LSP  tikslo </w:t>
      </w:r>
      <w:r w:rsidR="00CC47F8" w:rsidRPr="00AD1031">
        <w:rPr>
          <w:rFonts w:ascii="Times New Roman" w:hAnsi="Times New Roman" w:cs="Times New Roman"/>
          <w:i/>
          <w:sz w:val="24"/>
          <w:szCs w:val="24"/>
        </w:rPr>
        <w:t>„</w:t>
      </w:r>
      <w:r w:rsidRPr="00AD1031">
        <w:rPr>
          <w:rFonts w:ascii="Times New Roman" w:hAnsi="Times New Roman" w:cs="Times New Roman"/>
          <w:i/>
          <w:sz w:val="24"/>
          <w:szCs w:val="24"/>
        </w:rPr>
        <w:t>Užtikrinti kokybiškesnę  ir efektyvesnę</w:t>
      </w:r>
      <w:r w:rsidR="00CC47F8" w:rsidRPr="00AD1031">
        <w:rPr>
          <w:rFonts w:ascii="Times New Roman" w:hAnsi="Times New Roman" w:cs="Times New Roman"/>
          <w:i/>
          <w:sz w:val="24"/>
          <w:szCs w:val="24"/>
        </w:rPr>
        <w:t xml:space="preserve"> sveikato</w:t>
      </w:r>
      <w:r w:rsidRPr="00AD1031">
        <w:rPr>
          <w:rFonts w:ascii="Times New Roman" w:hAnsi="Times New Roman" w:cs="Times New Roman"/>
          <w:i/>
          <w:sz w:val="24"/>
          <w:szCs w:val="24"/>
        </w:rPr>
        <w:t xml:space="preserve">s priežiūrą, orientuotą </w:t>
      </w:r>
      <w:r w:rsidR="00CC47F8" w:rsidRPr="00AD1031">
        <w:rPr>
          <w:rFonts w:ascii="Times New Roman" w:hAnsi="Times New Roman" w:cs="Times New Roman"/>
          <w:i/>
          <w:sz w:val="24"/>
          <w:szCs w:val="24"/>
        </w:rPr>
        <w:t>į gyventojų poreikius“</w:t>
      </w:r>
      <w:r w:rsidR="00CC47F8" w:rsidRPr="00CC47F8">
        <w:rPr>
          <w:rFonts w:ascii="Times New Roman" w:hAnsi="Times New Roman" w:cs="Times New Roman"/>
          <w:sz w:val="24"/>
          <w:szCs w:val="24"/>
        </w:rPr>
        <w:t xml:space="preserve"> uždavinį </w:t>
      </w:r>
      <w:r w:rsidR="00CC47F8" w:rsidRPr="00AD1031">
        <w:rPr>
          <w:rFonts w:ascii="Times New Roman" w:hAnsi="Times New Roman" w:cs="Times New Roman"/>
          <w:i/>
          <w:sz w:val="24"/>
          <w:szCs w:val="24"/>
        </w:rPr>
        <w:t>„Stiprinti lėtinių neinfekcinių ligų prevenciją ir kontrolę“</w:t>
      </w:r>
      <w:r w:rsidR="00CC47F8" w:rsidRPr="00CC47F8">
        <w:rPr>
          <w:rFonts w:ascii="Times New Roman" w:hAnsi="Times New Roman" w:cs="Times New Roman"/>
          <w:sz w:val="24"/>
          <w:szCs w:val="24"/>
        </w:rPr>
        <w:t xml:space="preserve"> bei ieškant šios problemos pri</w:t>
      </w:r>
      <w:r w:rsidR="00CC47F8">
        <w:rPr>
          <w:rFonts w:ascii="Times New Roman" w:hAnsi="Times New Roman" w:cs="Times New Roman"/>
          <w:sz w:val="24"/>
          <w:szCs w:val="24"/>
        </w:rPr>
        <w:t>ežasčių bei jos sprendimo būdų</w:t>
      </w:r>
      <w:r w:rsidR="00CC47F8" w:rsidRPr="00281132">
        <w:rPr>
          <w:rFonts w:ascii="Times New Roman" w:hAnsi="Times New Roman" w:cs="Times New Roman"/>
          <w:sz w:val="24"/>
          <w:szCs w:val="24"/>
        </w:rPr>
        <w:t xml:space="preserve">. </w:t>
      </w:r>
    </w:p>
    <w:p w:rsidR="00281132" w:rsidRDefault="00281132" w:rsidP="00281132">
      <w:pPr>
        <w:pStyle w:val="Sraopastraipa"/>
        <w:spacing w:after="120" w:line="360" w:lineRule="auto"/>
        <w:ind w:left="0" w:firstLine="851"/>
        <w:contextualSpacing w:val="0"/>
        <w:jc w:val="both"/>
        <w:rPr>
          <w:rFonts w:ascii="Times New Roman" w:hAnsi="Times New Roman" w:cs="Times New Roman"/>
          <w:sz w:val="24"/>
          <w:szCs w:val="24"/>
        </w:rPr>
      </w:pPr>
      <w:proofErr w:type="spellStart"/>
      <w:r w:rsidRPr="00281132">
        <w:rPr>
          <w:rFonts w:ascii="Times New Roman" w:hAnsi="Times New Roman" w:cs="Times New Roman"/>
          <w:sz w:val="24"/>
          <w:szCs w:val="24"/>
        </w:rPr>
        <w:t>Cerebrovaskulinėms</w:t>
      </w:r>
      <w:proofErr w:type="spellEnd"/>
      <w:r w:rsidRPr="00281132">
        <w:rPr>
          <w:rFonts w:ascii="Times New Roman" w:hAnsi="Times New Roman" w:cs="Times New Roman"/>
          <w:sz w:val="24"/>
          <w:szCs w:val="24"/>
        </w:rPr>
        <w:t xml:space="preserve"> ligoms (I60-I69)</w:t>
      </w:r>
      <w:r w:rsidRPr="00281132">
        <w:rPr>
          <w:rFonts w:ascii="Times New Roman" w:hAnsi="Times New Roman" w:cs="Times New Roman"/>
          <w:b/>
          <w:sz w:val="24"/>
          <w:szCs w:val="24"/>
        </w:rPr>
        <w:t xml:space="preserve"> </w:t>
      </w:r>
      <w:r>
        <w:rPr>
          <w:rFonts w:ascii="Times New Roman" w:hAnsi="Times New Roman" w:cs="Times New Roman"/>
          <w:sz w:val="24"/>
          <w:szCs w:val="24"/>
        </w:rPr>
        <w:t xml:space="preserve">priklauso smegenų infarktas, </w:t>
      </w:r>
      <w:proofErr w:type="spellStart"/>
      <w:r w:rsidRPr="00473586">
        <w:rPr>
          <w:rFonts w:ascii="Times New Roman" w:hAnsi="Times New Roman" w:cs="Times New Roman"/>
          <w:sz w:val="24"/>
          <w:szCs w:val="24"/>
        </w:rPr>
        <w:t>intracerebrinis</w:t>
      </w:r>
      <w:proofErr w:type="spellEnd"/>
      <w:r w:rsidRPr="00473586">
        <w:rPr>
          <w:rFonts w:ascii="Times New Roman" w:hAnsi="Times New Roman" w:cs="Times New Roman"/>
          <w:sz w:val="24"/>
          <w:szCs w:val="24"/>
        </w:rPr>
        <w:t xml:space="preserve"> kraujavimas, smegenų arterijų užsikimš</w:t>
      </w:r>
      <w:r>
        <w:rPr>
          <w:rFonts w:ascii="Times New Roman" w:hAnsi="Times New Roman" w:cs="Times New Roman"/>
          <w:sz w:val="24"/>
          <w:szCs w:val="24"/>
        </w:rPr>
        <w:t xml:space="preserve">imas ir kt.  </w:t>
      </w:r>
    </w:p>
    <w:p w:rsidR="00AE3C78" w:rsidRDefault="00AD1031" w:rsidP="00281132">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Kaip matyti </w:t>
      </w:r>
      <w:r w:rsidR="00CC47F8" w:rsidRPr="00CC47F8">
        <w:rPr>
          <w:rFonts w:ascii="Times New Roman" w:hAnsi="Times New Roman" w:cs="Times New Roman"/>
          <w:sz w:val="24"/>
          <w:szCs w:val="24"/>
        </w:rPr>
        <w:t>iš</w:t>
      </w:r>
      <w:r>
        <w:rPr>
          <w:rFonts w:ascii="Times New Roman" w:hAnsi="Times New Roman" w:cs="Times New Roman"/>
          <w:sz w:val="24"/>
          <w:szCs w:val="24"/>
        </w:rPr>
        <w:t xml:space="preserve"> žemiau pateikto paveikslo, mirusiųjų nuo </w:t>
      </w:r>
      <w:proofErr w:type="spellStart"/>
      <w:r w:rsidR="00CC47F8" w:rsidRPr="00CC47F8">
        <w:rPr>
          <w:rFonts w:ascii="Times New Roman" w:hAnsi="Times New Roman" w:cs="Times New Roman"/>
          <w:sz w:val="24"/>
          <w:szCs w:val="24"/>
        </w:rPr>
        <w:t>cerebrovas</w:t>
      </w:r>
      <w:r>
        <w:rPr>
          <w:rFonts w:ascii="Times New Roman" w:hAnsi="Times New Roman" w:cs="Times New Roman"/>
          <w:sz w:val="24"/>
          <w:szCs w:val="24"/>
        </w:rPr>
        <w:t>kulinių</w:t>
      </w:r>
      <w:proofErr w:type="spellEnd"/>
      <w:r>
        <w:rPr>
          <w:rFonts w:ascii="Times New Roman" w:hAnsi="Times New Roman" w:cs="Times New Roman"/>
          <w:sz w:val="24"/>
          <w:szCs w:val="24"/>
        </w:rPr>
        <w:t xml:space="preserve"> ligų </w:t>
      </w:r>
      <w:r w:rsidR="00CC47F8" w:rsidRPr="00CC47F8">
        <w:rPr>
          <w:rFonts w:ascii="Times New Roman" w:hAnsi="Times New Roman" w:cs="Times New Roman"/>
          <w:sz w:val="24"/>
          <w:szCs w:val="24"/>
        </w:rPr>
        <w:t xml:space="preserve">skaičius </w:t>
      </w:r>
      <w:r w:rsidR="00CC47F8">
        <w:rPr>
          <w:rFonts w:ascii="Times New Roman" w:hAnsi="Times New Roman" w:cs="Times New Roman"/>
          <w:sz w:val="24"/>
          <w:szCs w:val="24"/>
        </w:rPr>
        <w:t>Molėtų</w:t>
      </w:r>
      <w:r w:rsidR="00722B0A">
        <w:rPr>
          <w:rFonts w:ascii="Times New Roman" w:hAnsi="Times New Roman" w:cs="Times New Roman"/>
          <w:sz w:val="24"/>
          <w:szCs w:val="24"/>
        </w:rPr>
        <w:t xml:space="preserve"> r. savivaldybėje per 2001–2014</w:t>
      </w:r>
      <w:r w:rsidR="00CC47F8" w:rsidRPr="00CC47F8">
        <w:rPr>
          <w:rFonts w:ascii="Times New Roman" w:hAnsi="Times New Roman" w:cs="Times New Roman"/>
          <w:sz w:val="24"/>
          <w:szCs w:val="24"/>
        </w:rPr>
        <w:t xml:space="preserve"> m. laikotarpį augo greičiau </w:t>
      </w:r>
      <w:r>
        <w:rPr>
          <w:rFonts w:ascii="Times New Roman" w:hAnsi="Times New Roman" w:cs="Times New Roman"/>
          <w:sz w:val="24"/>
          <w:szCs w:val="24"/>
        </w:rPr>
        <w:t>nei Lietuvoje (žr. 7 pav.).</w:t>
      </w:r>
      <w:r w:rsidR="000B48EA">
        <w:rPr>
          <w:rFonts w:ascii="Times New Roman" w:hAnsi="Times New Roman" w:cs="Times New Roman"/>
          <w:sz w:val="24"/>
          <w:szCs w:val="24"/>
        </w:rPr>
        <w:t xml:space="preserve"> </w:t>
      </w:r>
    </w:p>
    <w:p w:rsidR="00AE3C78" w:rsidRDefault="00AE3C78" w:rsidP="00CC47F8">
      <w:pPr>
        <w:ind w:firstLine="142"/>
        <w:rPr>
          <w:rFonts w:ascii="Times New Roman" w:hAnsi="Times New Roman" w:cs="Times New Roman"/>
          <w:sz w:val="24"/>
          <w:szCs w:val="24"/>
        </w:rPr>
      </w:pPr>
    </w:p>
    <w:p w:rsidR="00AE3C78" w:rsidRDefault="00D84C42" w:rsidP="00CC47F8">
      <w:pPr>
        <w:ind w:firstLine="142"/>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24DC35D" wp14:editId="1C4C80EF">
            <wp:extent cx="5971430" cy="2934032"/>
            <wp:effectExtent l="0" t="0" r="10795" b="1905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3C78" w:rsidRDefault="00AD1031" w:rsidP="00A367FF">
      <w:pPr>
        <w:spacing w:after="0" w:line="360" w:lineRule="auto"/>
        <w:ind w:firstLine="142"/>
        <w:jc w:val="center"/>
        <w:rPr>
          <w:rFonts w:ascii="Times New Roman" w:hAnsi="Times New Roman" w:cs="Times New Roman"/>
          <w:b/>
          <w:sz w:val="24"/>
          <w:szCs w:val="24"/>
        </w:rPr>
      </w:pPr>
      <w:r>
        <w:rPr>
          <w:rFonts w:ascii="Times New Roman" w:hAnsi="Times New Roman" w:cs="Times New Roman"/>
          <w:b/>
          <w:sz w:val="24"/>
          <w:szCs w:val="24"/>
        </w:rPr>
        <w:t xml:space="preserve">7 pav. </w:t>
      </w:r>
      <w:r w:rsidR="00722B0A">
        <w:rPr>
          <w:rFonts w:ascii="Times New Roman" w:hAnsi="Times New Roman" w:cs="Times New Roman"/>
          <w:b/>
          <w:sz w:val="24"/>
          <w:szCs w:val="24"/>
        </w:rPr>
        <w:t xml:space="preserve">Mirusiųjų nuo </w:t>
      </w:r>
      <w:proofErr w:type="spellStart"/>
      <w:r w:rsidR="00722B0A">
        <w:rPr>
          <w:rFonts w:ascii="Times New Roman" w:hAnsi="Times New Roman" w:cs="Times New Roman"/>
          <w:b/>
          <w:sz w:val="24"/>
          <w:szCs w:val="24"/>
        </w:rPr>
        <w:t>cerebrovasku</w:t>
      </w:r>
      <w:r w:rsidR="00D84C42" w:rsidRPr="00D84C42">
        <w:rPr>
          <w:rFonts w:ascii="Times New Roman" w:hAnsi="Times New Roman" w:cs="Times New Roman"/>
          <w:b/>
          <w:sz w:val="24"/>
          <w:szCs w:val="24"/>
        </w:rPr>
        <w:t>l</w:t>
      </w:r>
      <w:r w:rsidR="00722B0A">
        <w:rPr>
          <w:rFonts w:ascii="Times New Roman" w:hAnsi="Times New Roman" w:cs="Times New Roman"/>
          <w:b/>
          <w:sz w:val="24"/>
          <w:szCs w:val="24"/>
        </w:rPr>
        <w:t>i</w:t>
      </w:r>
      <w:r w:rsidR="00D84C42" w:rsidRPr="00D84C42">
        <w:rPr>
          <w:rFonts w:ascii="Times New Roman" w:hAnsi="Times New Roman" w:cs="Times New Roman"/>
          <w:b/>
          <w:sz w:val="24"/>
          <w:szCs w:val="24"/>
        </w:rPr>
        <w:t>nių</w:t>
      </w:r>
      <w:proofErr w:type="spellEnd"/>
      <w:r w:rsidR="00D84C42" w:rsidRPr="00D84C42">
        <w:rPr>
          <w:rFonts w:ascii="Times New Roman" w:hAnsi="Times New Roman" w:cs="Times New Roman"/>
          <w:b/>
          <w:sz w:val="24"/>
          <w:szCs w:val="24"/>
        </w:rPr>
        <w:t xml:space="preserve"> </w:t>
      </w:r>
      <w:r w:rsidR="00D84C42" w:rsidRPr="00C50640">
        <w:rPr>
          <w:rFonts w:ascii="Times New Roman" w:hAnsi="Times New Roman" w:cs="Times New Roman"/>
          <w:b/>
          <w:sz w:val="24"/>
          <w:szCs w:val="24"/>
        </w:rPr>
        <w:t>ligų skaičius ( I60-I69)</w:t>
      </w:r>
      <w:r w:rsidR="00D84C42" w:rsidRPr="000A7495">
        <w:rPr>
          <w:rFonts w:ascii="Times New Roman" w:hAnsi="Times New Roman" w:cs="Times New Roman"/>
          <w:b/>
          <w:sz w:val="24"/>
          <w:szCs w:val="24"/>
        </w:rPr>
        <w:t xml:space="preserve"> </w:t>
      </w:r>
      <w:r w:rsidR="00D84C42">
        <w:rPr>
          <w:rFonts w:ascii="Times New Roman" w:hAnsi="Times New Roman" w:cs="Times New Roman"/>
          <w:b/>
          <w:sz w:val="24"/>
          <w:szCs w:val="24"/>
        </w:rPr>
        <w:t xml:space="preserve">100000 gyv., </w:t>
      </w:r>
      <w:r w:rsidR="00D84C42" w:rsidRPr="00C50640">
        <w:rPr>
          <w:rFonts w:ascii="Times New Roman" w:hAnsi="Times New Roman" w:cs="Times New Roman"/>
          <w:b/>
          <w:sz w:val="24"/>
          <w:szCs w:val="24"/>
        </w:rPr>
        <w:t xml:space="preserve">Lietuvoje ir </w:t>
      </w:r>
      <w:r w:rsidR="00D84C42">
        <w:rPr>
          <w:rFonts w:ascii="Times New Roman" w:hAnsi="Times New Roman" w:cs="Times New Roman"/>
          <w:b/>
          <w:sz w:val="24"/>
          <w:szCs w:val="24"/>
        </w:rPr>
        <w:t xml:space="preserve">Molėtų </w:t>
      </w:r>
      <w:r w:rsidR="00D84C42" w:rsidRPr="00C50640">
        <w:rPr>
          <w:rFonts w:ascii="Times New Roman" w:hAnsi="Times New Roman" w:cs="Times New Roman"/>
          <w:b/>
          <w:sz w:val="24"/>
          <w:szCs w:val="24"/>
        </w:rPr>
        <w:t>r.</w:t>
      </w:r>
      <w:r w:rsidR="00D84C42">
        <w:rPr>
          <w:rFonts w:ascii="Times New Roman" w:hAnsi="Times New Roman" w:cs="Times New Roman"/>
          <w:b/>
          <w:sz w:val="24"/>
          <w:szCs w:val="24"/>
        </w:rPr>
        <w:t>,  20</w:t>
      </w:r>
      <w:r w:rsidR="00D84C42" w:rsidRPr="00526AEF">
        <w:rPr>
          <w:rFonts w:ascii="Times New Roman" w:hAnsi="Times New Roman" w:cs="Times New Roman"/>
          <w:b/>
          <w:sz w:val="24"/>
          <w:szCs w:val="24"/>
        </w:rPr>
        <w:t>0</w:t>
      </w:r>
      <w:r w:rsidR="00D84C42">
        <w:rPr>
          <w:rFonts w:ascii="Times New Roman" w:hAnsi="Times New Roman" w:cs="Times New Roman"/>
          <w:b/>
          <w:sz w:val="24"/>
          <w:szCs w:val="24"/>
        </w:rPr>
        <w:t>1</w:t>
      </w:r>
      <w:r w:rsidR="00D84C42" w:rsidRPr="00526AEF">
        <w:rPr>
          <w:rFonts w:ascii="Times New Roman" w:hAnsi="Times New Roman" w:cs="Times New Roman"/>
          <w:b/>
          <w:sz w:val="24"/>
          <w:szCs w:val="24"/>
        </w:rPr>
        <w:t>-2014 metais</w:t>
      </w:r>
    </w:p>
    <w:p w:rsidR="00B75270" w:rsidRPr="00B75270" w:rsidRDefault="00B75270" w:rsidP="00A367FF">
      <w:pPr>
        <w:spacing w:after="0" w:line="360" w:lineRule="auto"/>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p>
    <w:p w:rsidR="00CC47F8" w:rsidRDefault="00281132" w:rsidP="00A367F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Molėtų r. </w:t>
      </w:r>
      <w:r w:rsidR="006F36AC">
        <w:rPr>
          <w:rFonts w:ascii="Times New Roman" w:hAnsi="Times New Roman" w:cs="Times New Roman"/>
          <w:sz w:val="24"/>
          <w:szCs w:val="24"/>
        </w:rPr>
        <w:t>2012–2014</w:t>
      </w:r>
      <w:r w:rsidR="00CC47F8">
        <w:rPr>
          <w:rFonts w:ascii="Times New Roman" w:hAnsi="Times New Roman" w:cs="Times New Roman"/>
          <w:sz w:val="24"/>
          <w:szCs w:val="24"/>
        </w:rPr>
        <w:t xml:space="preserve"> m. </w:t>
      </w:r>
      <w:r>
        <w:rPr>
          <w:rFonts w:ascii="Times New Roman" w:hAnsi="Times New Roman" w:cs="Times New Roman"/>
          <w:sz w:val="24"/>
          <w:szCs w:val="24"/>
        </w:rPr>
        <w:t xml:space="preserve">laikotarpiu </w:t>
      </w:r>
      <w:r w:rsidR="00CC47F8" w:rsidRPr="00CC47F8">
        <w:rPr>
          <w:rFonts w:ascii="Times New Roman" w:hAnsi="Times New Roman" w:cs="Times New Roman"/>
          <w:sz w:val="24"/>
          <w:szCs w:val="24"/>
        </w:rPr>
        <w:t xml:space="preserve">nuo </w:t>
      </w:r>
      <w:proofErr w:type="spellStart"/>
      <w:r w:rsidR="00CC47F8" w:rsidRPr="00CC47F8">
        <w:rPr>
          <w:rFonts w:ascii="Times New Roman" w:hAnsi="Times New Roman" w:cs="Times New Roman"/>
          <w:sz w:val="24"/>
          <w:szCs w:val="24"/>
        </w:rPr>
        <w:t>cerebrovaskulinių</w:t>
      </w:r>
      <w:proofErr w:type="spellEnd"/>
      <w:r w:rsidR="00CC47F8" w:rsidRPr="00CC47F8">
        <w:rPr>
          <w:rFonts w:ascii="Times New Roman" w:hAnsi="Times New Roman" w:cs="Times New Roman"/>
          <w:sz w:val="24"/>
          <w:szCs w:val="24"/>
        </w:rPr>
        <w:t xml:space="preserve"> ligų </w:t>
      </w:r>
      <w:r w:rsidR="00CC47F8" w:rsidRPr="00AE3C78">
        <w:rPr>
          <w:rFonts w:ascii="Times New Roman" w:hAnsi="Times New Roman" w:cs="Times New Roman"/>
          <w:sz w:val="24"/>
          <w:szCs w:val="24"/>
        </w:rPr>
        <w:t xml:space="preserve">mirė </w:t>
      </w:r>
      <w:r w:rsidR="006F36AC">
        <w:rPr>
          <w:rFonts w:ascii="Times New Roman" w:hAnsi="Times New Roman" w:cs="Times New Roman"/>
          <w:sz w:val="24"/>
          <w:szCs w:val="24"/>
        </w:rPr>
        <w:t>265</w:t>
      </w:r>
      <w:r w:rsidR="00CC47F8" w:rsidRPr="00AE3C78">
        <w:rPr>
          <w:rFonts w:ascii="Times New Roman" w:hAnsi="Times New Roman" w:cs="Times New Roman"/>
          <w:sz w:val="24"/>
          <w:szCs w:val="24"/>
        </w:rPr>
        <w:t xml:space="preserve"> </w:t>
      </w:r>
      <w:r w:rsidR="00FE56FF">
        <w:rPr>
          <w:rFonts w:ascii="Times New Roman" w:hAnsi="Times New Roman" w:cs="Times New Roman"/>
          <w:sz w:val="24"/>
          <w:szCs w:val="24"/>
        </w:rPr>
        <w:t>asmenys. Didžioji dauguma</w:t>
      </w:r>
      <w:r w:rsidR="00A367FF">
        <w:rPr>
          <w:rFonts w:ascii="Times New Roman" w:hAnsi="Times New Roman" w:cs="Times New Roman"/>
          <w:sz w:val="24"/>
          <w:szCs w:val="24"/>
        </w:rPr>
        <w:t xml:space="preserve"> </w:t>
      </w:r>
      <w:r w:rsidR="00CC47F8" w:rsidRPr="00CC47F8">
        <w:rPr>
          <w:rFonts w:ascii="Times New Roman" w:hAnsi="Times New Roman" w:cs="Times New Roman"/>
          <w:sz w:val="24"/>
          <w:szCs w:val="24"/>
        </w:rPr>
        <w:t>v</w:t>
      </w:r>
      <w:r>
        <w:rPr>
          <w:rFonts w:ascii="Times New Roman" w:hAnsi="Times New Roman" w:cs="Times New Roman"/>
          <w:sz w:val="24"/>
          <w:szCs w:val="24"/>
        </w:rPr>
        <w:t>yresni nei 75 m. amžiaus</w:t>
      </w:r>
      <w:r w:rsidR="00A367FF">
        <w:rPr>
          <w:rFonts w:ascii="Times New Roman" w:hAnsi="Times New Roman" w:cs="Times New Roman"/>
          <w:sz w:val="24"/>
          <w:szCs w:val="24"/>
        </w:rPr>
        <w:t xml:space="preserve"> (žr. 8 pav.)</w:t>
      </w:r>
      <w:r w:rsidR="00CC47F8" w:rsidRPr="00CC47F8">
        <w:rPr>
          <w:rFonts w:ascii="Times New Roman" w:hAnsi="Times New Roman" w:cs="Times New Roman"/>
          <w:sz w:val="24"/>
          <w:szCs w:val="24"/>
        </w:rPr>
        <w:t>.</w:t>
      </w:r>
    </w:p>
    <w:p w:rsidR="00AE3C78" w:rsidRDefault="006F36AC" w:rsidP="00C659C7">
      <w:pPr>
        <w:tabs>
          <w:tab w:val="left" w:pos="709"/>
        </w:tabs>
        <w:ind w:left="-426" w:firstLine="142"/>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DFB0281" wp14:editId="619BD2BF">
            <wp:extent cx="2543175" cy="2352675"/>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noProof/>
          <w:sz w:val="24"/>
          <w:szCs w:val="24"/>
          <w:lang w:eastAsia="lt-LT"/>
        </w:rPr>
        <w:drawing>
          <wp:inline distT="0" distB="0" distL="0" distR="0" wp14:anchorId="31F0D8F5" wp14:editId="7FBFF43C">
            <wp:extent cx="2781300" cy="2352675"/>
            <wp:effectExtent l="0" t="0" r="0" b="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59C7" w:rsidRDefault="00A367FF" w:rsidP="00C659C7">
      <w:pPr>
        <w:pStyle w:val="Sraopastraipa"/>
        <w:ind w:left="142"/>
        <w:jc w:val="center"/>
        <w:rPr>
          <w:rFonts w:ascii="Times New Roman" w:hAnsi="Times New Roman" w:cs="Times New Roman"/>
          <w:b/>
          <w:sz w:val="24"/>
          <w:szCs w:val="24"/>
        </w:rPr>
      </w:pPr>
      <w:r w:rsidRPr="00A367FF">
        <w:rPr>
          <w:rFonts w:ascii="Times New Roman" w:hAnsi="Times New Roman" w:cs="Times New Roman"/>
          <w:b/>
          <w:sz w:val="24"/>
          <w:szCs w:val="24"/>
        </w:rPr>
        <w:t xml:space="preserve">8 pav. Mirusiųjų nuo </w:t>
      </w:r>
      <w:proofErr w:type="spellStart"/>
      <w:r w:rsidRPr="00A367FF">
        <w:rPr>
          <w:rFonts w:ascii="Times New Roman" w:hAnsi="Times New Roman" w:cs="Times New Roman"/>
          <w:b/>
          <w:sz w:val="24"/>
          <w:szCs w:val="24"/>
        </w:rPr>
        <w:t>cerebrovaskulinių</w:t>
      </w:r>
      <w:proofErr w:type="spellEnd"/>
      <w:r w:rsidRPr="00A367FF">
        <w:rPr>
          <w:rFonts w:ascii="Times New Roman" w:hAnsi="Times New Roman" w:cs="Times New Roman"/>
          <w:b/>
          <w:sz w:val="24"/>
          <w:szCs w:val="24"/>
        </w:rPr>
        <w:t xml:space="preserve"> ligų skaičius</w:t>
      </w:r>
      <w:r>
        <w:rPr>
          <w:rFonts w:ascii="Times New Roman" w:hAnsi="Times New Roman" w:cs="Times New Roman"/>
          <w:b/>
          <w:sz w:val="24"/>
          <w:szCs w:val="24"/>
        </w:rPr>
        <w:t xml:space="preserve"> (proc.)</w:t>
      </w:r>
      <w:r w:rsidRPr="00A367FF">
        <w:rPr>
          <w:rFonts w:ascii="Times New Roman" w:hAnsi="Times New Roman" w:cs="Times New Roman"/>
          <w:b/>
          <w:sz w:val="24"/>
          <w:szCs w:val="24"/>
        </w:rPr>
        <w:t>, pagal amžiaus grupes</w:t>
      </w:r>
      <w:r>
        <w:rPr>
          <w:rFonts w:ascii="Times New Roman" w:hAnsi="Times New Roman" w:cs="Times New Roman"/>
          <w:b/>
          <w:sz w:val="24"/>
          <w:szCs w:val="24"/>
        </w:rPr>
        <w:t xml:space="preserve"> </w:t>
      </w:r>
    </w:p>
    <w:p w:rsidR="00A367FF" w:rsidRPr="00A367FF" w:rsidRDefault="00A367FF" w:rsidP="00C659C7">
      <w:pPr>
        <w:pStyle w:val="Sraopastraipa"/>
        <w:ind w:left="142"/>
        <w:jc w:val="center"/>
        <w:rPr>
          <w:rFonts w:ascii="Times New Roman" w:hAnsi="Times New Roman" w:cs="Times New Roman"/>
          <w:b/>
          <w:sz w:val="24"/>
          <w:szCs w:val="24"/>
        </w:rPr>
      </w:pPr>
      <w:r>
        <w:rPr>
          <w:rFonts w:ascii="Times New Roman" w:hAnsi="Times New Roman" w:cs="Times New Roman"/>
          <w:b/>
          <w:sz w:val="24"/>
          <w:szCs w:val="24"/>
        </w:rPr>
        <w:t>Molėtų</w:t>
      </w:r>
      <w:r w:rsidRPr="00A367FF">
        <w:rPr>
          <w:rFonts w:ascii="Times New Roman" w:hAnsi="Times New Roman" w:cs="Times New Roman"/>
          <w:b/>
          <w:sz w:val="24"/>
          <w:szCs w:val="24"/>
        </w:rPr>
        <w:t xml:space="preserve"> r. ir Lietuvoje 2012-2014 metais</w:t>
      </w:r>
    </w:p>
    <w:p w:rsidR="00B75270" w:rsidRPr="0075037C" w:rsidRDefault="00B75270" w:rsidP="00B75270">
      <w:pPr>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p>
    <w:p w:rsidR="00B75270" w:rsidRDefault="00B75270" w:rsidP="00AB4FFA">
      <w:pPr>
        <w:spacing w:line="360" w:lineRule="auto"/>
        <w:ind w:left="720" w:firstLine="851"/>
        <w:contextualSpacing/>
        <w:jc w:val="both"/>
        <w:rPr>
          <w:rFonts w:ascii="Times New Roman" w:hAnsi="Times New Roman" w:cs="Times New Roman"/>
          <w:color w:val="000000" w:themeColor="text1"/>
          <w:sz w:val="24"/>
          <w:szCs w:val="24"/>
        </w:rPr>
      </w:pPr>
    </w:p>
    <w:p w:rsidR="00AB4FFA" w:rsidRDefault="00AB4FFA" w:rsidP="00BF2E96">
      <w:pPr>
        <w:spacing w:line="360" w:lineRule="auto"/>
        <w:ind w:firstLine="851"/>
        <w:contextualSpacing/>
        <w:jc w:val="both"/>
        <w:rPr>
          <w:rFonts w:ascii="Times New Roman" w:hAnsi="Times New Roman" w:cs="Times New Roman"/>
          <w:color w:val="000000" w:themeColor="text1"/>
          <w:sz w:val="24"/>
          <w:szCs w:val="24"/>
        </w:rPr>
      </w:pPr>
      <w:r w:rsidRPr="00F418FF">
        <w:rPr>
          <w:rFonts w:ascii="Times New Roman" w:hAnsi="Times New Roman" w:cs="Times New Roman"/>
          <w:color w:val="000000" w:themeColor="text1"/>
          <w:sz w:val="24"/>
          <w:szCs w:val="24"/>
        </w:rPr>
        <w:t xml:space="preserve">Iš žemiau esančio paveikslo (standartizuoto mirtingumo nuo </w:t>
      </w:r>
      <w:proofErr w:type="spellStart"/>
      <w:r w:rsidRPr="00F418FF">
        <w:rPr>
          <w:rFonts w:ascii="Times New Roman" w:hAnsi="Times New Roman" w:cs="Times New Roman"/>
          <w:color w:val="000000" w:themeColor="text1"/>
          <w:sz w:val="24"/>
          <w:szCs w:val="24"/>
        </w:rPr>
        <w:t>cerebrovaskulinių</w:t>
      </w:r>
      <w:proofErr w:type="spellEnd"/>
      <w:r w:rsidRPr="00F418FF">
        <w:rPr>
          <w:rFonts w:ascii="Times New Roman" w:hAnsi="Times New Roman" w:cs="Times New Roman"/>
          <w:color w:val="000000" w:themeColor="text1"/>
          <w:sz w:val="24"/>
          <w:szCs w:val="24"/>
        </w:rPr>
        <w:t xml:space="preserve"> ligų Lietuvos savivaldybėse palyginimo žemėlapio) galima matyti, kad didelis mirtingumas n</w:t>
      </w:r>
      <w:r w:rsidR="00F418FF" w:rsidRPr="00F418FF">
        <w:rPr>
          <w:rFonts w:ascii="Times New Roman" w:hAnsi="Times New Roman" w:cs="Times New Roman"/>
          <w:color w:val="000000" w:themeColor="text1"/>
          <w:sz w:val="24"/>
          <w:szCs w:val="24"/>
        </w:rPr>
        <w:t xml:space="preserve">uo </w:t>
      </w:r>
      <w:proofErr w:type="spellStart"/>
      <w:r w:rsidR="00F418FF" w:rsidRPr="00F418FF">
        <w:rPr>
          <w:rFonts w:ascii="Times New Roman" w:hAnsi="Times New Roman" w:cs="Times New Roman"/>
          <w:color w:val="000000" w:themeColor="text1"/>
          <w:sz w:val="24"/>
          <w:szCs w:val="24"/>
        </w:rPr>
        <w:t>cerebrovaskulinių</w:t>
      </w:r>
      <w:proofErr w:type="spellEnd"/>
      <w:r w:rsidR="00F418FF" w:rsidRPr="00F418FF">
        <w:rPr>
          <w:rFonts w:ascii="Times New Roman" w:hAnsi="Times New Roman" w:cs="Times New Roman"/>
          <w:color w:val="000000" w:themeColor="text1"/>
          <w:sz w:val="24"/>
          <w:szCs w:val="24"/>
        </w:rPr>
        <w:t xml:space="preserve"> ligų Molėtų</w:t>
      </w:r>
      <w:r w:rsidR="00FE56FF">
        <w:rPr>
          <w:rFonts w:ascii="Times New Roman" w:hAnsi="Times New Roman" w:cs="Times New Roman"/>
          <w:color w:val="000000" w:themeColor="text1"/>
          <w:sz w:val="24"/>
          <w:szCs w:val="24"/>
        </w:rPr>
        <w:t xml:space="preserve"> r. </w:t>
      </w:r>
      <w:r w:rsidRPr="00F418FF">
        <w:rPr>
          <w:rFonts w:ascii="Times New Roman" w:hAnsi="Times New Roman" w:cs="Times New Roman"/>
          <w:color w:val="000000" w:themeColor="text1"/>
          <w:sz w:val="24"/>
          <w:szCs w:val="24"/>
        </w:rPr>
        <w:t xml:space="preserve">labai išsiskiria ne tik aplinkinių rajonų, bet ir </w:t>
      </w:r>
      <w:r w:rsidR="00F418FF" w:rsidRPr="00F418FF">
        <w:rPr>
          <w:rFonts w:ascii="Times New Roman" w:hAnsi="Times New Roman" w:cs="Times New Roman"/>
          <w:color w:val="000000" w:themeColor="text1"/>
          <w:sz w:val="24"/>
          <w:szCs w:val="24"/>
        </w:rPr>
        <w:t>visos Lietuvos kontekste. Molėtų</w:t>
      </w:r>
      <w:r w:rsidR="00C53A62">
        <w:rPr>
          <w:rFonts w:ascii="Times New Roman" w:hAnsi="Times New Roman" w:cs="Times New Roman"/>
          <w:color w:val="000000" w:themeColor="text1"/>
          <w:sz w:val="24"/>
          <w:szCs w:val="24"/>
        </w:rPr>
        <w:t xml:space="preserve"> r. rodiklis buvo daugiau nei </w:t>
      </w:r>
      <w:r w:rsidRPr="00F418FF">
        <w:rPr>
          <w:rFonts w:ascii="Times New Roman" w:hAnsi="Times New Roman" w:cs="Times New Roman"/>
          <w:color w:val="000000" w:themeColor="text1"/>
          <w:sz w:val="24"/>
          <w:szCs w:val="24"/>
        </w:rPr>
        <w:t>2 kartus didesn</w:t>
      </w:r>
      <w:r w:rsidR="001E4237">
        <w:rPr>
          <w:rFonts w:ascii="Times New Roman" w:hAnsi="Times New Roman" w:cs="Times New Roman"/>
          <w:color w:val="000000" w:themeColor="text1"/>
          <w:sz w:val="24"/>
          <w:szCs w:val="24"/>
        </w:rPr>
        <w:t>is nei Lietuvos vidurkis (žr. 9</w:t>
      </w:r>
      <w:r w:rsidRPr="00F418FF">
        <w:rPr>
          <w:rFonts w:ascii="Times New Roman" w:hAnsi="Times New Roman" w:cs="Times New Roman"/>
          <w:color w:val="000000" w:themeColor="text1"/>
          <w:sz w:val="24"/>
          <w:szCs w:val="24"/>
        </w:rPr>
        <w:t xml:space="preserve"> pav.).</w:t>
      </w:r>
    </w:p>
    <w:p w:rsidR="00AB4FFA" w:rsidRPr="00DF5706" w:rsidRDefault="00C12E8D" w:rsidP="00C12E8D">
      <w:pPr>
        <w:spacing w:line="360" w:lineRule="auto"/>
        <w:ind w:left="142" w:hanging="426"/>
        <w:contextualSpacing/>
        <w:jc w:val="center"/>
        <w:rPr>
          <w:rFonts w:ascii="Times New Roman" w:hAnsi="Times New Roman" w:cs="Times New Roman"/>
          <w:color w:val="000000" w:themeColor="text1"/>
          <w:sz w:val="24"/>
          <w:szCs w:val="24"/>
        </w:rPr>
      </w:pPr>
      <w:r>
        <w:rPr>
          <w:noProof/>
          <w:lang w:eastAsia="lt-LT"/>
        </w:rPr>
        <w:drawing>
          <wp:inline distT="0" distB="0" distL="0" distR="0" wp14:anchorId="02099BB6" wp14:editId="45A7369C">
            <wp:extent cx="4664801" cy="3279304"/>
            <wp:effectExtent l="0" t="0" r="254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9407" t="8242"/>
                    <a:stretch/>
                  </pic:blipFill>
                  <pic:spPr bwMode="auto">
                    <a:xfrm>
                      <a:off x="0" y="0"/>
                      <a:ext cx="4666936" cy="3280805"/>
                    </a:xfrm>
                    <a:prstGeom prst="rect">
                      <a:avLst/>
                    </a:prstGeom>
                    <a:ln>
                      <a:noFill/>
                    </a:ln>
                    <a:extLst>
                      <a:ext uri="{53640926-AAD7-44D8-BBD7-CCE9431645EC}">
                        <a14:shadowObscured xmlns:a14="http://schemas.microsoft.com/office/drawing/2010/main"/>
                      </a:ext>
                    </a:extLst>
                  </pic:spPr>
                </pic:pic>
              </a:graphicData>
            </a:graphic>
          </wp:inline>
        </w:drawing>
      </w:r>
    </w:p>
    <w:p w:rsidR="00C659C7" w:rsidRPr="00C659C7" w:rsidRDefault="00C659C7" w:rsidP="00C659C7">
      <w:pPr>
        <w:ind w:left="720"/>
        <w:contextualSpacing/>
        <w:jc w:val="center"/>
        <w:rPr>
          <w:rFonts w:ascii="Times New Roman" w:hAnsi="Times New Roman" w:cs="Times New Roman"/>
          <w:b/>
          <w:sz w:val="24"/>
          <w:szCs w:val="24"/>
        </w:rPr>
      </w:pPr>
      <w:r w:rsidRPr="00C659C7">
        <w:rPr>
          <w:rFonts w:ascii="Times New Roman" w:hAnsi="Times New Roman" w:cs="Times New Roman"/>
          <w:b/>
          <w:sz w:val="24"/>
          <w:szCs w:val="24"/>
        </w:rPr>
        <w:lastRenderedPageBreak/>
        <w:t xml:space="preserve">9 pav. Standartizuotas mirtingumas nuo </w:t>
      </w:r>
      <w:proofErr w:type="spellStart"/>
      <w:r w:rsidRPr="00C659C7">
        <w:rPr>
          <w:rFonts w:ascii="Times New Roman" w:hAnsi="Times New Roman" w:cs="Times New Roman"/>
          <w:b/>
          <w:sz w:val="24"/>
          <w:szCs w:val="24"/>
        </w:rPr>
        <w:t>cerebrovaskulinių</w:t>
      </w:r>
      <w:proofErr w:type="spellEnd"/>
      <w:r w:rsidRPr="00C659C7">
        <w:rPr>
          <w:rFonts w:ascii="Times New Roman" w:hAnsi="Times New Roman" w:cs="Times New Roman"/>
          <w:b/>
          <w:sz w:val="24"/>
          <w:szCs w:val="24"/>
        </w:rPr>
        <w:t xml:space="preserve"> ligų rodiklis (I60-I69) 100000 gyv. Lietuvos savivaldybėse</w:t>
      </w:r>
    </w:p>
    <w:p w:rsidR="00B75270" w:rsidRPr="0075037C" w:rsidRDefault="00B75270" w:rsidP="00B75270">
      <w:pPr>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p>
    <w:p w:rsidR="00AB4FFA" w:rsidRDefault="00AB4FFA" w:rsidP="00CC47F8">
      <w:pPr>
        <w:ind w:firstLine="142"/>
        <w:rPr>
          <w:rFonts w:ascii="Times New Roman" w:hAnsi="Times New Roman" w:cs="Times New Roman"/>
          <w:sz w:val="24"/>
          <w:szCs w:val="24"/>
        </w:rPr>
      </w:pPr>
    </w:p>
    <w:p w:rsidR="00AB4FFA" w:rsidRPr="00E45B60" w:rsidRDefault="00AB4FFA" w:rsidP="00C659C7">
      <w:pPr>
        <w:spacing w:line="360" w:lineRule="auto"/>
        <w:ind w:firstLine="851"/>
        <w:contextualSpacing/>
        <w:jc w:val="both"/>
        <w:rPr>
          <w:rFonts w:ascii="Times New Roman" w:hAnsi="Times New Roman" w:cs="Times New Roman"/>
          <w:sz w:val="24"/>
          <w:szCs w:val="24"/>
        </w:rPr>
      </w:pPr>
      <w:r w:rsidRPr="00E45B60">
        <w:rPr>
          <w:rFonts w:ascii="Times New Roman" w:hAnsi="Times New Roman" w:cs="Times New Roman"/>
          <w:sz w:val="24"/>
          <w:szCs w:val="24"/>
        </w:rPr>
        <w:t>Siekiant detaliau išsiaiškinti galimas tokio didelio mirtingumo rodiklių priežastis, buvo atliktas detalizuoto mirtingumo nuo kraujotakos sistemos ligų (skle</w:t>
      </w:r>
      <w:r w:rsidR="00E45B60" w:rsidRPr="00E45B60">
        <w:rPr>
          <w:rFonts w:ascii="Times New Roman" w:hAnsi="Times New Roman" w:cs="Times New Roman"/>
          <w:sz w:val="24"/>
          <w:szCs w:val="24"/>
        </w:rPr>
        <w:t>idimas pagal ligų grupes) Molėtų</w:t>
      </w:r>
      <w:r w:rsidR="00281132">
        <w:rPr>
          <w:rFonts w:ascii="Times New Roman" w:hAnsi="Times New Roman" w:cs="Times New Roman"/>
          <w:sz w:val="24"/>
          <w:szCs w:val="24"/>
        </w:rPr>
        <w:t xml:space="preserve"> r. </w:t>
      </w:r>
      <w:r w:rsidRPr="00E45B60">
        <w:rPr>
          <w:rFonts w:ascii="Times New Roman" w:hAnsi="Times New Roman" w:cs="Times New Roman"/>
          <w:sz w:val="24"/>
          <w:szCs w:val="24"/>
        </w:rPr>
        <w:t>rodiklių palyginimas su Lietuvos vidurkiu ir šio santykio interpretavimas. Skaičiuojamas savivaldybės ir Lietuvos vidurkio santykis. Žalia spalva pavaizduotas mirtingumo rodiklis, kurio reikšmė yra mažesnė už Lietuvos vidurkį, raudona – kai reikšmė yra didesnė už Lietuvos vidurkį, o geltona - kai mirtingumo rodiklis atitinka Lietuvos vidurkį</w:t>
      </w:r>
      <w:r w:rsidR="00C659C7">
        <w:rPr>
          <w:rFonts w:ascii="Times New Roman" w:hAnsi="Times New Roman" w:cs="Times New Roman"/>
          <w:sz w:val="24"/>
          <w:szCs w:val="24"/>
        </w:rPr>
        <w:t>, tačiau į jas taip pat reikia atkreipti dėmesį</w:t>
      </w:r>
      <w:r w:rsidRPr="00E45B60">
        <w:rPr>
          <w:rFonts w:ascii="Times New Roman" w:hAnsi="Times New Roman" w:cs="Times New Roman"/>
          <w:sz w:val="24"/>
          <w:szCs w:val="24"/>
        </w:rPr>
        <w:t>.</w:t>
      </w:r>
    </w:p>
    <w:p w:rsidR="00AB4FFA" w:rsidRPr="00BE3142" w:rsidRDefault="00AB4FFA" w:rsidP="00C659C7">
      <w:pPr>
        <w:spacing w:line="360" w:lineRule="auto"/>
        <w:ind w:firstLine="851"/>
        <w:contextualSpacing/>
        <w:jc w:val="both"/>
        <w:rPr>
          <w:rFonts w:ascii="Times New Roman" w:hAnsi="Times New Roman" w:cs="Times New Roman"/>
          <w:sz w:val="24"/>
          <w:szCs w:val="24"/>
        </w:rPr>
      </w:pPr>
      <w:r w:rsidRPr="00E45B60">
        <w:rPr>
          <w:rFonts w:ascii="Times New Roman" w:hAnsi="Times New Roman" w:cs="Times New Roman"/>
          <w:sz w:val="24"/>
          <w:szCs w:val="24"/>
        </w:rPr>
        <w:t xml:space="preserve">Iš žemiau pateikto paveikslo </w:t>
      </w:r>
      <w:r w:rsidR="001E4237">
        <w:rPr>
          <w:rFonts w:ascii="Times New Roman" w:hAnsi="Times New Roman" w:cs="Times New Roman"/>
          <w:sz w:val="24"/>
          <w:szCs w:val="24"/>
        </w:rPr>
        <w:t xml:space="preserve">(žr. 10 pav.) </w:t>
      </w:r>
      <w:r w:rsidRPr="00E45B60">
        <w:rPr>
          <w:rFonts w:ascii="Times New Roman" w:hAnsi="Times New Roman" w:cs="Times New Roman"/>
          <w:sz w:val="24"/>
          <w:szCs w:val="24"/>
        </w:rPr>
        <w:t xml:space="preserve">galime matyti, kad smarkiai nuo Lietuvos vidurkio skiriasi ne tik mirtingumas nuo </w:t>
      </w:r>
      <w:proofErr w:type="spellStart"/>
      <w:r w:rsidRPr="00E45B60">
        <w:rPr>
          <w:rFonts w:ascii="Times New Roman" w:hAnsi="Times New Roman" w:cs="Times New Roman"/>
          <w:sz w:val="24"/>
          <w:szCs w:val="24"/>
        </w:rPr>
        <w:t>cerebrovaskulinių</w:t>
      </w:r>
      <w:proofErr w:type="spellEnd"/>
      <w:r w:rsidRPr="00E45B60">
        <w:rPr>
          <w:rFonts w:ascii="Times New Roman" w:hAnsi="Times New Roman" w:cs="Times New Roman"/>
          <w:sz w:val="24"/>
          <w:szCs w:val="24"/>
        </w:rPr>
        <w:t xml:space="preserve"> ligų,</w:t>
      </w:r>
      <w:r w:rsidRPr="00E45B60">
        <w:rPr>
          <w:rFonts w:ascii="Times New Roman" w:hAnsi="Times New Roman" w:cs="Times New Roman"/>
          <w:i/>
          <w:sz w:val="24"/>
          <w:szCs w:val="24"/>
        </w:rPr>
        <w:t xml:space="preserve"> </w:t>
      </w:r>
      <w:r w:rsidRPr="00BE3142">
        <w:rPr>
          <w:rFonts w:ascii="Times New Roman" w:hAnsi="Times New Roman" w:cs="Times New Roman"/>
          <w:sz w:val="24"/>
          <w:szCs w:val="24"/>
        </w:rPr>
        <w:t xml:space="preserve">bet ir mirtingumas nuo </w:t>
      </w:r>
      <w:r w:rsidR="00BE3142">
        <w:rPr>
          <w:rFonts w:ascii="Times New Roman" w:hAnsi="Times New Roman" w:cs="Times New Roman"/>
          <w:sz w:val="24"/>
          <w:szCs w:val="24"/>
        </w:rPr>
        <w:t>kitų kraujotakos ligų.</w:t>
      </w:r>
    </w:p>
    <w:p w:rsidR="00AB4FFA" w:rsidRDefault="00AB4FFA" w:rsidP="00CC47F8">
      <w:pPr>
        <w:ind w:firstLine="142"/>
        <w:rPr>
          <w:rFonts w:ascii="Times New Roman" w:hAnsi="Times New Roman" w:cs="Times New Roman"/>
          <w:sz w:val="24"/>
          <w:szCs w:val="24"/>
        </w:rPr>
      </w:pPr>
    </w:p>
    <w:p w:rsidR="00DC4225" w:rsidRDefault="00DC4225" w:rsidP="00CD468B">
      <w:pPr>
        <w:ind w:left="-993" w:hanging="142"/>
        <w:rPr>
          <w:rFonts w:ascii="Times New Roman" w:hAnsi="Times New Roman" w:cs="Times New Roman"/>
          <w:sz w:val="24"/>
          <w:szCs w:val="24"/>
        </w:rPr>
      </w:pPr>
    </w:p>
    <w:p w:rsidR="00436F68" w:rsidRDefault="00436F68" w:rsidP="00436F68">
      <w:pPr>
        <w:ind w:left="-1134" w:hanging="142"/>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A40F2E5">
            <wp:extent cx="7171192" cy="3450866"/>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3631" t="35324" r="8621" b="1056"/>
                    <a:stretch/>
                  </pic:blipFill>
                  <pic:spPr bwMode="auto">
                    <a:xfrm>
                      <a:off x="0" y="0"/>
                      <a:ext cx="7179817" cy="3455016"/>
                    </a:xfrm>
                    <a:prstGeom prst="rect">
                      <a:avLst/>
                    </a:prstGeom>
                    <a:noFill/>
                    <a:ln>
                      <a:noFill/>
                    </a:ln>
                    <a:extLst>
                      <a:ext uri="{53640926-AAD7-44D8-BBD7-CCE9431645EC}">
                        <a14:shadowObscured xmlns:a14="http://schemas.microsoft.com/office/drawing/2010/main"/>
                      </a:ext>
                    </a:extLst>
                  </pic:spPr>
                </pic:pic>
              </a:graphicData>
            </a:graphic>
          </wp:inline>
        </w:drawing>
      </w:r>
    </w:p>
    <w:p w:rsidR="00C659C7" w:rsidRPr="00DE48CE" w:rsidRDefault="00C659C7" w:rsidP="00A63833">
      <w:pPr>
        <w:pStyle w:val="Sraopastraipa"/>
        <w:spacing w:after="0" w:line="360" w:lineRule="auto"/>
        <w:ind w:left="0"/>
        <w:jc w:val="center"/>
        <w:rPr>
          <w:rFonts w:ascii="Times New Roman" w:hAnsi="Times New Roman" w:cs="Times New Roman"/>
          <w:b/>
          <w:sz w:val="24"/>
          <w:szCs w:val="24"/>
        </w:rPr>
      </w:pPr>
      <w:r w:rsidRPr="00DE48CE">
        <w:rPr>
          <w:rFonts w:ascii="Times New Roman" w:hAnsi="Times New Roman" w:cs="Times New Roman"/>
          <w:b/>
          <w:sz w:val="24"/>
          <w:szCs w:val="24"/>
        </w:rPr>
        <w:t>10 pav. Mirusiųjų nuo kraujotakos sistemos ligų (I00-I99) skaičius 100000 gyv</w:t>
      </w:r>
      <w:r w:rsidR="00DE48CE" w:rsidRPr="00DE48CE">
        <w:rPr>
          <w:rFonts w:ascii="Times New Roman" w:hAnsi="Times New Roman" w:cs="Times New Roman"/>
          <w:b/>
          <w:sz w:val="24"/>
          <w:szCs w:val="24"/>
        </w:rPr>
        <w:t>. Molėtų</w:t>
      </w:r>
      <w:r w:rsidRPr="00DE48CE">
        <w:rPr>
          <w:rFonts w:ascii="Times New Roman" w:hAnsi="Times New Roman" w:cs="Times New Roman"/>
          <w:b/>
          <w:sz w:val="24"/>
          <w:szCs w:val="24"/>
        </w:rPr>
        <w:t xml:space="preserve"> r. sav. </w:t>
      </w:r>
    </w:p>
    <w:p w:rsidR="00C659C7" w:rsidRPr="00DE48CE" w:rsidRDefault="00C659C7" w:rsidP="00A63833">
      <w:pPr>
        <w:spacing w:after="0" w:line="360" w:lineRule="auto"/>
        <w:contextualSpacing/>
        <w:jc w:val="center"/>
        <w:rPr>
          <w:rFonts w:ascii="Times New Roman" w:hAnsi="Times New Roman" w:cs="Times New Roman"/>
          <w:b/>
          <w:sz w:val="24"/>
          <w:szCs w:val="24"/>
        </w:rPr>
      </w:pPr>
      <w:r w:rsidRPr="00C659C7">
        <w:rPr>
          <w:rFonts w:ascii="Times New Roman" w:hAnsi="Times New Roman" w:cs="Times New Roman"/>
          <w:b/>
          <w:sz w:val="24"/>
          <w:szCs w:val="24"/>
        </w:rPr>
        <w:t>p</w:t>
      </w:r>
      <w:r w:rsidR="00BF2E96">
        <w:rPr>
          <w:rFonts w:ascii="Times New Roman" w:hAnsi="Times New Roman" w:cs="Times New Roman"/>
          <w:b/>
          <w:sz w:val="24"/>
          <w:szCs w:val="24"/>
        </w:rPr>
        <w:t>alyginimas su Lietuvos vidurkiu, Lietuva=1,</w:t>
      </w:r>
      <w:r w:rsidRPr="00C659C7">
        <w:rPr>
          <w:rFonts w:ascii="Times New Roman" w:hAnsi="Times New Roman" w:cs="Times New Roman"/>
          <w:b/>
          <w:sz w:val="24"/>
          <w:szCs w:val="24"/>
        </w:rPr>
        <w:t xml:space="preserve"> 2014 metais</w:t>
      </w:r>
    </w:p>
    <w:p w:rsidR="00C53A62" w:rsidRPr="00DE48CE" w:rsidRDefault="00B75270" w:rsidP="00DE48CE">
      <w:pPr>
        <w:spacing w:after="120" w:line="360" w:lineRule="auto"/>
        <w:ind w:left="720"/>
        <w:contextualSpacing/>
        <w:rPr>
          <w:rFonts w:ascii="Times New Roman" w:hAnsi="Times New Roman" w:cs="Times New Roman"/>
          <w:i/>
          <w:sz w:val="24"/>
          <w:szCs w:val="24"/>
        </w:rPr>
      </w:pPr>
      <w:r w:rsidRPr="0075037C">
        <w:rPr>
          <w:rFonts w:ascii="Times New Roman" w:hAnsi="Times New Roman" w:cs="Times New Roman"/>
          <w:i/>
          <w:sz w:val="24"/>
          <w:szCs w:val="24"/>
        </w:rPr>
        <w:t>Šaltinis: HISIC</w:t>
      </w:r>
      <w:r w:rsidR="00281132">
        <w:rPr>
          <w:rFonts w:ascii="Times New Roman" w:hAnsi="Times New Roman" w:cs="Times New Roman"/>
          <w:i/>
          <w:sz w:val="24"/>
          <w:szCs w:val="24"/>
        </w:rPr>
        <w:t>, SEC skaičiavimai</w:t>
      </w:r>
      <w:r w:rsidRPr="0075037C">
        <w:rPr>
          <w:rFonts w:ascii="Times New Roman" w:hAnsi="Times New Roman" w:cs="Times New Roman"/>
          <w:i/>
          <w:sz w:val="24"/>
          <w:szCs w:val="24"/>
        </w:rPr>
        <w:t>.</w:t>
      </w:r>
    </w:p>
    <w:p w:rsidR="00C53A62" w:rsidRDefault="00DE48CE" w:rsidP="00DE48CE">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Apibendrinant </w:t>
      </w:r>
      <w:r w:rsidR="00C53A62" w:rsidRPr="00C53A62">
        <w:rPr>
          <w:rFonts w:ascii="Times New Roman" w:hAnsi="Times New Roman" w:cs="Times New Roman"/>
          <w:sz w:val="24"/>
          <w:szCs w:val="24"/>
        </w:rPr>
        <w:t>ana</w:t>
      </w:r>
      <w:r>
        <w:rPr>
          <w:rFonts w:ascii="Times New Roman" w:hAnsi="Times New Roman" w:cs="Times New Roman"/>
          <w:sz w:val="24"/>
          <w:szCs w:val="24"/>
        </w:rPr>
        <w:t xml:space="preserve">lizę galima teigti, kad </w:t>
      </w:r>
      <w:r w:rsidR="00C53A62">
        <w:rPr>
          <w:rFonts w:ascii="Times New Roman" w:hAnsi="Times New Roman" w:cs="Times New Roman"/>
          <w:sz w:val="24"/>
          <w:szCs w:val="24"/>
        </w:rPr>
        <w:t>2014</w:t>
      </w:r>
      <w:r>
        <w:rPr>
          <w:rFonts w:ascii="Times New Roman" w:hAnsi="Times New Roman" w:cs="Times New Roman"/>
          <w:sz w:val="24"/>
          <w:szCs w:val="24"/>
        </w:rPr>
        <w:t xml:space="preserve"> m.</w:t>
      </w:r>
      <w:r w:rsidR="00C53A62" w:rsidRPr="00C53A62">
        <w:rPr>
          <w:rFonts w:ascii="Times New Roman" w:hAnsi="Times New Roman" w:cs="Times New Roman"/>
          <w:sz w:val="24"/>
          <w:szCs w:val="24"/>
        </w:rPr>
        <w:t xml:space="preserve"> </w:t>
      </w:r>
      <w:r w:rsidR="00C53A62">
        <w:rPr>
          <w:rFonts w:ascii="Times New Roman" w:hAnsi="Times New Roman" w:cs="Times New Roman"/>
          <w:sz w:val="24"/>
          <w:szCs w:val="24"/>
        </w:rPr>
        <w:t>Molėtų</w:t>
      </w:r>
      <w:r w:rsidR="00FE56FF">
        <w:rPr>
          <w:rFonts w:ascii="Times New Roman" w:hAnsi="Times New Roman" w:cs="Times New Roman"/>
          <w:sz w:val="24"/>
          <w:szCs w:val="24"/>
        </w:rPr>
        <w:t xml:space="preserve"> </w:t>
      </w:r>
      <w:r w:rsidR="00A63833">
        <w:rPr>
          <w:rFonts w:ascii="Times New Roman" w:hAnsi="Times New Roman" w:cs="Times New Roman"/>
          <w:sz w:val="24"/>
          <w:szCs w:val="24"/>
        </w:rPr>
        <w:t>r</w:t>
      </w:r>
      <w:r w:rsidR="00C53A62">
        <w:rPr>
          <w:rFonts w:ascii="Times New Roman" w:hAnsi="Times New Roman" w:cs="Times New Roman"/>
          <w:sz w:val="24"/>
          <w:szCs w:val="24"/>
        </w:rPr>
        <w:t xml:space="preserve">. </w:t>
      </w:r>
      <w:r w:rsidR="00C53A62" w:rsidRPr="00C53A62">
        <w:rPr>
          <w:rFonts w:ascii="Times New Roman" w:hAnsi="Times New Roman" w:cs="Times New Roman"/>
          <w:sz w:val="24"/>
          <w:szCs w:val="24"/>
        </w:rPr>
        <w:t>užfiksuoti aukšt</w:t>
      </w:r>
      <w:r w:rsidR="00C53A62">
        <w:rPr>
          <w:rFonts w:ascii="Times New Roman" w:hAnsi="Times New Roman" w:cs="Times New Roman"/>
          <w:sz w:val="24"/>
          <w:szCs w:val="24"/>
        </w:rPr>
        <w:t>i mirtingumo rodikliai tarp 45-6</w:t>
      </w:r>
      <w:r w:rsidR="00C53A62" w:rsidRPr="00C53A62">
        <w:rPr>
          <w:rFonts w:ascii="Times New Roman" w:hAnsi="Times New Roman" w:cs="Times New Roman"/>
          <w:sz w:val="24"/>
          <w:szCs w:val="24"/>
        </w:rPr>
        <w:t xml:space="preserve">4 m. amžiaus asmenų, dėl kraujotakos sistemos ligų, ypač </w:t>
      </w:r>
      <w:r w:rsidR="00C53A62">
        <w:rPr>
          <w:rFonts w:ascii="Times New Roman" w:hAnsi="Times New Roman" w:cs="Times New Roman"/>
          <w:sz w:val="24"/>
          <w:szCs w:val="24"/>
        </w:rPr>
        <w:t>miokardo infarkto</w:t>
      </w:r>
      <w:r w:rsidR="00C53A62" w:rsidRPr="00C53A62">
        <w:rPr>
          <w:rFonts w:ascii="Times New Roman" w:hAnsi="Times New Roman" w:cs="Times New Roman"/>
          <w:sz w:val="24"/>
          <w:szCs w:val="24"/>
        </w:rPr>
        <w:t xml:space="preserve">, nuo </w:t>
      </w:r>
      <w:r w:rsidR="00C53A62">
        <w:rPr>
          <w:rFonts w:ascii="Times New Roman" w:hAnsi="Times New Roman" w:cs="Times New Roman"/>
          <w:sz w:val="24"/>
          <w:szCs w:val="24"/>
        </w:rPr>
        <w:t>išeminės širdies</w:t>
      </w:r>
      <w:r w:rsidR="00C53A62" w:rsidRPr="00C53A62">
        <w:rPr>
          <w:rFonts w:ascii="Times New Roman" w:hAnsi="Times New Roman" w:cs="Times New Roman"/>
          <w:sz w:val="24"/>
          <w:szCs w:val="24"/>
        </w:rPr>
        <w:t xml:space="preserve"> ligų ir nuo insulto.</w:t>
      </w:r>
      <w:r w:rsidR="00C53A62">
        <w:rPr>
          <w:rFonts w:ascii="Times New Roman" w:hAnsi="Times New Roman" w:cs="Times New Roman"/>
          <w:sz w:val="24"/>
          <w:szCs w:val="24"/>
        </w:rPr>
        <w:t xml:space="preserve"> Siekiant </w:t>
      </w:r>
      <w:r w:rsidR="00C53A62" w:rsidRPr="00C53A62">
        <w:rPr>
          <w:rFonts w:ascii="Times New Roman" w:hAnsi="Times New Roman" w:cs="Times New Roman"/>
          <w:sz w:val="24"/>
          <w:szCs w:val="24"/>
        </w:rPr>
        <w:t xml:space="preserve">sumažinti mirtingumo nuo </w:t>
      </w:r>
      <w:proofErr w:type="spellStart"/>
      <w:r w:rsidR="00C53A62" w:rsidRPr="00C53A62">
        <w:rPr>
          <w:rFonts w:ascii="Times New Roman" w:hAnsi="Times New Roman" w:cs="Times New Roman"/>
          <w:sz w:val="24"/>
          <w:szCs w:val="24"/>
        </w:rPr>
        <w:t>cerebrovaskulinių</w:t>
      </w:r>
      <w:proofErr w:type="spellEnd"/>
      <w:r w:rsidR="00C53A62" w:rsidRPr="00C53A62">
        <w:rPr>
          <w:rFonts w:ascii="Times New Roman" w:hAnsi="Times New Roman" w:cs="Times New Roman"/>
          <w:sz w:val="24"/>
          <w:szCs w:val="24"/>
        </w:rPr>
        <w:t xml:space="preserve"> ligų </w:t>
      </w:r>
      <w:r w:rsidR="00C53A62" w:rsidRPr="00C53A62">
        <w:rPr>
          <w:rFonts w:ascii="Times New Roman" w:hAnsi="Times New Roman" w:cs="Times New Roman"/>
          <w:sz w:val="24"/>
          <w:szCs w:val="24"/>
        </w:rPr>
        <w:lastRenderedPageBreak/>
        <w:t xml:space="preserve">rodiklius, būtina atlikti detalią visų ligų pogrupių </w:t>
      </w:r>
      <w:r>
        <w:rPr>
          <w:rFonts w:ascii="Times New Roman" w:hAnsi="Times New Roman" w:cs="Times New Roman"/>
          <w:sz w:val="24"/>
          <w:szCs w:val="24"/>
        </w:rPr>
        <w:t xml:space="preserve">kraujotakos sistemos ligų grupėje analizę, įvertinti statistinių duomenų patikimumą. </w:t>
      </w:r>
      <w:r w:rsidR="00575129">
        <w:rPr>
          <w:rFonts w:ascii="Times New Roman" w:hAnsi="Times New Roman" w:cs="Times New Roman"/>
          <w:sz w:val="24"/>
          <w:szCs w:val="24"/>
        </w:rPr>
        <w:t>T</w:t>
      </w:r>
      <w:r w:rsidR="00C53A62">
        <w:rPr>
          <w:rFonts w:ascii="Times New Roman" w:hAnsi="Times New Roman" w:cs="Times New Roman"/>
          <w:sz w:val="24"/>
          <w:szCs w:val="24"/>
        </w:rPr>
        <w:t xml:space="preserve">ik </w:t>
      </w:r>
      <w:r w:rsidR="00C53A62" w:rsidRPr="00C53A62">
        <w:rPr>
          <w:rFonts w:ascii="Times New Roman" w:hAnsi="Times New Roman" w:cs="Times New Roman"/>
          <w:sz w:val="24"/>
          <w:szCs w:val="24"/>
        </w:rPr>
        <w:t>tikslia</w:t>
      </w:r>
      <w:r w:rsidR="00B7236C">
        <w:rPr>
          <w:rFonts w:ascii="Times New Roman" w:hAnsi="Times New Roman" w:cs="Times New Roman"/>
          <w:sz w:val="24"/>
          <w:szCs w:val="24"/>
        </w:rPr>
        <w:t>i</w:t>
      </w:r>
      <w:r w:rsidR="00C53A62" w:rsidRPr="00C53A62">
        <w:rPr>
          <w:rFonts w:ascii="Times New Roman" w:hAnsi="Times New Roman" w:cs="Times New Roman"/>
          <w:sz w:val="24"/>
          <w:szCs w:val="24"/>
        </w:rPr>
        <w:t xml:space="preserve"> ir objekt</w:t>
      </w:r>
      <w:r>
        <w:rPr>
          <w:rFonts w:ascii="Times New Roman" w:hAnsi="Times New Roman" w:cs="Times New Roman"/>
          <w:sz w:val="24"/>
          <w:szCs w:val="24"/>
        </w:rPr>
        <w:t>yvia</w:t>
      </w:r>
      <w:r w:rsidR="00B7236C">
        <w:rPr>
          <w:rFonts w:ascii="Times New Roman" w:hAnsi="Times New Roman" w:cs="Times New Roman"/>
          <w:sz w:val="24"/>
          <w:szCs w:val="24"/>
        </w:rPr>
        <w:t>i identifikavus mirties priežastis galima rekomenduoti</w:t>
      </w:r>
      <w:r>
        <w:rPr>
          <w:rFonts w:ascii="Times New Roman" w:hAnsi="Times New Roman" w:cs="Times New Roman"/>
          <w:sz w:val="24"/>
          <w:szCs w:val="24"/>
        </w:rPr>
        <w:t xml:space="preserve"> </w:t>
      </w:r>
      <w:r w:rsidR="00C53A62" w:rsidRPr="00C53A62">
        <w:rPr>
          <w:rFonts w:ascii="Times New Roman" w:hAnsi="Times New Roman" w:cs="Times New Roman"/>
          <w:sz w:val="24"/>
          <w:szCs w:val="24"/>
        </w:rPr>
        <w:t>priemones sveikatos problemoms spręsti.</w:t>
      </w:r>
    </w:p>
    <w:p w:rsidR="00436F68" w:rsidRDefault="00436F68" w:rsidP="00D618AB">
      <w:pPr>
        <w:rPr>
          <w:rFonts w:ascii="Times New Roman" w:hAnsi="Times New Roman" w:cs="Times New Roman"/>
          <w:b/>
          <w:sz w:val="28"/>
          <w:szCs w:val="28"/>
        </w:rPr>
      </w:pPr>
      <w:bookmarkStart w:id="0" w:name="_GoBack"/>
      <w:bookmarkEnd w:id="0"/>
    </w:p>
    <w:p w:rsidR="00721228" w:rsidRDefault="00FE56FF" w:rsidP="00123F96">
      <w:pPr>
        <w:ind w:firstLine="142"/>
        <w:jc w:val="center"/>
        <w:rPr>
          <w:rFonts w:ascii="Times New Roman" w:hAnsi="Times New Roman" w:cs="Times New Roman"/>
          <w:b/>
          <w:sz w:val="28"/>
          <w:szCs w:val="28"/>
        </w:rPr>
      </w:pPr>
      <w:r>
        <w:rPr>
          <w:rFonts w:ascii="Times New Roman" w:hAnsi="Times New Roman" w:cs="Times New Roman"/>
          <w:b/>
          <w:sz w:val="28"/>
          <w:szCs w:val="28"/>
        </w:rPr>
        <w:t>3</w:t>
      </w:r>
      <w:r w:rsidR="00123F96" w:rsidRPr="00123F96">
        <w:rPr>
          <w:rFonts w:ascii="Times New Roman" w:hAnsi="Times New Roman" w:cs="Times New Roman"/>
          <w:b/>
          <w:sz w:val="28"/>
          <w:szCs w:val="28"/>
        </w:rPr>
        <w:t>. VYKDYTI TYRIMAI</w:t>
      </w:r>
    </w:p>
    <w:p w:rsidR="00BA7404" w:rsidRDefault="0064712D" w:rsidP="00BA7404">
      <w:pPr>
        <w:spacing w:after="0" w:line="360" w:lineRule="auto"/>
        <w:ind w:firstLine="851"/>
        <w:jc w:val="both"/>
        <w:rPr>
          <w:rFonts w:ascii="Times New Roman" w:hAnsi="Times New Roman"/>
          <w:sz w:val="24"/>
          <w:szCs w:val="24"/>
        </w:rPr>
      </w:pPr>
      <w:r w:rsidRPr="0064712D">
        <w:rPr>
          <w:rFonts w:ascii="Times New Roman" w:hAnsi="Times New Roman" w:cs="Times New Roman"/>
          <w:sz w:val="24"/>
          <w:szCs w:val="24"/>
        </w:rPr>
        <w:t xml:space="preserve">Utenos rajono savivaldybės visuomenės sveikatos biuras 2015 m. gegužės-birželio mėn. vykdė Molėtų rajono 5 ir 9 klasių mokinių sveikatos elgsenos tyrimą. </w:t>
      </w:r>
      <w:r w:rsidRPr="0064712D">
        <w:rPr>
          <w:rFonts w:ascii="Times New Roman" w:hAnsi="Times New Roman" w:cs="Times New Roman"/>
          <w:bCs/>
          <w:iCs/>
          <w:sz w:val="24"/>
          <w:szCs w:val="24"/>
        </w:rPr>
        <w:t>Šio tyrimo t</w:t>
      </w:r>
      <w:r w:rsidR="00575129">
        <w:rPr>
          <w:rFonts w:ascii="Times New Roman" w:hAnsi="Times New Roman" w:cs="Times New Roman"/>
          <w:bCs/>
          <w:iCs/>
          <w:sz w:val="24"/>
          <w:szCs w:val="24"/>
        </w:rPr>
        <w:t>ikslas – įvertinti Molėtų r.</w:t>
      </w:r>
      <w:r w:rsidRPr="0064712D">
        <w:rPr>
          <w:rFonts w:ascii="Times New Roman" w:hAnsi="Times New Roman" w:cs="Times New Roman"/>
          <w:bCs/>
          <w:iCs/>
          <w:sz w:val="24"/>
          <w:szCs w:val="24"/>
        </w:rPr>
        <w:t xml:space="preserve"> mokinių fizinio aktyvumo, mitybos įpročius, rūkymo, alkoholinių gėrimų ir narkotikų vartojimo įpročius ir </w:t>
      </w:r>
      <w:proofErr w:type="spellStart"/>
      <w:r w:rsidRPr="0064712D">
        <w:rPr>
          <w:rFonts w:ascii="Times New Roman" w:hAnsi="Times New Roman" w:cs="Times New Roman"/>
          <w:bCs/>
          <w:iCs/>
          <w:sz w:val="24"/>
          <w:szCs w:val="24"/>
        </w:rPr>
        <w:t>laimingumą</w:t>
      </w:r>
      <w:proofErr w:type="spellEnd"/>
      <w:r w:rsidRPr="0064712D">
        <w:rPr>
          <w:rFonts w:ascii="Times New Roman" w:hAnsi="Times New Roman" w:cs="Times New Roman"/>
          <w:bCs/>
          <w:iCs/>
          <w:sz w:val="24"/>
          <w:szCs w:val="24"/>
        </w:rPr>
        <w:t xml:space="preserve"> bei  kitus gyvensenos komponentus.</w:t>
      </w:r>
      <w:r w:rsidR="007C6400">
        <w:rPr>
          <w:rFonts w:ascii="Times New Roman" w:hAnsi="Times New Roman" w:cs="Times New Roman"/>
          <w:bCs/>
          <w:iCs/>
          <w:sz w:val="24"/>
          <w:szCs w:val="24"/>
        </w:rPr>
        <w:t xml:space="preserve"> </w:t>
      </w:r>
      <w:r w:rsidRPr="0064712D">
        <w:rPr>
          <w:rFonts w:ascii="Times New Roman" w:hAnsi="Times New Roman" w:cs="Times New Roman"/>
          <w:sz w:val="24"/>
          <w:szCs w:val="24"/>
        </w:rPr>
        <w:t>T</w:t>
      </w:r>
      <w:r w:rsidR="00575129">
        <w:rPr>
          <w:rFonts w:ascii="Times New Roman" w:hAnsi="Times New Roman" w:cs="Times New Roman"/>
          <w:sz w:val="24"/>
          <w:szCs w:val="24"/>
        </w:rPr>
        <w:t>yrime dalyvavo 297 Molėtų r.</w:t>
      </w:r>
      <w:r w:rsidRPr="0064712D">
        <w:rPr>
          <w:rFonts w:ascii="Times New Roman" w:hAnsi="Times New Roman" w:cs="Times New Roman"/>
          <w:sz w:val="24"/>
          <w:szCs w:val="24"/>
        </w:rPr>
        <w:t xml:space="preserve"> 5 ir 9 klasių mokiniai. Jų amžius nuo 10 iki 17 metų, bet daugiausia respondentų 15 metų amžiaus.</w:t>
      </w:r>
      <w:r w:rsidR="00BA7404">
        <w:rPr>
          <w:rFonts w:ascii="Times New Roman" w:hAnsi="Times New Roman"/>
          <w:sz w:val="24"/>
          <w:szCs w:val="24"/>
        </w:rPr>
        <w:t xml:space="preserve"> </w:t>
      </w:r>
    </w:p>
    <w:p w:rsidR="00BA7404" w:rsidRDefault="0064712D" w:rsidP="00BA7404">
      <w:pPr>
        <w:spacing w:after="0" w:line="360" w:lineRule="auto"/>
        <w:ind w:firstLine="851"/>
        <w:jc w:val="both"/>
        <w:rPr>
          <w:rFonts w:ascii="Times New Roman" w:hAnsi="Times New Roman" w:cs="Times New Roman"/>
          <w:sz w:val="24"/>
          <w:szCs w:val="24"/>
        </w:rPr>
      </w:pPr>
      <w:r w:rsidRPr="0064712D">
        <w:rPr>
          <w:rFonts w:ascii="Times New Roman" w:hAnsi="Times New Roman" w:cs="Times New Roman"/>
          <w:sz w:val="24"/>
          <w:szCs w:val="24"/>
        </w:rPr>
        <w:t>Tyrimų rezultatai parodė, kad daugiau nei pusė Molėtų r</w:t>
      </w:r>
      <w:r w:rsidR="00575129">
        <w:rPr>
          <w:rFonts w:ascii="Times New Roman" w:hAnsi="Times New Roman" w:cs="Times New Roman"/>
          <w:sz w:val="24"/>
          <w:szCs w:val="24"/>
        </w:rPr>
        <w:t>.</w:t>
      </w:r>
      <w:r w:rsidRPr="0064712D">
        <w:rPr>
          <w:rFonts w:ascii="Times New Roman" w:hAnsi="Times New Roman" w:cs="Times New Roman"/>
          <w:sz w:val="24"/>
          <w:szCs w:val="24"/>
        </w:rPr>
        <w:t xml:space="preserve"> mokinių yra pakankamai aktyvūs</w:t>
      </w:r>
      <w:r w:rsidR="00D618AB">
        <w:rPr>
          <w:rFonts w:ascii="Times New Roman" w:hAnsi="Times New Roman" w:cs="Times New Roman"/>
          <w:sz w:val="24"/>
          <w:szCs w:val="24"/>
        </w:rPr>
        <w:t xml:space="preserve"> (žr. 11 pav.)</w:t>
      </w:r>
      <w:r w:rsidRPr="0064712D">
        <w:rPr>
          <w:rFonts w:ascii="Times New Roman" w:hAnsi="Times New Roman" w:cs="Times New Roman"/>
          <w:sz w:val="24"/>
          <w:szCs w:val="24"/>
        </w:rPr>
        <w:t xml:space="preserve">. Mergaitės reikšmingai rečiau ir trumpiau mankštinasi ir sportuoja nei berniukai. </w:t>
      </w:r>
    </w:p>
    <w:p w:rsidR="00D618AB" w:rsidRDefault="00D618AB" w:rsidP="00BF2E96">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14:anchorId="4457AE34" wp14:editId="72C2CEAA">
            <wp:extent cx="4405022" cy="1932167"/>
            <wp:effectExtent l="0" t="0" r="14605" b="11430"/>
            <wp:docPr id="41" name="Diagrama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8AB" w:rsidRPr="00D618AB" w:rsidRDefault="00D618AB" w:rsidP="00D618AB">
      <w:pPr>
        <w:spacing w:after="0" w:line="36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pav. P</w:t>
      </w:r>
      <w:r w:rsidRPr="001344B5">
        <w:rPr>
          <w:rFonts w:ascii="Times New Roman" w:eastAsia="Times New Roman" w:hAnsi="Times New Roman" w:cs="Times New Roman"/>
          <w:b/>
          <w:sz w:val="24"/>
          <w:szCs w:val="24"/>
        </w:rPr>
        <w:t>akankamai aktyvių mokinių pasiskirstymas</w:t>
      </w:r>
      <w:r>
        <w:rPr>
          <w:rFonts w:ascii="Times New Roman" w:eastAsia="Times New Roman" w:hAnsi="Times New Roman" w:cs="Times New Roman"/>
          <w:b/>
          <w:sz w:val="24"/>
          <w:szCs w:val="24"/>
        </w:rPr>
        <w:t>,</w:t>
      </w:r>
      <w:r w:rsidRPr="001344B5">
        <w:rPr>
          <w:rFonts w:ascii="Times New Roman" w:eastAsia="Times New Roman" w:hAnsi="Times New Roman" w:cs="Times New Roman"/>
          <w:b/>
          <w:sz w:val="24"/>
          <w:szCs w:val="24"/>
        </w:rPr>
        <w:t xml:space="preserve"> pagal lytį ir klases</w:t>
      </w:r>
      <w:r>
        <w:rPr>
          <w:rFonts w:ascii="Times New Roman" w:eastAsia="Times New Roman" w:hAnsi="Times New Roman" w:cs="Times New Roman"/>
          <w:b/>
          <w:sz w:val="24"/>
          <w:szCs w:val="24"/>
        </w:rPr>
        <w:t xml:space="preserve"> (proc.)</w:t>
      </w:r>
    </w:p>
    <w:p w:rsidR="00BA7404" w:rsidRDefault="0064712D" w:rsidP="00BA7404">
      <w:pPr>
        <w:spacing w:after="0" w:line="360" w:lineRule="auto"/>
        <w:ind w:firstLine="851"/>
        <w:jc w:val="both"/>
        <w:rPr>
          <w:rFonts w:ascii="Times New Roman" w:hAnsi="Times New Roman" w:cs="Times New Roman"/>
          <w:sz w:val="24"/>
          <w:szCs w:val="24"/>
          <w:lang w:eastAsia="lt-LT"/>
        </w:rPr>
      </w:pPr>
      <w:r w:rsidRPr="0064712D">
        <w:rPr>
          <w:rFonts w:ascii="Times New Roman" w:eastAsia="Times New Roman" w:hAnsi="Times New Roman" w:cs="Times New Roman"/>
          <w:sz w:val="24"/>
          <w:szCs w:val="24"/>
        </w:rPr>
        <w:t xml:space="preserve">Apibendrinus tyrimo rezultatus matyti, kad maždaug kas antras mokinys prieš išeidamas į mokyklą ne kas rytą pusryčiauja namuose. </w:t>
      </w:r>
      <w:r w:rsidRPr="0064712D">
        <w:rPr>
          <w:rFonts w:ascii="Times New Roman" w:hAnsi="Times New Roman" w:cs="Times New Roman"/>
          <w:sz w:val="24"/>
          <w:szCs w:val="24"/>
        </w:rPr>
        <w:t>Molėtų r</w:t>
      </w:r>
      <w:r w:rsidR="00575129">
        <w:rPr>
          <w:rFonts w:ascii="Times New Roman" w:hAnsi="Times New Roman" w:cs="Times New Roman"/>
          <w:sz w:val="24"/>
          <w:szCs w:val="24"/>
        </w:rPr>
        <w:t>.</w:t>
      </w:r>
      <w:r w:rsidRPr="0064712D">
        <w:rPr>
          <w:rFonts w:ascii="Times New Roman" w:hAnsi="Times New Roman" w:cs="Times New Roman"/>
          <w:sz w:val="24"/>
          <w:szCs w:val="24"/>
        </w:rPr>
        <w:t xml:space="preserve"> mokinių mityba nėra</w:t>
      </w:r>
      <w:r w:rsidRPr="0064712D">
        <w:rPr>
          <w:rFonts w:ascii="Times New Roman" w:hAnsi="Times New Roman" w:cs="Times New Roman"/>
          <w:sz w:val="24"/>
          <w:szCs w:val="24"/>
          <w:lang w:eastAsia="lt-LT"/>
        </w:rPr>
        <w:t xml:space="preserve"> pakankamai sveika: mokiniai per retai valgo rekomenduojamus maisto produktus (vaisius, daržoves) ir per dažnai – </w:t>
      </w:r>
      <w:proofErr w:type="spellStart"/>
      <w:r w:rsidRPr="0064712D">
        <w:rPr>
          <w:rFonts w:ascii="Times New Roman" w:hAnsi="Times New Roman" w:cs="Times New Roman"/>
          <w:sz w:val="24"/>
          <w:szCs w:val="24"/>
          <w:lang w:eastAsia="lt-LT"/>
        </w:rPr>
        <w:t>mitybiniu</w:t>
      </w:r>
      <w:proofErr w:type="spellEnd"/>
      <w:r w:rsidRPr="0064712D">
        <w:rPr>
          <w:rFonts w:ascii="Times New Roman" w:hAnsi="Times New Roman" w:cs="Times New Roman"/>
          <w:sz w:val="24"/>
          <w:szCs w:val="24"/>
          <w:lang w:eastAsia="lt-LT"/>
        </w:rPr>
        <w:t xml:space="preserve"> požiūriu menkaverčius maisto produktus (saldainiai, šokoladas, bandelės, tortai, bulvių traškučiai, gazuoti saldūs gėrimai)</w:t>
      </w:r>
      <w:r w:rsidR="00F54B6B">
        <w:rPr>
          <w:rFonts w:ascii="Times New Roman" w:hAnsi="Times New Roman" w:cs="Times New Roman"/>
          <w:sz w:val="24"/>
          <w:szCs w:val="24"/>
          <w:lang w:eastAsia="lt-LT"/>
        </w:rPr>
        <w:t xml:space="preserve"> (žr. 2 lentelę)</w:t>
      </w:r>
      <w:r w:rsidRPr="0064712D">
        <w:rPr>
          <w:rFonts w:ascii="Times New Roman" w:hAnsi="Times New Roman" w:cs="Times New Roman"/>
          <w:sz w:val="24"/>
          <w:szCs w:val="24"/>
          <w:lang w:eastAsia="lt-LT"/>
        </w:rPr>
        <w:t xml:space="preserve">. </w:t>
      </w:r>
    </w:p>
    <w:p w:rsidR="00D618AB" w:rsidRPr="00D618AB" w:rsidRDefault="00F54B6B" w:rsidP="00D618AB">
      <w:pPr>
        <w:spacing w:after="0" w:line="360" w:lineRule="auto"/>
        <w:ind w:firstLine="540"/>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D618AB" w:rsidRPr="00D618AB">
        <w:rPr>
          <w:rFonts w:ascii="Times New Roman" w:eastAsia="Times New Roman" w:hAnsi="Times New Roman" w:cs="Times New Roman"/>
          <w:sz w:val="24"/>
          <w:szCs w:val="20"/>
        </w:rPr>
        <w:t xml:space="preserve"> lentelė</w:t>
      </w:r>
    </w:p>
    <w:p w:rsidR="00D618AB" w:rsidRPr="00D618AB" w:rsidRDefault="00D618AB" w:rsidP="00D618AB">
      <w:pPr>
        <w:spacing w:after="0" w:line="360" w:lineRule="auto"/>
        <w:ind w:firstLine="540"/>
        <w:jc w:val="center"/>
        <w:rPr>
          <w:rFonts w:ascii="Times New Roman" w:eastAsia="Times New Roman" w:hAnsi="Times New Roman" w:cs="Times New Roman"/>
          <w:b/>
          <w:sz w:val="24"/>
          <w:szCs w:val="20"/>
        </w:rPr>
      </w:pPr>
      <w:r w:rsidRPr="00D618AB">
        <w:rPr>
          <w:rFonts w:ascii="Times New Roman" w:eastAsia="Times New Roman" w:hAnsi="Times New Roman" w:cs="Times New Roman"/>
          <w:b/>
          <w:sz w:val="24"/>
          <w:szCs w:val="20"/>
        </w:rPr>
        <w:t>Mokinių maisto produktų vartojimo dažnis</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963"/>
        <w:gridCol w:w="1173"/>
        <w:gridCol w:w="998"/>
        <w:gridCol w:w="944"/>
        <w:gridCol w:w="944"/>
        <w:gridCol w:w="1075"/>
        <w:gridCol w:w="1275"/>
      </w:tblGrid>
      <w:tr w:rsidR="00D618AB" w:rsidRPr="00D618AB" w:rsidTr="00CD468B">
        <w:trPr>
          <w:trHeight w:val="926"/>
        </w:trPr>
        <w:tc>
          <w:tcPr>
            <w:tcW w:w="3282" w:type="dxa"/>
          </w:tcPr>
          <w:p w:rsidR="00D618AB" w:rsidRPr="00D618AB" w:rsidRDefault="00D618AB" w:rsidP="00D618AB">
            <w:pPr>
              <w:spacing w:after="0" w:line="240" w:lineRule="auto"/>
              <w:contextualSpacing/>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Kaip dažnai valgai/ geri ką nors iš šių maisto produktų?</w:t>
            </w:r>
          </w:p>
        </w:tc>
        <w:tc>
          <w:tcPr>
            <w:tcW w:w="0" w:type="auto"/>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Niekada</w:t>
            </w:r>
          </w:p>
        </w:tc>
        <w:tc>
          <w:tcPr>
            <w:tcW w:w="1173" w:type="dxa"/>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Rečiau nei kartą per sav.</w:t>
            </w:r>
          </w:p>
        </w:tc>
        <w:tc>
          <w:tcPr>
            <w:tcW w:w="998" w:type="dxa"/>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Kartą per sav.</w:t>
            </w:r>
          </w:p>
        </w:tc>
        <w:tc>
          <w:tcPr>
            <w:tcW w:w="0" w:type="auto"/>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2–4 dienas per sav.</w:t>
            </w:r>
          </w:p>
        </w:tc>
        <w:tc>
          <w:tcPr>
            <w:tcW w:w="0" w:type="auto"/>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5–6 dienas per sav.</w:t>
            </w:r>
          </w:p>
        </w:tc>
        <w:tc>
          <w:tcPr>
            <w:tcW w:w="1075" w:type="dxa"/>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Kasdien, kartą per dieną</w:t>
            </w:r>
          </w:p>
        </w:tc>
        <w:tc>
          <w:tcPr>
            <w:tcW w:w="1275" w:type="dxa"/>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Kasdien, kelis kartus per dieną</w:t>
            </w:r>
          </w:p>
        </w:tc>
      </w:tr>
      <w:tr w:rsidR="00D618AB" w:rsidRPr="00D618AB" w:rsidTr="00CD468B">
        <w:tc>
          <w:tcPr>
            <w:tcW w:w="3282" w:type="dxa"/>
            <w:vAlign w:val="center"/>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Vaisius</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1,3%</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4,4%</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11,1%</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37,7%</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16,8%</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13,5%</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13,8%</w:t>
            </w:r>
          </w:p>
        </w:tc>
      </w:tr>
      <w:tr w:rsidR="00D618AB" w:rsidRPr="00D618AB" w:rsidTr="00CD468B">
        <w:tc>
          <w:tcPr>
            <w:tcW w:w="3282" w:type="dxa"/>
            <w:vAlign w:val="center"/>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Daržoves</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5,7%</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10,8%</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31,6%</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21,9%</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17,5%</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7,7%</w:t>
            </w:r>
          </w:p>
        </w:tc>
      </w:tr>
      <w:tr w:rsidR="00D618AB" w:rsidRPr="00D618AB" w:rsidTr="00CD468B">
        <w:tc>
          <w:tcPr>
            <w:tcW w:w="3282" w:type="dxa"/>
            <w:vAlign w:val="center"/>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Saldainius, šokoladą</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2,7%</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10,8%</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25,3%</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27,3%</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12,5%</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8,8%</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5,1%</w:t>
            </w:r>
          </w:p>
        </w:tc>
      </w:tr>
      <w:tr w:rsidR="00D618AB" w:rsidRPr="00D618AB" w:rsidTr="00CD468B">
        <w:tc>
          <w:tcPr>
            <w:tcW w:w="3282" w:type="dxa"/>
            <w:vAlign w:val="center"/>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lastRenderedPageBreak/>
              <w:t>Saldžias bandeles, sausainius, tortą, pyragėlius</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2,4%</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23,6%</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27,9%</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27,3%</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9,1%</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6,1%</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1,3%</w:t>
            </w:r>
          </w:p>
        </w:tc>
      </w:tr>
      <w:tr w:rsidR="00D618AB" w:rsidRPr="00D618AB" w:rsidTr="00CD468B">
        <w:tc>
          <w:tcPr>
            <w:tcW w:w="3282" w:type="dxa"/>
            <w:vAlign w:val="center"/>
          </w:tcPr>
          <w:p w:rsidR="00D618AB" w:rsidRPr="00D618AB" w:rsidRDefault="00D618AB" w:rsidP="00D618AB">
            <w:pPr>
              <w:spacing w:after="0" w:line="240" w:lineRule="auto"/>
              <w:jc w:val="center"/>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Bulvių traškučius</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11,8%</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40,7%</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24,2%</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13,8%</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4,7%</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2,7%</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1,7%</w:t>
            </w:r>
          </w:p>
        </w:tc>
      </w:tr>
      <w:tr w:rsidR="00D618AB" w:rsidRPr="00D618AB" w:rsidTr="00CD468B">
        <w:tc>
          <w:tcPr>
            <w:tcW w:w="3282" w:type="dxa"/>
            <w:vAlign w:val="center"/>
          </w:tcPr>
          <w:p w:rsidR="00D618AB" w:rsidRPr="00D618AB" w:rsidRDefault="00D618AB" w:rsidP="00CD468B">
            <w:pPr>
              <w:tabs>
                <w:tab w:val="left" w:pos="-108"/>
              </w:tabs>
              <w:spacing w:after="0" w:line="240" w:lineRule="auto"/>
              <w:ind w:hanging="108"/>
              <w:rPr>
                <w:rFonts w:ascii="Times New Roman" w:eastAsia="Calibri" w:hAnsi="Times New Roman" w:cs="Times New Roman"/>
                <w:b/>
                <w:sz w:val="21"/>
                <w:szCs w:val="21"/>
                <w:lang w:eastAsia="lt-LT"/>
              </w:rPr>
            </w:pPr>
            <w:r w:rsidRPr="00D618AB">
              <w:rPr>
                <w:rFonts w:ascii="Times New Roman" w:eastAsia="Calibri" w:hAnsi="Times New Roman" w:cs="Times New Roman"/>
                <w:b/>
                <w:sz w:val="21"/>
                <w:szCs w:val="21"/>
                <w:lang w:eastAsia="lt-LT"/>
              </w:rPr>
              <w:t>Gazuotus saldžius gėrimus („Coca-Cola“, „Pepsi“, limonadai ir kt.)</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9,1%</w:t>
            </w:r>
          </w:p>
        </w:tc>
        <w:tc>
          <w:tcPr>
            <w:tcW w:w="1173"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34,7%</w:t>
            </w:r>
          </w:p>
        </w:tc>
        <w:tc>
          <w:tcPr>
            <w:tcW w:w="998"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21,2%</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16,5%</w:t>
            </w:r>
          </w:p>
        </w:tc>
        <w:tc>
          <w:tcPr>
            <w:tcW w:w="0" w:type="auto"/>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10,1%</w:t>
            </w:r>
          </w:p>
        </w:tc>
        <w:tc>
          <w:tcPr>
            <w:tcW w:w="10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3%</w:t>
            </w:r>
          </w:p>
        </w:tc>
        <w:tc>
          <w:tcPr>
            <w:tcW w:w="1275" w:type="dxa"/>
          </w:tcPr>
          <w:p w:rsidR="00D618AB" w:rsidRPr="00D618AB" w:rsidRDefault="00D618AB" w:rsidP="00D618AB">
            <w:pPr>
              <w:spacing w:after="0" w:line="240" w:lineRule="auto"/>
              <w:rPr>
                <w:rFonts w:ascii="Times New Roman" w:eastAsia="Calibri" w:hAnsi="Times New Roman" w:cs="Times New Roman"/>
                <w:sz w:val="21"/>
                <w:szCs w:val="21"/>
                <w:lang w:eastAsia="lt-LT"/>
              </w:rPr>
            </w:pPr>
            <w:r w:rsidRPr="00D618AB">
              <w:rPr>
                <w:rFonts w:ascii="Times New Roman" w:eastAsia="Calibri" w:hAnsi="Times New Roman" w:cs="Times New Roman"/>
                <w:sz w:val="21"/>
                <w:szCs w:val="21"/>
                <w:lang w:eastAsia="lt-LT"/>
              </w:rPr>
              <w:t>3,7%</w:t>
            </w:r>
          </w:p>
        </w:tc>
      </w:tr>
    </w:tbl>
    <w:p w:rsidR="00D618AB" w:rsidRDefault="0064712D" w:rsidP="00F54B6B">
      <w:pPr>
        <w:spacing w:after="0" w:line="360" w:lineRule="auto"/>
        <w:ind w:firstLine="851"/>
        <w:jc w:val="both"/>
        <w:rPr>
          <w:rFonts w:ascii="Times New Roman" w:hAnsi="Times New Roman"/>
          <w:sz w:val="24"/>
          <w:szCs w:val="24"/>
        </w:rPr>
      </w:pPr>
      <w:r w:rsidRPr="0064712D">
        <w:rPr>
          <w:rFonts w:ascii="Times New Roman" w:hAnsi="Times New Roman"/>
          <w:sz w:val="24"/>
          <w:szCs w:val="24"/>
        </w:rPr>
        <w:t>Daugiau nei pusė Molėtų r</w:t>
      </w:r>
      <w:r w:rsidR="00575129">
        <w:rPr>
          <w:rFonts w:ascii="Times New Roman" w:hAnsi="Times New Roman"/>
          <w:sz w:val="24"/>
          <w:szCs w:val="24"/>
        </w:rPr>
        <w:t>.</w:t>
      </w:r>
      <w:r w:rsidRPr="0064712D">
        <w:rPr>
          <w:rFonts w:ascii="Times New Roman" w:hAnsi="Times New Roman"/>
          <w:sz w:val="24"/>
          <w:szCs w:val="24"/>
        </w:rPr>
        <w:t xml:space="preserve"> mokinių teigė nevartojantys alkoholio, tačiau kada nors apsvaigę du ar daugiau kartų per visą gyvenimą prisipažino 17,5 proc. mokinių. </w:t>
      </w:r>
      <w:r w:rsidRPr="0064712D">
        <w:rPr>
          <w:rFonts w:ascii="Times New Roman" w:eastAsia="Times New Roman" w:hAnsi="Times New Roman" w:cs="Times New Roman"/>
          <w:sz w:val="24"/>
          <w:szCs w:val="24"/>
        </w:rPr>
        <w:t xml:space="preserve">Iš viso </w:t>
      </w:r>
      <w:r w:rsidR="00F54B6B" w:rsidRPr="0064712D">
        <w:rPr>
          <w:rFonts w:ascii="Times New Roman" w:eastAsia="Times New Roman" w:hAnsi="Times New Roman" w:cs="Times New Roman"/>
          <w:sz w:val="24"/>
          <w:szCs w:val="24"/>
        </w:rPr>
        <w:t xml:space="preserve">rūkančiųjų mokinių </w:t>
      </w:r>
      <w:r w:rsidRPr="0064712D">
        <w:rPr>
          <w:rFonts w:ascii="Times New Roman" w:eastAsia="Times New Roman" w:hAnsi="Times New Roman" w:cs="Times New Roman"/>
          <w:sz w:val="24"/>
          <w:szCs w:val="24"/>
        </w:rPr>
        <w:t xml:space="preserve">yra </w:t>
      </w:r>
      <w:r w:rsidR="00F54B6B">
        <w:rPr>
          <w:rFonts w:ascii="Times New Roman" w:eastAsia="Times New Roman" w:hAnsi="Times New Roman" w:cs="Times New Roman"/>
          <w:sz w:val="24"/>
          <w:szCs w:val="24"/>
        </w:rPr>
        <w:t>14,5 proc</w:t>
      </w:r>
      <w:r w:rsidRPr="0064712D">
        <w:rPr>
          <w:rFonts w:ascii="Times New Roman" w:eastAsia="Times New Roman" w:hAnsi="Times New Roman" w:cs="Times New Roman"/>
          <w:sz w:val="24"/>
          <w:szCs w:val="24"/>
        </w:rPr>
        <w:t>. Narkotinių medžiagų vartojimas paplitęs tik tarp 9 klasės mokinių.</w:t>
      </w:r>
      <w:r w:rsidR="00BA7404">
        <w:rPr>
          <w:rFonts w:ascii="Times New Roman" w:hAnsi="Times New Roman"/>
          <w:sz w:val="24"/>
          <w:szCs w:val="24"/>
        </w:rPr>
        <w:t xml:space="preserve"> </w:t>
      </w:r>
    </w:p>
    <w:p w:rsidR="00D618AB" w:rsidRDefault="0064712D" w:rsidP="00BA7404">
      <w:pPr>
        <w:spacing w:after="0" w:line="360" w:lineRule="auto"/>
        <w:ind w:firstLine="851"/>
        <w:jc w:val="both"/>
        <w:rPr>
          <w:rFonts w:ascii="Times New Roman" w:hAnsi="Times New Roman"/>
          <w:sz w:val="24"/>
          <w:szCs w:val="24"/>
        </w:rPr>
      </w:pPr>
      <w:r w:rsidRPr="0064712D">
        <w:rPr>
          <w:rFonts w:ascii="Times New Roman" w:eastAsia="Times New Roman" w:hAnsi="Times New Roman" w:cs="Times New Roman"/>
          <w:sz w:val="24"/>
          <w:szCs w:val="24"/>
        </w:rPr>
        <w:t>Iš tyrimo duomenų matyti, kad mokiniai, televizijos, filmų, vaizdo įrašų ar kitai sėdimai veiklai, per dieną vidutiniškai  laiko skiria apie tris valandas per dieną darbo dienomis ir apie dvi valandas savaitgaliais.</w:t>
      </w:r>
      <w:r w:rsidR="00BA7404">
        <w:rPr>
          <w:rFonts w:ascii="Times New Roman" w:hAnsi="Times New Roman"/>
          <w:sz w:val="24"/>
          <w:szCs w:val="24"/>
        </w:rPr>
        <w:t xml:space="preserve"> </w:t>
      </w:r>
    </w:p>
    <w:p w:rsidR="00D618AB" w:rsidRDefault="0064712D" w:rsidP="00BA7404">
      <w:pPr>
        <w:spacing w:after="0" w:line="360" w:lineRule="auto"/>
        <w:ind w:firstLine="851"/>
        <w:jc w:val="both"/>
        <w:rPr>
          <w:rFonts w:ascii="Times New Roman" w:hAnsi="Times New Roman"/>
          <w:sz w:val="24"/>
          <w:szCs w:val="24"/>
        </w:rPr>
      </w:pPr>
      <w:r w:rsidRPr="0064712D">
        <w:rPr>
          <w:rFonts w:ascii="Times New Roman" w:eastAsia="Times New Roman" w:hAnsi="Times New Roman" w:cs="Times New Roman"/>
          <w:sz w:val="24"/>
          <w:szCs w:val="24"/>
        </w:rPr>
        <w:t>Jaunas žmogus ypač jautrus neigiamiems veiksniams: tyčiojimuisi, smurtui, vandalizmui ir kt. Labiausiai paplitusi jaunų žmonių destruktyvaus elgesio forma – patyčios. Jos gali pasireikšti fiziniu veiksmu, žodiniu įžeidinėjimu, neteisingu elgesiu. Molėtų r</w:t>
      </w:r>
      <w:r w:rsidR="00575129">
        <w:rPr>
          <w:rFonts w:ascii="Times New Roman" w:eastAsia="Times New Roman" w:hAnsi="Times New Roman" w:cs="Times New Roman"/>
          <w:sz w:val="24"/>
          <w:szCs w:val="24"/>
        </w:rPr>
        <w:t>.</w:t>
      </w:r>
      <w:r w:rsidRPr="0064712D">
        <w:rPr>
          <w:rFonts w:ascii="Times New Roman" w:eastAsia="Times New Roman" w:hAnsi="Times New Roman" w:cs="Times New Roman"/>
          <w:sz w:val="24"/>
          <w:szCs w:val="24"/>
        </w:rPr>
        <w:t xml:space="preserve"> dažniausiai, per pastaruosius du mėnesius, patyčias patyrė 5 klasės mokiniai, pagal lytį </w:t>
      </w:r>
      <w:r w:rsidR="00F54B6B">
        <w:rPr>
          <w:rFonts w:ascii="Times New Roman" w:eastAsia="Times New Roman" w:hAnsi="Times New Roman" w:cs="Times New Roman"/>
          <w:sz w:val="24"/>
          <w:szCs w:val="24"/>
        </w:rPr>
        <w:t>–</w:t>
      </w:r>
      <w:r w:rsidRPr="0064712D">
        <w:rPr>
          <w:rFonts w:ascii="Times New Roman" w:eastAsia="Times New Roman" w:hAnsi="Times New Roman" w:cs="Times New Roman"/>
          <w:sz w:val="24"/>
          <w:szCs w:val="24"/>
        </w:rPr>
        <w:t xml:space="preserve"> berniukai</w:t>
      </w:r>
      <w:r w:rsidR="00F54B6B">
        <w:rPr>
          <w:rFonts w:ascii="Times New Roman" w:eastAsia="Times New Roman" w:hAnsi="Times New Roman" w:cs="Times New Roman"/>
          <w:sz w:val="24"/>
          <w:szCs w:val="24"/>
        </w:rPr>
        <w:t xml:space="preserve"> (žr. 12 pav.)</w:t>
      </w:r>
      <w:r w:rsidRPr="0064712D">
        <w:rPr>
          <w:rFonts w:ascii="Times New Roman" w:eastAsia="Times New Roman" w:hAnsi="Times New Roman" w:cs="Times New Roman"/>
          <w:sz w:val="24"/>
          <w:szCs w:val="24"/>
        </w:rPr>
        <w:t>.</w:t>
      </w:r>
      <w:r w:rsidR="00BA7404">
        <w:rPr>
          <w:rFonts w:ascii="Times New Roman" w:hAnsi="Times New Roman"/>
          <w:sz w:val="24"/>
          <w:szCs w:val="24"/>
        </w:rPr>
        <w:t xml:space="preserve"> </w:t>
      </w:r>
    </w:p>
    <w:p w:rsidR="00F54B6B" w:rsidRDefault="00F54B6B" w:rsidP="00F54B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lt-LT"/>
        </w:rPr>
        <w:drawing>
          <wp:inline distT="0" distB="0" distL="0" distR="0" wp14:anchorId="367F3E6E" wp14:editId="4A8AC060">
            <wp:extent cx="4882101" cy="2027582"/>
            <wp:effectExtent l="0" t="0" r="13970" b="10795"/>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4B6B" w:rsidRPr="00F54B6B" w:rsidRDefault="00F54B6B" w:rsidP="00F54B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pav. Mokinių dalis </w:t>
      </w:r>
      <w:r w:rsidRPr="004F3E99">
        <w:rPr>
          <w:rFonts w:ascii="Times New Roman" w:eastAsia="Times New Roman" w:hAnsi="Times New Roman" w:cs="Times New Roman"/>
          <w:b/>
          <w:sz w:val="24"/>
          <w:szCs w:val="24"/>
        </w:rPr>
        <w:t>(proc.)</w:t>
      </w:r>
      <w:r>
        <w:rPr>
          <w:rFonts w:ascii="Times New Roman" w:eastAsia="Times New Roman" w:hAnsi="Times New Roman" w:cs="Times New Roman"/>
          <w:b/>
          <w:sz w:val="24"/>
          <w:szCs w:val="24"/>
        </w:rPr>
        <w:t xml:space="preserve"> iš kurių tyčiojosi kiti mokiniai per pastaruosius du mėnesius, pagal lytį ir klases</w:t>
      </w:r>
    </w:p>
    <w:p w:rsidR="00D618AB" w:rsidRDefault="0064712D" w:rsidP="00BA7404">
      <w:pPr>
        <w:spacing w:after="0" w:line="360" w:lineRule="auto"/>
        <w:ind w:firstLine="851"/>
        <w:jc w:val="both"/>
        <w:rPr>
          <w:rFonts w:ascii="Times New Roman" w:eastAsia="Times New Roman" w:hAnsi="Times New Roman" w:cs="Times New Roman"/>
          <w:sz w:val="24"/>
          <w:szCs w:val="24"/>
        </w:rPr>
      </w:pPr>
      <w:r w:rsidRPr="0064712D">
        <w:rPr>
          <w:rFonts w:ascii="Times New Roman" w:eastAsia="Times New Roman" w:hAnsi="Times New Roman" w:cs="Times New Roman"/>
          <w:sz w:val="24"/>
          <w:szCs w:val="24"/>
        </w:rPr>
        <w:t xml:space="preserve">Šios apklausos duomenų analizė parodė, kad beveik pusė mokinių per pastaruosius metus kartą ar net kelis kartus yra patyrę traumą bei kitokį nelaimingą atsitikimą. To būtų galima išvengti, jei paaugliai laikytųsi saugaus elgesio taisyklių, turėtų arba naudotųsi apsaugos priemonėmis, tačiau iš gautų duomenų matyti, kad šviesos atšvaitą visada nešioja tik 14,8 proc. mokinių, 99,2 proc. mokinių automobilyje visada užsisega saugos diržą. </w:t>
      </w:r>
    </w:p>
    <w:p w:rsidR="00D618AB" w:rsidRDefault="0064712D" w:rsidP="00BA7404">
      <w:pPr>
        <w:spacing w:after="0" w:line="360" w:lineRule="auto"/>
        <w:ind w:firstLine="851"/>
        <w:jc w:val="both"/>
        <w:rPr>
          <w:rFonts w:ascii="Times New Roman" w:hAnsi="Times New Roman"/>
          <w:sz w:val="24"/>
          <w:szCs w:val="24"/>
        </w:rPr>
      </w:pPr>
      <w:r w:rsidRPr="0064712D">
        <w:rPr>
          <w:rFonts w:ascii="Times New Roman" w:eastAsia="Times New Roman" w:hAnsi="Times New Roman" w:cs="Times New Roman"/>
          <w:sz w:val="24"/>
          <w:szCs w:val="24"/>
        </w:rPr>
        <w:t>Molėtų r</w:t>
      </w:r>
      <w:r w:rsidR="006444F9">
        <w:rPr>
          <w:rFonts w:ascii="Times New Roman" w:eastAsia="Times New Roman" w:hAnsi="Times New Roman" w:cs="Times New Roman"/>
          <w:sz w:val="24"/>
          <w:szCs w:val="24"/>
        </w:rPr>
        <w:t>.</w:t>
      </w:r>
      <w:r w:rsidRPr="0064712D">
        <w:rPr>
          <w:rFonts w:ascii="Times New Roman" w:eastAsia="Times New Roman" w:hAnsi="Times New Roman" w:cs="Times New Roman"/>
          <w:sz w:val="24"/>
          <w:szCs w:val="24"/>
        </w:rPr>
        <w:t xml:space="preserve"> mokiniai neypatingai rūpinasi savo burnos higiena – reguliariai dantis valo tik 54,9 proc. mokinių.</w:t>
      </w:r>
      <w:r w:rsidR="00BA7404">
        <w:rPr>
          <w:rFonts w:ascii="Times New Roman" w:hAnsi="Times New Roman"/>
          <w:sz w:val="24"/>
          <w:szCs w:val="24"/>
        </w:rPr>
        <w:t xml:space="preserve"> </w:t>
      </w:r>
      <w:r w:rsidRPr="0064712D">
        <w:rPr>
          <w:rFonts w:ascii="Times New Roman" w:eastAsia="Calibri" w:hAnsi="Times New Roman" w:cs="Times New Roman"/>
          <w:sz w:val="24"/>
          <w:szCs w:val="24"/>
        </w:rPr>
        <w:t>Beveik pusė Molėtų r</w:t>
      </w:r>
      <w:r w:rsidR="006444F9">
        <w:rPr>
          <w:rFonts w:ascii="Times New Roman" w:eastAsia="Calibri" w:hAnsi="Times New Roman" w:cs="Times New Roman"/>
          <w:sz w:val="24"/>
          <w:szCs w:val="24"/>
        </w:rPr>
        <w:t>.</w:t>
      </w:r>
      <w:r w:rsidRPr="0064712D">
        <w:rPr>
          <w:rFonts w:ascii="Times New Roman" w:eastAsia="Calibri" w:hAnsi="Times New Roman" w:cs="Times New Roman"/>
          <w:sz w:val="24"/>
          <w:szCs w:val="24"/>
        </w:rPr>
        <w:t xml:space="preserve"> mokinių savo sveikatą įvertino kaip  gerą, tačiau savo sveikatą vertinančių „patenkinamai“ ir „blogai“ mergaičių dalis yra didesnė, nei berniukų.</w:t>
      </w:r>
      <w:r w:rsidR="00BA7404">
        <w:rPr>
          <w:rFonts w:ascii="Times New Roman" w:hAnsi="Times New Roman"/>
          <w:sz w:val="24"/>
          <w:szCs w:val="24"/>
        </w:rPr>
        <w:t xml:space="preserve"> </w:t>
      </w:r>
    </w:p>
    <w:p w:rsidR="00D618AB" w:rsidRDefault="0064712D" w:rsidP="00BA7404">
      <w:pPr>
        <w:spacing w:after="0" w:line="360" w:lineRule="auto"/>
        <w:ind w:firstLine="851"/>
        <w:jc w:val="both"/>
        <w:rPr>
          <w:rFonts w:ascii="Times New Roman" w:hAnsi="Times New Roman"/>
          <w:sz w:val="24"/>
          <w:szCs w:val="24"/>
        </w:rPr>
      </w:pPr>
      <w:proofErr w:type="spellStart"/>
      <w:r w:rsidRPr="0064712D">
        <w:rPr>
          <w:rFonts w:ascii="Times New Roman" w:hAnsi="Times New Roman" w:cs="Times New Roman"/>
          <w:sz w:val="24"/>
          <w:szCs w:val="24"/>
        </w:rPr>
        <w:t>Laimingumo</w:t>
      </w:r>
      <w:proofErr w:type="spellEnd"/>
      <w:r w:rsidRPr="0064712D">
        <w:rPr>
          <w:rFonts w:ascii="Times New Roman" w:hAnsi="Times New Roman" w:cs="Times New Roman"/>
          <w:sz w:val="24"/>
          <w:szCs w:val="24"/>
        </w:rPr>
        <w:t xml:space="preserve"> vertinimas yra neatsiejamas nuo asmens psichikos sveikatos ir leidžia spręsti, ar žmogui būdinga baimė, pyktis, depresija, ar jis patenkintas gyvenimu visumoje. Tyrimo duomenimis, dauguma Molėtų r</w:t>
      </w:r>
      <w:r w:rsidR="006444F9">
        <w:rPr>
          <w:rFonts w:ascii="Times New Roman" w:hAnsi="Times New Roman" w:cs="Times New Roman"/>
          <w:sz w:val="24"/>
          <w:szCs w:val="24"/>
        </w:rPr>
        <w:t>.</w:t>
      </w:r>
      <w:r w:rsidRPr="0064712D">
        <w:rPr>
          <w:rFonts w:ascii="Times New Roman" w:hAnsi="Times New Roman" w:cs="Times New Roman"/>
          <w:sz w:val="24"/>
          <w:szCs w:val="24"/>
        </w:rPr>
        <w:t xml:space="preserve"> mokinių buvo patenkinti gyvenimo kokybe: berniukai statistiškai </w:t>
      </w:r>
      <w:r w:rsidRPr="0064712D">
        <w:rPr>
          <w:rFonts w:ascii="Times New Roman" w:hAnsi="Times New Roman" w:cs="Times New Roman"/>
          <w:sz w:val="24"/>
          <w:szCs w:val="24"/>
        </w:rPr>
        <w:lastRenderedPageBreak/>
        <w:t>reikšmingai dažniau jautėsi laimingesni nei mergaitės, lyginant pagal klases</w:t>
      </w:r>
      <w:r w:rsidR="00575129">
        <w:rPr>
          <w:rFonts w:ascii="Times New Roman" w:hAnsi="Times New Roman" w:cs="Times New Roman"/>
          <w:sz w:val="24"/>
          <w:szCs w:val="24"/>
        </w:rPr>
        <w:t>,</w:t>
      </w:r>
      <w:r w:rsidRPr="0064712D">
        <w:rPr>
          <w:rFonts w:ascii="Times New Roman" w:hAnsi="Times New Roman" w:cs="Times New Roman"/>
          <w:sz w:val="24"/>
          <w:szCs w:val="24"/>
        </w:rPr>
        <w:t xml:space="preserve"> 5 klasės mokiniai jautėsi laimingesni nei 9 klasės</w:t>
      </w:r>
      <w:r w:rsidR="00F54B6B">
        <w:rPr>
          <w:rFonts w:ascii="Times New Roman" w:hAnsi="Times New Roman" w:cs="Times New Roman"/>
          <w:sz w:val="24"/>
          <w:szCs w:val="24"/>
        </w:rPr>
        <w:t xml:space="preserve"> (žr. 13 pav.)</w:t>
      </w:r>
      <w:r w:rsidRPr="0064712D">
        <w:rPr>
          <w:rFonts w:ascii="Times New Roman" w:hAnsi="Times New Roman" w:cs="Times New Roman"/>
          <w:sz w:val="24"/>
          <w:szCs w:val="24"/>
        </w:rPr>
        <w:t>.</w:t>
      </w:r>
      <w:r w:rsidR="00BA7404">
        <w:rPr>
          <w:rFonts w:ascii="Times New Roman" w:hAnsi="Times New Roman"/>
          <w:sz w:val="24"/>
          <w:szCs w:val="24"/>
        </w:rPr>
        <w:t xml:space="preserve"> </w:t>
      </w:r>
    </w:p>
    <w:p w:rsidR="00F54B6B" w:rsidRDefault="00F54B6B" w:rsidP="00F54B6B">
      <w:pPr>
        <w:ind w:left="-284"/>
        <w:jc w:val="center"/>
      </w:pPr>
      <w:r>
        <w:rPr>
          <w:noProof/>
          <w:lang w:eastAsia="lt-LT"/>
        </w:rPr>
        <w:drawing>
          <wp:inline distT="0" distB="0" distL="0" distR="0" wp14:anchorId="4803087A" wp14:editId="376915D9">
            <wp:extent cx="5335326" cy="2091193"/>
            <wp:effectExtent l="0" t="0" r="17780" b="23495"/>
            <wp:docPr id="43" name="Diagrama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4B6B" w:rsidRPr="00F54B6B" w:rsidRDefault="00F54B6B" w:rsidP="00F54B6B">
      <w:pPr>
        <w:ind w:left="-284"/>
        <w:jc w:val="center"/>
        <w:rPr>
          <w:rFonts w:ascii="Times New Roman" w:hAnsi="Times New Roman" w:cs="Times New Roman"/>
          <w:b/>
          <w:sz w:val="24"/>
          <w:szCs w:val="24"/>
        </w:rPr>
      </w:pPr>
      <w:r>
        <w:rPr>
          <w:rFonts w:ascii="Times New Roman" w:hAnsi="Times New Roman" w:cs="Times New Roman"/>
          <w:b/>
          <w:sz w:val="24"/>
          <w:szCs w:val="24"/>
        </w:rPr>
        <w:t>13</w:t>
      </w:r>
      <w:r w:rsidRPr="009E5D95">
        <w:rPr>
          <w:rFonts w:ascii="Times New Roman" w:hAnsi="Times New Roman" w:cs="Times New Roman"/>
          <w:b/>
          <w:sz w:val="24"/>
          <w:szCs w:val="24"/>
        </w:rPr>
        <w:t xml:space="preserve"> pav. Mokinių </w:t>
      </w:r>
      <w:r w:rsidRPr="009E5D95">
        <w:rPr>
          <w:rFonts w:ascii="Times New Roman" w:eastAsia="Times New Roman" w:hAnsi="Times New Roman" w:cs="Times New Roman"/>
          <w:b/>
          <w:sz w:val="24"/>
          <w:szCs w:val="24"/>
        </w:rPr>
        <w:t>dalis (proc.), kurie jautėsi laimingi</w:t>
      </w:r>
      <w:r>
        <w:rPr>
          <w:rFonts w:ascii="Times New Roman" w:eastAsia="Times New Roman" w:hAnsi="Times New Roman" w:cs="Times New Roman"/>
          <w:b/>
          <w:sz w:val="24"/>
          <w:szCs w:val="24"/>
        </w:rPr>
        <w:t>,</w:t>
      </w:r>
      <w:r w:rsidRPr="009E5D95">
        <w:rPr>
          <w:rFonts w:ascii="Times New Roman" w:eastAsia="Times New Roman" w:hAnsi="Times New Roman" w:cs="Times New Roman"/>
          <w:b/>
          <w:sz w:val="24"/>
          <w:szCs w:val="24"/>
        </w:rPr>
        <w:t xml:space="preserve"> pagal lytį ir klases</w:t>
      </w:r>
    </w:p>
    <w:p w:rsidR="0064712D" w:rsidRPr="0064712D" w:rsidRDefault="0064712D" w:rsidP="00BA7404">
      <w:pPr>
        <w:spacing w:after="0" w:line="360" w:lineRule="auto"/>
        <w:ind w:firstLine="851"/>
        <w:jc w:val="both"/>
        <w:rPr>
          <w:rFonts w:ascii="Times New Roman" w:hAnsi="Times New Roman"/>
          <w:sz w:val="24"/>
          <w:szCs w:val="24"/>
        </w:rPr>
      </w:pPr>
      <w:r w:rsidRPr="0064712D">
        <w:rPr>
          <w:rFonts w:ascii="Times New Roman" w:hAnsi="Times New Roman" w:cs="Times New Roman"/>
          <w:sz w:val="24"/>
          <w:szCs w:val="24"/>
        </w:rPr>
        <w:t>Dauguma Molėtų r</w:t>
      </w:r>
      <w:r w:rsidR="006444F9">
        <w:rPr>
          <w:rFonts w:ascii="Times New Roman" w:hAnsi="Times New Roman" w:cs="Times New Roman"/>
          <w:sz w:val="24"/>
          <w:szCs w:val="24"/>
        </w:rPr>
        <w:t>.</w:t>
      </w:r>
      <w:r w:rsidRPr="0064712D">
        <w:rPr>
          <w:rFonts w:ascii="Times New Roman" w:hAnsi="Times New Roman" w:cs="Times New Roman"/>
          <w:sz w:val="24"/>
          <w:szCs w:val="24"/>
        </w:rPr>
        <w:t xml:space="preserve"> mokiniai gyvena su abiem savo tėvais, ir abu tėvai turi darbą, savo šeimas vertina, kaip vidutiniškai turtingomis. Pagal turtingumo skalę ir įvertį dauguma apklaustųjų šeimos patenka į vidutinį šeimos turtingumą. </w:t>
      </w:r>
    </w:p>
    <w:p w:rsidR="0064712D" w:rsidRDefault="0064712D" w:rsidP="0064712D">
      <w:pPr>
        <w:spacing w:after="0" w:line="360" w:lineRule="auto"/>
        <w:rPr>
          <w:rFonts w:ascii="Times New Roman" w:hAnsi="Times New Roman" w:cs="Times New Roman"/>
          <w:b/>
          <w:sz w:val="24"/>
          <w:szCs w:val="24"/>
        </w:rPr>
      </w:pPr>
    </w:p>
    <w:p w:rsidR="00BF2E96" w:rsidRPr="0064712D" w:rsidRDefault="00BF2E96" w:rsidP="0064712D">
      <w:pPr>
        <w:spacing w:after="0" w:line="360" w:lineRule="auto"/>
        <w:rPr>
          <w:rFonts w:ascii="Times New Roman" w:hAnsi="Times New Roman" w:cs="Times New Roman"/>
          <w:b/>
          <w:sz w:val="24"/>
          <w:szCs w:val="24"/>
        </w:rPr>
      </w:pPr>
    </w:p>
    <w:p w:rsidR="0064712D" w:rsidRPr="0064712D" w:rsidRDefault="00F54B6B" w:rsidP="00F54B6B">
      <w:pPr>
        <w:spacing w:after="0" w:line="360" w:lineRule="auto"/>
        <w:ind w:firstLine="851"/>
        <w:rPr>
          <w:rFonts w:ascii="Times New Roman" w:hAnsi="Times New Roman" w:cs="Times New Roman"/>
          <w:i/>
          <w:sz w:val="24"/>
          <w:szCs w:val="24"/>
        </w:rPr>
      </w:pPr>
      <w:r w:rsidRPr="00F54B6B">
        <w:rPr>
          <w:rFonts w:ascii="Times New Roman" w:hAnsi="Times New Roman" w:cs="Times New Roman"/>
          <w:i/>
          <w:sz w:val="24"/>
          <w:szCs w:val="24"/>
        </w:rPr>
        <w:t xml:space="preserve">Plačiau apie vykdytą tyrimą skaitykite tinklalapyje </w:t>
      </w:r>
      <w:hyperlink r:id="rId24" w:history="1">
        <w:r w:rsidRPr="00F54B6B">
          <w:rPr>
            <w:rStyle w:val="Hipersaitas"/>
            <w:rFonts w:ascii="Times New Roman" w:hAnsi="Times New Roman" w:cs="Times New Roman"/>
            <w:i/>
            <w:color w:val="auto"/>
            <w:sz w:val="24"/>
            <w:szCs w:val="24"/>
            <w:u w:val="none"/>
          </w:rPr>
          <w:t>www.utenavsb.lt</w:t>
        </w:r>
      </w:hyperlink>
      <w:r w:rsidRPr="00F54B6B">
        <w:rPr>
          <w:rFonts w:ascii="Times New Roman" w:hAnsi="Times New Roman" w:cs="Times New Roman"/>
          <w:i/>
          <w:sz w:val="24"/>
          <w:szCs w:val="24"/>
        </w:rPr>
        <w:t xml:space="preserve"> statistikos skiltyje – vykdyti tyrimai - Molėtų rajono mokinių sveikatos elgsenos tyrimas.</w:t>
      </w:r>
    </w:p>
    <w:p w:rsidR="0064712D" w:rsidRPr="0064712D" w:rsidRDefault="0064712D" w:rsidP="0064712D">
      <w:pPr>
        <w:jc w:val="center"/>
        <w:rPr>
          <w:rFonts w:ascii="Times New Roman" w:hAnsi="Times New Roman" w:cs="Times New Roman"/>
          <w:b/>
          <w:sz w:val="24"/>
          <w:szCs w:val="24"/>
        </w:rPr>
      </w:pPr>
    </w:p>
    <w:p w:rsidR="0064712D" w:rsidRPr="0064712D" w:rsidRDefault="0064712D" w:rsidP="0064712D">
      <w:pPr>
        <w:jc w:val="center"/>
        <w:rPr>
          <w:rFonts w:ascii="Times New Roman" w:hAnsi="Times New Roman" w:cs="Times New Roman"/>
          <w:b/>
          <w:sz w:val="24"/>
          <w:szCs w:val="24"/>
        </w:rPr>
      </w:pPr>
    </w:p>
    <w:p w:rsidR="0064712D" w:rsidRPr="0064712D" w:rsidRDefault="0064712D" w:rsidP="0064712D">
      <w:pPr>
        <w:jc w:val="center"/>
        <w:rPr>
          <w:rFonts w:ascii="Times New Roman" w:hAnsi="Times New Roman" w:cs="Times New Roman"/>
          <w:b/>
          <w:sz w:val="24"/>
          <w:szCs w:val="24"/>
        </w:rPr>
      </w:pPr>
    </w:p>
    <w:p w:rsidR="0064712D" w:rsidRDefault="0064712D" w:rsidP="0064712D">
      <w:pPr>
        <w:jc w:val="center"/>
        <w:rPr>
          <w:rFonts w:ascii="Times New Roman" w:hAnsi="Times New Roman" w:cs="Times New Roman"/>
          <w:b/>
          <w:sz w:val="24"/>
          <w:szCs w:val="24"/>
        </w:rPr>
      </w:pPr>
    </w:p>
    <w:p w:rsidR="00BF2E96" w:rsidRDefault="00BF2E96" w:rsidP="0064712D">
      <w:pPr>
        <w:jc w:val="center"/>
        <w:rPr>
          <w:rFonts w:ascii="Times New Roman" w:hAnsi="Times New Roman" w:cs="Times New Roman"/>
          <w:b/>
          <w:sz w:val="24"/>
          <w:szCs w:val="24"/>
        </w:rPr>
      </w:pPr>
    </w:p>
    <w:p w:rsidR="00BF2E96" w:rsidRDefault="00BF2E96" w:rsidP="0064712D">
      <w:pPr>
        <w:jc w:val="center"/>
        <w:rPr>
          <w:rFonts w:ascii="Times New Roman" w:hAnsi="Times New Roman" w:cs="Times New Roman"/>
          <w:b/>
          <w:sz w:val="24"/>
          <w:szCs w:val="24"/>
        </w:rPr>
      </w:pPr>
    </w:p>
    <w:p w:rsidR="00BF2E96" w:rsidRDefault="00BF2E96" w:rsidP="0064712D">
      <w:pPr>
        <w:jc w:val="center"/>
        <w:rPr>
          <w:rFonts w:ascii="Times New Roman" w:hAnsi="Times New Roman" w:cs="Times New Roman"/>
          <w:b/>
          <w:sz w:val="24"/>
          <w:szCs w:val="24"/>
        </w:rPr>
      </w:pPr>
    </w:p>
    <w:p w:rsidR="00BF2E96" w:rsidRDefault="00BF2E96" w:rsidP="0064712D">
      <w:pPr>
        <w:jc w:val="center"/>
        <w:rPr>
          <w:rFonts w:ascii="Times New Roman" w:hAnsi="Times New Roman" w:cs="Times New Roman"/>
          <w:b/>
          <w:sz w:val="24"/>
          <w:szCs w:val="24"/>
        </w:rPr>
      </w:pPr>
    </w:p>
    <w:p w:rsidR="00BF2E96" w:rsidRDefault="00BF2E96" w:rsidP="0064712D">
      <w:pPr>
        <w:jc w:val="center"/>
        <w:rPr>
          <w:rFonts w:ascii="Times New Roman" w:hAnsi="Times New Roman" w:cs="Times New Roman"/>
          <w:b/>
          <w:sz w:val="24"/>
          <w:szCs w:val="24"/>
        </w:rPr>
      </w:pPr>
    </w:p>
    <w:p w:rsidR="00BF2E96" w:rsidRPr="0064712D" w:rsidRDefault="00BF2E96" w:rsidP="0064712D">
      <w:pPr>
        <w:jc w:val="center"/>
        <w:rPr>
          <w:rFonts w:ascii="Times New Roman" w:hAnsi="Times New Roman" w:cs="Times New Roman"/>
          <w:b/>
          <w:sz w:val="24"/>
          <w:szCs w:val="24"/>
        </w:rPr>
      </w:pPr>
    </w:p>
    <w:p w:rsidR="0064712D" w:rsidRPr="0064712D" w:rsidRDefault="0064712D" w:rsidP="0064712D">
      <w:pPr>
        <w:jc w:val="center"/>
        <w:rPr>
          <w:rFonts w:ascii="Times New Roman" w:hAnsi="Times New Roman" w:cs="Times New Roman"/>
          <w:b/>
          <w:sz w:val="24"/>
          <w:szCs w:val="24"/>
        </w:rPr>
      </w:pPr>
    </w:p>
    <w:p w:rsidR="00123F96" w:rsidRDefault="00123F96" w:rsidP="00F54B6B">
      <w:pPr>
        <w:rPr>
          <w:rFonts w:ascii="Times New Roman" w:hAnsi="Times New Roman" w:cs="Times New Roman"/>
          <w:b/>
          <w:sz w:val="24"/>
          <w:szCs w:val="24"/>
        </w:rPr>
      </w:pPr>
    </w:p>
    <w:p w:rsidR="00BF2E96" w:rsidRPr="00123F96" w:rsidRDefault="00BF2E96" w:rsidP="00F54B6B">
      <w:pPr>
        <w:rPr>
          <w:rFonts w:ascii="Times New Roman" w:hAnsi="Times New Roman" w:cs="Times New Roman"/>
          <w:b/>
          <w:sz w:val="24"/>
          <w:szCs w:val="24"/>
        </w:rPr>
      </w:pPr>
    </w:p>
    <w:p w:rsidR="00721228" w:rsidRDefault="00721228" w:rsidP="00721228">
      <w:pPr>
        <w:ind w:firstLine="142"/>
        <w:jc w:val="center"/>
        <w:rPr>
          <w:rFonts w:ascii="Times New Roman" w:hAnsi="Times New Roman" w:cs="Times New Roman"/>
          <w:b/>
          <w:sz w:val="28"/>
          <w:szCs w:val="28"/>
        </w:rPr>
      </w:pPr>
      <w:r w:rsidRPr="00721228">
        <w:rPr>
          <w:rFonts w:ascii="Times New Roman" w:hAnsi="Times New Roman" w:cs="Times New Roman"/>
          <w:b/>
          <w:sz w:val="28"/>
          <w:szCs w:val="28"/>
        </w:rPr>
        <w:t>IŠVADOS</w:t>
      </w:r>
    </w:p>
    <w:p w:rsidR="00076416" w:rsidRPr="00076416" w:rsidRDefault="00076416" w:rsidP="00B7236C">
      <w:pPr>
        <w:pStyle w:val="Sraopastraipa"/>
        <w:numPr>
          <w:ilvl w:val="0"/>
          <w:numId w:val="7"/>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Molėtų r</w:t>
      </w:r>
      <w:r w:rsidR="006444F9">
        <w:rPr>
          <w:rFonts w:ascii="Times New Roman" w:hAnsi="Times New Roman" w:cs="Times New Roman"/>
          <w:sz w:val="24"/>
          <w:szCs w:val="24"/>
        </w:rPr>
        <w:t>.</w:t>
      </w:r>
      <w:r>
        <w:rPr>
          <w:rFonts w:ascii="Times New Roman" w:hAnsi="Times New Roman" w:cs="Times New Roman"/>
          <w:sz w:val="24"/>
          <w:szCs w:val="24"/>
        </w:rPr>
        <w:t xml:space="preserve"> </w:t>
      </w:r>
      <w:r w:rsidR="00B7236C">
        <w:rPr>
          <w:rFonts w:ascii="Times New Roman" w:hAnsi="Times New Roman" w:cs="Times New Roman"/>
          <w:sz w:val="24"/>
          <w:szCs w:val="24"/>
        </w:rPr>
        <w:t xml:space="preserve">rodiklių reikšmės lyginant su Lietuvos vidurkio rodikliais pasiskirsto taip: 11,4 proc. rodiklių patenka į geresnę </w:t>
      </w:r>
      <w:proofErr w:type="spellStart"/>
      <w:r w:rsidR="00B7236C">
        <w:rPr>
          <w:rFonts w:ascii="Times New Roman" w:hAnsi="Times New Roman" w:cs="Times New Roman"/>
          <w:sz w:val="24"/>
          <w:szCs w:val="24"/>
        </w:rPr>
        <w:t>kvintilių</w:t>
      </w:r>
      <w:proofErr w:type="spellEnd"/>
      <w:r w:rsidR="00B7236C">
        <w:rPr>
          <w:rFonts w:ascii="Times New Roman" w:hAnsi="Times New Roman" w:cs="Times New Roman"/>
          <w:sz w:val="24"/>
          <w:szCs w:val="24"/>
        </w:rPr>
        <w:t xml:space="preserve"> grupę (</w:t>
      </w:r>
      <w:r w:rsidR="00B7236C" w:rsidRPr="0074563D">
        <w:rPr>
          <w:rFonts w:ascii="Times New Roman" w:hAnsi="Times New Roman" w:cs="Times New Roman"/>
          <w:b/>
          <w:color w:val="00B050"/>
          <w:sz w:val="24"/>
          <w:szCs w:val="24"/>
        </w:rPr>
        <w:t>žalioji zona</w:t>
      </w:r>
      <w:r w:rsidR="00B7236C">
        <w:rPr>
          <w:rFonts w:ascii="Times New Roman" w:hAnsi="Times New Roman" w:cs="Times New Roman"/>
          <w:sz w:val="24"/>
          <w:szCs w:val="24"/>
        </w:rPr>
        <w:t xml:space="preserve">), 41 proc. - </w:t>
      </w:r>
      <w:r w:rsidR="00B7236C" w:rsidRPr="002B04CE">
        <w:rPr>
          <w:rFonts w:ascii="Times New Roman" w:hAnsi="Times New Roman" w:cs="Times New Roman"/>
          <w:sz w:val="24"/>
          <w:szCs w:val="24"/>
        </w:rPr>
        <w:t>patenka į</w:t>
      </w:r>
      <w:r w:rsidR="00B7236C">
        <w:rPr>
          <w:rFonts w:ascii="Times New Roman" w:hAnsi="Times New Roman" w:cs="Times New Roman"/>
          <w:sz w:val="24"/>
          <w:szCs w:val="24"/>
        </w:rPr>
        <w:t xml:space="preserve"> </w:t>
      </w:r>
      <w:r w:rsidR="00B7236C" w:rsidRPr="002B04CE">
        <w:rPr>
          <w:rFonts w:ascii="Times New Roman" w:hAnsi="Times New Roman" w:cs="Times New Roman"/>
          <w:sz w:val="24"/>
          <w:szCs w:val="24"/>
        </w:rPr>
        <w:t xml:space="preserve">Lietuvos vidurkių atitinkančią </w:t>
      </w:r>
      <w:proofErr w:type="spellStart"/>
      <w:r w:rsidR="00B7236C" w:rsidRPr="002B04CE">
        <w:rPr>
          <w:rFonts w:ascii="Times New Roman" w:hAnsi="Times New Roman" w:cs="Times New Roman"/>
          <w:sz w:val="24"/>
          <w:szCs w:val="24"/>
        </w:rPr>
        <w:t>kvintilių</w:t>
      </w:r>
      <w:proofErr w:type="spellEnd"/>
      <w:r w:rsidR="00B7236C" w:rsidRPr="002B04CE">
        <w:rPr>
          <w:rFonts w:ascii="Times New Roman" w:hAnsi="Times New Roman" w:cs="Times New Roman"/>
          <w:sz w:val="24"/>
          <w:szCs w:val="24"/>
        </w:rPr>
        <w:t xml:space="preserve"> grupę</w:t>
      </w:r>
      <w:r w:rsidR="00B7236C">
        <w:rPr>
          <w:rFonts w:ascii="Times New Roman" w:hAnsi="Times New Roman" w:cs="Times New Roman"/>
          <w:sz w:val="24"/>
          <w:szCs w:val="24"/>
        </w:rPr>
        <w:t xml:space="preserve"> (</w:t>
      </w:r>
      <w:r w:rsidR="00B7236C" w:rsidRPr="00EA131E">
        <w:rPr>
          <w:rFonts w:ascii="Times New Roman" w:hAnsi="Times New Roman" w:cs="Times New Roman"/>
          <w:b/>
          <w:color w:val="FFC000"/>
          <w:sz w:val="24"/>
          <w:szCs w:val="24"/>
        </w:rPr>
        <w:t>geltonoji zona</w:t>
      </w:r>
      <w:r w:rsidR="00B7236C">
        <w:rPr>
          <w:rFonts w:ascii="Times New Roman" w:hAnsi="Times New Roman" w:cs="Times New Roman"/>
          <w:sz w:val="24"/>
          <w:szCs w:val="24"/>
        </w:rPr>
        <w:t>) ir 37,7 proc. patenka į</w:t>
      </w:r>
      <w:r w:rsidR="00B7236C" w:rsidRPr="00AB6634">
        <w:rPr>
          <w:rFonts w:ascii="Times New Roman" w:hAnsi="Times New Roman" w:cs="Times New Roman"/>
          <w:sz w:val="24"/>
          <w:szCs w:val="24"/>
        </w:rPr>
        <w:t xml:space="preserve"> prasčiausių savivaldybių </w:t>
      </w:r>
      <w:proofErr w:type="spellStart"/>
      <w:r w:rsidR="00B7236C" w:rsidRPr="00AB6634">
        <w:rPr>
          <w:rFonts w:ascii="Times New Roman" w:hAnsi="Times New Roman" w:cs="Times New Roman"/>
          <w:sz w:val="24"/>
          <w:szCs w:val="24"/>
        </w:rPr>
        <w:t>kvintilių</w:t>
      </w:r>
      <w:proofErr w:type="spellEnd"/>
      <w:r w:rsidR="00B7236C" w:rsidRPr="00AB6634">
        <w:rPr>
          <w:rFonts w:ascii="Times New Roman" w:hAnsi="Times New Roman" w:cs="Times New Roman"/>
          <w:sz w:val="24"/>
          <w:szCs w:val="24"/>
        </w:rPr>
        <w:t xml:space="preserve"> grupę (</w:t>
      </w:r>
      <w:r w:rsidR="00B7236C" w:rsidRPr="00AB6634">
        <w:rPr>
          <w:rFonts w:ascii="Times New Roman" w:hAnsi="Times New Roman" w:cs="Times New Roman"/>
          <w:b/>
          <w:color w:val="C00000"/>
          <w:sz w:val="24"/>
          <w:szCs w:val="24"/>
        </w:rPr>
        <w:t>raudonoji zona</w:t>
      </w:r>
      <w:r w:rsidR="00B7236C" w:rsidRPr="00AB6634">
        <w:rPr>
          <w:rFonts w:ascii="Times New Roman" w:hAnsi="Times New Roman" w:cs="Times New Roman"/>
          <w:sz w:val="24"/>
          <w:szCs w:val="24"/>
        </w:rPr>
        <w:t>)</w:t>
      </w:r>
      <w:r w:rsidR="00B7236C">
        <w:rPr>
          <w:rFonts w:ascii="Times New Roman" w:hAnsi="Times New Roman" w:cs="Times New Roman"/>
          <w:sz w:val="24"/>
          <w:szCs w:val="24"/>
        </w:rPr>
        <w:t xml:space="preserve"> iš kurios atrinkti rodikliai detaliai analizei:</w:t>
      </w:r>
      <w:r w:rsidR="00B7236C" w:rsidRPr="000B48EA">
        <w:rPr>
          <w:rFonts w:ascii="Times New Roman" w:hAnsi="Times New Roman" w:cs="Times New Roman"/>
          <w:sz w:val="24"/>
          <w:szCs w:val="24"/>
        </w:rPr>
        <w:t xml:space="preserve"> </w:t>
      </w:r>
      <w:r w:rsidR="000B48EA">
        <w:rPr>
          <w:rFonts w:ascii="Times New Roman" w:hAnsi="Times New Roman" w:cs="Times New Roman"/>
          <w:sz w:val="24"/>
          <w:szCs w:val="24"/>
        </w:rPr>
        <w:t xml:space="preserve"> </w:t>
      </w:r>
      <w:r w:rsidR="001977CB">
        <w:rPr>
          <w:rFonts w:ascii="Times New Roman" w:hAnsi="Times New Roman" w:cs="Times New Roman"/>
          <w:sz w:val="24"/>
          <w:szCs w:val="24"/>
        </w:rPr>
        <w:t>mirtingum</w:t>
      </w:r>
      <w:r w:rsidR="000B48EA">
        <w:rPr>
          <w:rFonts w:ascii="Times New Roman" w:hAnsi="Times New Roman" w:cs="Times New Roman"/>
          <w:sz w:val="24"/>
          <w:szCs w:val="24"/>
        </w:rPr>
        <w:t>as/ standartizuotas mirtingumas</w:t>
      </w:r>
      <w:r w:rsidR="000B48EA" w:rsidRPr="00A63833">
        <w:rPr>
          <w:rFonts w:ascii="Times New Roman" w:hAnsi="Times New Roman" w:cs="Times New Roman"/>
          <w:sz w:val="24"/>
          <w:szCs w:val="24"/>
        </w:rPr>
        <w:t xml:space="preserve"> nuo narkotikų sąlygotų priežasčių</w:t>
      </w:r>
      <w:r w:rsidR="000B48EA">
        <w:rPr>
          <w:rFonts w:ascii="Times New Roman" w:hAnsi="Times New Roman" w:cs="Times New Roman"/>
          <w:sz w:val="24"/>
          <w:szCs w:val="24"/>
        </w:rPr>
        <w:t xml:space="preserve">, mirtingumas/standartizuotas mirtingumas dėl atsitiktinių paskendimų ir mirtingumas/standartizuotas mirtingumas nuo </w:t>
      </w:r>
      <w:proofErr w:type="spellStart"/>
      <w:r w:rsidR="000B48EA" w:rsidRPr="00CC47F8">
        <w:rPr>
          <w:rFonts w:ascii="Times New Roman" w:hAnsi="Times New Roman" w:cs="Times New Roman"/>
          <w:sz w:val="24"/>
          <w:szCs w:val="24"/>
        </w:rPr>
        <w:t>cerebrovas</w:t>
      </w:r>
      <w:r w:rsidR="000B48EA">
        <w:rPr>
          <w:rFonts w:ascii="Times New Roman" w:hAnsi="Times New Roman" w:cs="Times New Roman"/>
          <w:sz w:val="24"/>
          <w:szCs w:val="24"/>
        </w:rPr>
        <w:t>kulinių</w:t>
      </w:r>
      <w:proofErr w:type="spellEnd"/>
      <w:r w:rsidR="000B48EA">
        <w:rPr>
          <w:rFonts w:ascii="Times New Roman" w:hAnsi="Times New Roman" w:cs="Times New Roman"/>
          <w:sz w:val="24"/>
          <w:szCs w:val="24"/>
        </w:rPr>
        <w:t xml:space="preserve"> ligų.</w:t>
      </w:r>
    </w:p>
    <w:p w:rsidR="00A63833" w:rsidRPr="00A63833" w:rsidRDefault="00A63833" w:rsidP="00DF5706">
      <w:pPr>
        <w:pStyle w:val="Sraopastraipa"/>
        <w:numPr>
          <w:ilvl w:val="0"/>
          <w:numId w:val="6"/>
        </w:numPr>
        <w:spacing w:line="360" w:lineRule="auto"/>
        <w:ind w:left="0" w:firstLine="0"/>
        <w:jc w:val="both"/>
        <w:rPr>
          <w:rFonts w:ascii="Times New Roman" w:hAnsi="Times New Roman" w:cs="Times New Roman"/>
          <w:sz w:val="24"/>
          <w:szCs w:val="24"/>
        </w:rPr>
      </w:pPr>
      <w:r w:rsidRPr="00A63833">
        <w:rPr>
          <w:rFonts w:ascii="Times New Roman" w:hAnsi="Times New Roman" w:cs="Times New Roman"/>
          <w:sz w:val="24"/>
          <w:szCs w:val="24"/>
        </w:rPr>
        <w:t>Molėtų r. mirtingumo nuo narkotikų sąlygotų priežasčių</w:t>
      </w:r>
      <w:r w:rsidRPr="00A63833">
        <w:rPr>
          <w:rFonts w:ascii="Times New Roman" w:hAnsi="Times New Roman" w:cs="Times New Roman"/>
          <w:b/>
          <w:sz w:val="24"/>
          <w:szCs w:val="24"/>
        </w:rPr>
        <w:t xml:space="preserve"> </w:t>
      </w:r>
      <w:r w:rsidRPr="00A63833">
        <w:rPr>
          <w:rFonts w:ascii="Times New Roman" w:hAnsi="Times New Roman" w:cs="Times New Roman"/>
          <w:sz w:val="24"/>
          <w:szCs w:val="24"/>
        </w:rPr>
        <w:t xml:space="preserve">rodiklio reikšmė patenka į prasčiausią savivaldybių  </w:t>
      </w:r>
      <w:proofErr w:type="spellStart"/>
      <w:r w:rsidRPr="00A63833">
        <w:rPr>
          <w:rFonts w:ascii="Times New Roman" w:hAnsi="Times New Roman" w:cs="Times New Roman"/>
          <w:sz w:val="24"/>
          <w:szCs w:val="24"/>
        </w:rPr>
        <w:t>k</w:t>
      </w:r>
      <w:r w:rsidR="000B48EA">
        <w:rPr>
          <w:rFonts w:ascii="Times New Roman" w:hAnsi="Times New Roman" w:cs="Times New Roman"/>
          <w:sz w:val="24"/>
          <w:szCs w:val="24"/>
        </w:rPr>
        <w:t>vintilių</w:t>
      </w:r>
      <w:proofErr w:type="spellEnd"/>
      <w:r w:rsidR="000B48EA">
        <w:rPr>
          <w:rFonts w:ascii="Times New Roman" w:hAnsi="Times New Roman" w:cs="Times New Roman"/>
          <w:sz w:val="24"/>
          <w:szCs w:val="24"/>
        </w:rPr>
        <w:t xml:space="preserve"> grupę (raudonąją zoną), nes rodiklis daugiau nei 4 kartus viršija Lietuvos rodiklį.</w:t>
      </w:r>
      <w:r w:rsidRPr="00A63833">
        <w:rPr>
          <w:rFonts w:ascii="Times New Roman" w:hAnsi="Times New Roman" w:cs="Times New Roman"/>
          <w:sz w:val="24"/>
          <w:szCs w:val="24"/>
        </w:rPr>
        <w:t xml:space="preserve"> Mirtingumas Molėtų r. 2011 m. – 2014 m. nuo narkotikų sąlygotų priežasčių buvo fiksuotas tik tarp vyrų, kurių amžiaus vidurkis - 40 metų (jauniausias buvo 30 m., vyriausias – 55 m. amžiaus).</w:t>
      </w:r>
    </w:p>
    <w:p w:rsidR="00721228" w:rsidRPr="00A63833" w:rsidRDefault="00C04964" w:rsidP="00DF5706">
      <w:pPr>
        <w:pStyle w:val="Sraopastraipa"/>
        <w:numPr>
          <w:ilvl w:val="0"/>
          <w:numId w:val="6"/>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Mirtingumas dėl atsitiktinių p</w:t>
      </w:r>
      <w:r w:rsidR="00A63833">
        <w:rPr>
          <w:rFonts w:ascii="Times New Roman" w:hAnsi="Times New Roman" w:cs="Times New Roman"/>
          <w:sz w:val="24"/>
          <w:szCs w:val="24"/>
        </w:rPr>
        <w:t>askendimų skaičius Molėtų</w:t>
      </w:r>
      <w:r w:rsidR="00A63833" w:rsidRPr="00962AB3">
        <w:rPr>
          <w:rFonts w:ascii="Times New Roman" w:hAnsi="Times New Roman" w:cs="Times New Roman"/>
          <w:sz w:val="24"/>
          <w:szCs w:val="24"/>
        </w:rPr>
        <w:t xml:space="preserve"> </w:t>
      </w:r>
      <w:r w:rsidR="00A63833">
        <w:rPr>
          <w:rFonts w:ascii="Times New Roman" w:hAnsi="Times New Roman" w:cs="Times New Roman"/>
          <w:sz w:val="24"/>
          <w:szCs w:val="24"/>
        </w:rPr>
        <w:t xml:space="preserve">r. savivaldybėje kito gana </w:t>
      </w:r>
      <w:r w:rsidR="00A63833" w:rsidRPr="00962AB3">
        <w:rPr>
          <w:rFonts w:ascii="Times New Roman" w:hAnsi="Times New Roman" w:cs="Times New Roman"/>
          <w:sz w:val="24"/>
          <w:szCs w:val="24"/>
        </w:rPr>
        <w:t>įva</w:t>
      </w:r>
      <w:r w:rsidR="00A63833">
        <w:rPr>
          <w:rFonts w:ascii="Times New Roman" w:hAnsi="Times New Roman" w:cs="Times New Roman"/>
          <w:sz w:val="24"/>
          <w:szCs w:val="24"/>
        </w:rPr>
        <w:t>iriai per 2001–2014</w:t>
      </w:r>
      <w:r w:rsidR="00A63833" w:rsidRPr="00962AB3">
        <w:rPr>
          <w:rFonts w:ascii="Times New Roman" w:hAnsi="Times New Roman" w:cs="Times New Roman"/>
          <w:sz w:val="24"/>
          <w:szCs w:val="24"/>
        </w:rPr>
        <w:t xml:space="preserve"> m. laikotarpį, bet palyginti su Lietuvos vidur</w:t>
      </w:r>
      <w:r w:rsidR="00A63833">
        <w:rPr>
          <w:rFonts w:ascii="Times New Roman" w:hAnsi="Times New Roman" w:cs="Times New Roman"/>
          <w:sz w:val="24"/>
          <w:szCs w:val="24"/>
        </w:rPr>
        <w:t xml:space="preserve">kiu (kuris mažėja), nuskendimų </w:t>
      </w:r>
      <w:r w:rsidR="00A63833" w:rsidRPr="00962AB3">
        <w:rPr>
          <w:rFonts w:ascii="Times New Roman" w:hAnsi="Times New Roman" w:cs="Times New Roman"/>
          <w:sz w:val="24"/>
          <w:szCs w:val="24"/>
        </w:rPr>
        <w:t>skaič</w:t>
      </w:r>
      <w:r w:rsidR="00A63833">
        <w:rPr>
          <w:rFonts w:ascii="Times New Roman" w:hAnsi="Times New Roman" w:cs="Times New Roman"/>
          <w:sz w:val="24"/>
          <w:szCs w:val="24"/>
        </w:rPr>
        <w:t>iaus tendencija savivaldybėje lieka pa</w:t>
      </w:r>
      <w:r>
        <w:rPr>
          <w:rFonts w:ascii="Times New Roman" w:hAnsi="Times New Roman" w:cs="Times New Roman"/>
          <w:sz w:val="24"/>
          <w:szCs w:val="24"/>
        </w:rPr>
        <w:t>stovi, vertinant rajono vidurkį</w:t>
      </w:r>
      <w:r w:rsidR="000B48EA">
        <w:rPr>
          <w:rFonts w:ascii="Times New Roman" w:hAnsi="Times New Roman" w:cs="Times New Roman"/>
          <w:sz w:val="24"/>
          <w:szCs w:val="24"/>
        </w:rPr>
        <w:t xml:space="preserve"> ir išlieka 3 kartus didesnis už Lietuvos rodiklį</w:t>
      </w:r>
      <w:r>
        <w:rPr>
          <w:rFonts w:ascii="Times New Roman" w:hAnsi="Times New Roman" w:cs="Times New Roman"/>
          <w:sz w:val="24"/>
          <w:szCs w:val="24"/>
        </w:rPr>
        <w:t>.</w:t>
      </w:r>
    </w:p>
    <w:p w:rsidR="00A63833" w:rsidRPr="00F54B6B" w:rsidRDefault="00DF5706" w:rsidP="00DF5706">
      <w:pPr>
        <w:pStyle w:val="Sraopastraipa"/>
        <w:numPr>
          <w:ilvl w:val="0"/>
          <w:numId w:val="6"/>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Mirusiųjų nuo </w:t>
      </w:r>
      <w:proofErr w:type="spellStart"/>
      <w:r w:rsidRPr="00CC47F8">
        <w:rPr>
          <w:rFonts w:ascii="Times New Roman" w:hAnsi="Times New Roman" w:cs="Times New Roman"/>
          <w:sz w:val="24"/>
          <w:szCs w:val="24"/>
        </w:rPr>
        <w:t>cerebrovas</w:t>
      </w:r>
      <w:r>
        <w:rPr>
          <w:rFonts w:ascii="Times New Roman" w:hAnsi="Times New Roman" w:cs="Times New Roman"/>
          <w:sz w:val="24"/>
          <w:szCs w:val="24"/>
        </w:rPr>
        <w:t>kulinių</w:t>
      </w:r>
      <w:proofErr w:type="spellEnd"/>
      <w:r>
        <w:rPr>
          <w:rFonts w:ascii="Times New Roman" w:hAnsi="Times New Roman" w:cs="Times New Roman"/>
          <w:sz w:val="24"/>
          <w:szCs w:val="24"/>
        </w:rPr>
        <w:t xml:space="preserve"> ligų </w:t>
      </w:r>
      <w:r w:rsidRPr="00CC47F8">
        <w:rPr>
          <w:rFonts w:ascii="Times New Roman" w:hAnsi="Times New Roman" w:cs="Times New Roman"/>
          <w:sz w:val="24"/>
          <w:szCs w:val="24"/>
        </w:rPr>
        <w:t xml:space="preserve">skaičius </w:t>
      </w:r>
      <w:r>
        <w:rPr>
          <w:rFonts w:ascii="Times New Roman" w:hAnsi="Times New Roman" w:cs="Times New Roman"/>
          <w:sz w:val="24"/>
          <w:szCs w:val="24"/>
        </w:rPr>
        <w:t>Molėtų r. savivaldybėje per 2001–2014</w:t>
      </w:r>
      <w:r w:rsidRPr="00CC47F8">
        <w:rPr>
          <w:rFonts w:ascii="Times New Roman" w:hAnsi="Times New Roman" w:cs="Times New Roman"/>
          <w:sz w:val="24"/>
          <w:szCs w:val="24"/>
        </w:rPr>
        <w:t xml:space="preserve"> m. laikotarpį augo greičiau </w:t>
      </w:r>
      <w:r>
        <w:rPr>
          <w:rFonts w:ascii="Times New Roman" w:hAnsi="Times New Roman" w:cs="Times New Roman"/>
          <w:sz w:val="24"/>
          <w:szCs w:val="24"/>
        </w:rPr>
        <w:t xml:space="preserve">nei Lietuvoje. Siekiant </w:t>
      </w:r>
      <w:r w:rsidRPr="00C53A62">
        <w:rPr>
          <w:rFonts w:ascii="Times New Roman" w:hAnsi="Times New Roman" w:cs="Times New Roman"/>
          <w:sz w:val="24"/>
          <w:szCs w:val="24"/>
        </w:rPr>
        <w:t xml:space="preserve">sumažinti mirtingumo nuo </w:t>
      </w:r>
      <w:proofErr w:type="spellStart"/>
      <w:r w:rsidRPr="00C53A62">
        <w:rPr>
          <w:rFonts w:ascii="Times New Roman" w:hAnsi="Times New Roman" w:cs="Times New Roman"/>
          <w:sz w:val="24"/>
          <w:szCs w:val="24"/>
        </w:rPr>
        <w:t>cerebrovaskulinių</w:t>
      </w:r>
      <w:proofErr w:type="spellEnd"/>
      <w:r w:rsidRPr="00C53A62">
        <w:rPr>
          <w:rFonts w:ascii="Times New Roman" w:hAnsi="Times New Roman" w:cs="Times New Roman"/>
          <w:sz w:val="24"/>
          <w:szCs w:val="24"/>
        </w:rPr>
        <w:t xml:space="preserve"> ligų rodiklius, būtina atlikti detalią visų ligų pogrupių </w:t>
      </w:r>
      <w:r>
        <w:rPr>
          <w:rFonts w:ascii="Times New Roman" w:hAnsi="Times New Roman" w:cs="Times New Roman"/>
          <w:sz w:val="24"/>
          <w:szCs w:val="24"/>
        </w:rPr>
        <w:t>kraujotakos sistemos ligų grupėje analizę, įvertinti statistinių duomenų patikimumą.</w:t>
      </w:r>
    </w:p>
    <w:p w:rsidR="00F54B6B" w:rsidRPr="00F54B6B" w:rsidRDefault="00F54B6B" w:rsidP="00DF5706">
      <w:pPr>
        <w:pStyle w:val="Sraopastraipa"/>
        <w:numPr>
          <w:ilvl w:val="0"/>
          <w:numId w:val="6"/>
        </w:numPr>
        <w:spacing w:line="360" w:lineRule="auto"/>
        <w:ind w:left="0" w:firstLine="0"/>
        <w:jc w:val="both"/>
        <w:rPr>
          <w:rFonts w:ascii="Times New Roman" w:hAnsi="Times New Roman" w:cs="Times New Roman"/>
          <w:sz w:val="24"/>
          <w:szCs w:val="24"/>
        </w:rPr>
      </w:pPr>
      <w:r w:rsidRPr="00F54B6B">
        <w:rPr>
          <w:rFonts w:ascii="Times New Roman" w:hAnsi="Times New Roman" w:cs="Times New Roman"/>
          <w:sz w:val="24"/>
          <w:szCs w:val="24"/>
        </w:rPr>
        <w:t>Molėtų r. mokiniai</w:t>
      </w:r>
      <w:r>
        <w:rPr>
          <w:rFonts w:ascii="Times New Roman" w:hAnsi="Times New Roman" w:cs="Times New Roman"/>
          <w:sz w:val="24"/>
          <w:szCs w:val="24"/>
        </w:rPr>
        <w:t xml:space="preserve"> yra mažai fiziškai aktyvūs</w:t>
      </w:r>
      <w:r w:rsidR="00D775C3">
        <w:rPr>
          <w:rFonts w:ascii="Times New Roman" w:hAnsi="Times New Roman" w:cs="Times New Roman"/>
          <w:sz w:val="24"/>
          <w:szCs w:val="24"/>
        </w:rPr>
        <w:t>;</w:t>
      </w:r>
      <w:r>
        <w:rPr>
          <w:rFonts w:ascii="Times New Roman" w:hAnsi="Times New Roman" w:cs="Times New Roman"/>
          <w:sz w:val="24"/>
          <w:szCs w:val="24"/>
        </w:rPr>
        <w:t xml:space="preserve"> jų </w:t>
      </w:r>
      <w:r w:rsidRPr="0064712D">
        <w:rPr>
          <w:rFonts w:ascii="Times New Roman" w:hAnsi="Times New Roman" w:cs="Times New Roman"/>
          <w:sz w:val="24"/>
          <w:szCs w:val="24"/>
        </w:rPr>
        <w:t>mityba nėra</w:t>
      </w:r>
      <w:r w:rsidRPr="0064712D">
        <w:rPr>
          <w:rFonts w:ascii="Times New Roman" w:hAnsi="Times New Roman" w:cs="Times New Roman"/>
          <w:sz w:val="24"/>
          <w:szCs w:val="24"/>
          <w:lang w:eastAsia="lt-LT"/>
        </w:rPr>
        <w:t xml:space="preserve"> pakankamai sveika: mokiniai per retai valgo rekomenduojamus maisto produktus (vaisius, daržoves) ir per dažnai – </w:t>
      </w:r>
      <w:proofErr w:type="spellStart"/>
      <w:r w:rsidRPr="0064712D">
        <w:rPr>
          <w:rFonts w:ascii="Times New Roman" w:hAnsi="Times New Roman" w:cs="Times New Roman"/>
          <w:sz w:val="24"/>
          <w:szCs w:val="24"/>
          <w:lang w:eastAsia="lt-LT"/>
        </w:rPr>
        <w:t>mitybiniu</w:t>
      </w:r>
      <w:proofErr w:type="spellEnd"/>
      <w:r w:rsidRPr="0064712D">
        <w:rPr>
          <w:rFonts w:ascii="Times New Roman" w:hAnsi="Times New Roman" w:cs="Times New Roman"/>
          <w:sz w:val="24"/>
          <w:szCs w:val="24"/>
          <w:lang w:eastAsia="lt-LT"/>
        </w:rPr>
        <w:t xml:space="preserve"> požiūriu menkaverčius maisto produktus</w:t>
      </w:r>
      <w:r w:rsidR="00D775C3">
        <w:rPr>
          <w:rFonts w:ascii="Times New Roman" w:hAnsi="Times New Roman" w:cs="Times New Roman"/>
          <w:sz w:val="24"/>
          <w:szCs w:val="24"/>
          <w:lang w:eastAsia="lt-LT"/>
        </w:rPr>
        <w:t xml:space="preserve">; žalingi įpročiai nėra stipriai paplitę, bet juos turi jau ir 5 klasės mokiniai; </w:t>
      </w:r>
      <w:r w:rsidR="00D775C3">
        <w:rPr>
          <w:rFonts w:ascii="Times New Roman" w:eastAsia="Times New Roman" w:hAnsi="Times New Roman" w:cs="Times New Roman"/>
          <w:sz w:val="24"/>
          <w:szCs w:val="24"/>
        </w:rPr>
        <w:t xml:space="preserve">mokiniai </w:t>
      </w:r>
      <w:r w:rsidR="00D775C3" w:rsidRPr="0064712D">
        <w:rPr>
          <w:rFonts w:ascii="Times New Roman" w:eastAsia="Times New Roman" w:hAnsi="Times New Roman" w:cs="Times New Roman"/>
          <w:sz w:val="24"/>
          <w:szCs w:val="24"/>
        </w:rPr>
        <w:t>sėdimai v</w:t>
      </w:r>
      <w:r w:rsidR="00D775C3">
        <w:rPr>
          <w:rFonts w:ascii="Times New Roman" w:eastAsia="Times New Roman" w:hAnsi="Times New Roman" w:cs="Times New Roman"/>
          <w:sz w:val="24"/>
          <w:szCs w:val="24"/>
        </w:rPr>
        <w:t xml:space="preserve">eiklai, per dieną vidutiniškai </w:t>
      </w:r>
      <w:r w:rsidR="00D775C3" w:rsidRPr="0064712D">
        <w:rPr>
          <w:rFonts w:ascii="Times New Roman" w:eastAsia="Times New Roman" w:hAnsi="Times New Roman" w:cs="Times New Roman"/>
          <w:sz w:val="24"/>
          <w:szCs w:val="24"/>
        </w:rPr>
        <w:t>laiko skiria apie tris valandas per dieną darbo dienomis ir apie dvi valandas savaitgaliais</w:t>
      </w:r>
      <w:r w:rsidR="00D775C3">
        <w:rPr>
          <w:rFonts w:ascii="Times New Roman" w:eastAsia="Times New Roman" w:hAnsi="Times New Roman" w:cs="Times New Roman"/>
          <w:sz w:val="24"/>
          <w:szCs w:val="24"/>
        </w:rPr>
        <w:t xml:space="preserve">; patyčios mokinių tarpe taip pat paplitę; </w:t>
      </w:r>
      <w:r w:rsidR="00D775C3" w:rsidRPr="0064712D">
        <w:rPr>
          <w:rFonts w:ascii="Times New Roman" w:eastAsia="Times New Roman" w:hAnsi="Times New Roman" w:cs="Times New Roman"/>
          <w:sz w:val="24"/>
          <w:szCs w:val="24"/>
        </w:rPr>
        <w:t xml:space="preserve">paaugliai </w:t>
      </w:r>
      <w:r w:rsidR="00D775C3">
        <w:rPr>
          <w:rFonts w:ascii="Times New Roman" w:eastAsia="Times New Roman" w:hAnsi="Times New Roman" w:cs="Times New Roman"/>
          <w:sz w:val="24"/>
          <w:szCs w:val="24"/>
        </w:rPr>
        <w:t>nesilaiko</w:t>
      </w:r>
      <w:r w:rsidR="00D775C3" w:rsidRPr="0064712D">
        <w:rPr>
          <w:rFonts w:ascii="Times New Roman" w:eastAsia="Times New Roman" w:hAnsi="Times New Roman" w:cs="Times New Roman"/>
          <w:sz w:val="24"/>
          <w:szCs w:val="24"/>
        </w:rPr>
        <w:t xml:space="preserve"> saugaus elgesio taisyklių, </w:t>
      </w:r>
      <w:r w:rsidR="00D775C3">
        <w:rPr>
          <w:rFonts w:ascii="Times New Roman" w:eastAsia="Times New Roman" w:hAnsi="Times New Roman" w:cs="Times New Roman"/>
          <w:sz w:val="24"/>
          <w:szCs w:val="24"/>
        </w:rPr>
        <w:t>mažai naudojasi</w:t>
      </w:r>
      <w:r w:rsidR="00D775C3" w:rsidRPr="0064712D">
        <w:rPr>
          <w:rFonts w:ascii="Times New Roman" w:eastAsia="Times New Roman" w:hAnsi="Times New Roman" w:cs="Times New Roman"/>
          <w:sz w:val="24"/>
          <w:szCs w:val="24"/>
        </w:rPr>
        <w:t xml:space="preserve"> apsaugos priemonėmis</w:t>
      </w:r>
      <w:r w:rsidR="00D775C3">
        <w:rPr>
          <w:rFonts w:ascii="Times New Roman" w:eastAsia="Times New Roman" w:hAnsi="Times New Roman" w:cs="Times New Roman"/>
          <w:sz w:val="24"/>
          <w:szCs w:val="24"/>
        </w:rPr>
        <w:t xml:space="preserve">, </w:t>
      </w:r>
      <w:r w:rsidR="00D775C3" w:rsidRPr="0064712D">
        <w:rPr>
          <w:rFonts w:ascii="Times New Roman" w:eastAsia="Times New Roman" w:hAnsi="Times New Roman" w:cs="Times New Roman"/>
          <w:sz w:val="24"/>
          <w:szCs w:val="24"/>
        </w:rPr>
        <w:t>mokiniai neypatingai rūpinasi savo burnos higiena</w:t>
      </w:r>
      <w:r w:rsidR="00D775C3">
        <w:rPr>
          <w:rFonts w:ascii="Times New Roman" w:eastAsia="Times New Roman" w:hAnsi="Times New Roman" w:cs="Times New Roman"/>
          <w:sz w:val="24"/>
          <w:szCs w:val="24"/>
        </w:rPr>
        <w:t>;</w:t>
      </w:r>
      <w:r w:rsidR="00D775C3" w:rsidRPr="00D775C3">
        <w:rPr>
          <w:rFonts w:ascii="Times New Roman" w:hAnsi="Times New Roman" w:cs="Times New Roman"/>
          <w:sz w:val="24"/>
          <w:szCs w:val="24"/>
        </w:rPr>
        <w:t xml:space="preserve"> </w:t>
      </w:r>
      <w:r w:rsidR="00D775C3" w:rsidRPr="0064712D">
        <w:rPr>
          <w:rFonts w:ascii="Times New Roman" w:hAnsi="Times New Roman" w:cs="Times New Roman"/>
          <w:sz w:val="24"/>
          <w:szCs w:val="24"/>
        </w:rPr>
        <w:t>dauguma mokinių buvo patenkinti gyvenimo kokybe</w:t>
      </w:r>
      <w:r w:rsidR="00D775C3">
        <w:rPr>
          <w:rFonts w:ascii="Times New Roman" w:hAnsi="Times New Roman" w:cs="Times New Roman"/>
          <w:sz w:val="24"/>
          <w:szCs w:val="24"/>
        </w:rPr>
        <w:t>.</w:t>
      </w:r>
    </w:p>
    <w:p w:rsidR="00123F96" w:rsidRDefault="00123F96" w:rsidP="00721228">
      <w:pPr>
        <w:ind w:firstLine="142"/>
        <w:jc w:val="center"/>
        <w:rPr>
          <w:rFonts w:ascii="Times New Roman" w:hAnsi="Times New Roman" w:cs="Times New Roman"/>
          <w:b/>
          <w:sz w:val="28"/>
          <w:szCs w:val="28"/>
        </w:rPr>
      </w:pPr>
    </w:p>
    <w:p w:rsidR="00123F96" w:rsidRDefault="00123F96" w:rsidP="00721228">
      <w:pPr>
        <w:ind w:firstLine="142"/>
        <w:jc w:val="center"/>
        <w:rPr>
          <w:rFonts w:ascii="Times New Roman" w:hAnsi="Times New Roman" w:cs="Times New Roman"/>
          <w:b/>
          <w:sz w:val="28"/>
          <w:szCs w:val="28"/>
        </w:rPr>
      </w:pPr>
    </w:p>
    <w:p w:rsidR="00B7236C" w:rsidRDefault="00B7236C" w:rsidP="00721228">
      <w:pPr>
        <w:ind w:firstLine="142"/>
        <w:jc w:val="center"/>
        <w:rPr>
          <w:rFonts w:ascii="Times New Roman" w:hAnsi="Times New Roman" w:cs="Times New Roman"/>
          <w:b/>
          <w:sz w:val="28"/>
          <w:szCs w:val="28"/>
        </w:rPr>
      </w:pPr>
    </w:p>
    <w:p w:rsidR="00721228" w:rsidRDefault="00721228" w:rsidP="00721228">
      <w:pPr>
        <w:ind w:firstLine="142"/>
        <w:jc w:val="center"/>
        <w:rPr>
          <w:rFonts w:ascii="Times New Roman" w:hAnsi="Times New Roman" w:cs="Times New Roman"/>
          <w:b/>
          <w:sz w:val="28"/>
          <w:szCs w:val="28"/>
        </w:rPr>
      </w:pPr>
      <w:r>
        <w:rPr>
          <w:rFonts w:ascii="Times New Roman" w:hAnsi="Times New Roman" w:cs="Times New Roman"/>
          <w:b/>
          <w:sz w:val="28"/>
          <w:szCs w:val="28"/>
        </w:rPr>
        <w:t>REKOMENDACIJOS</w:t>
      </w:r>
    </w:p>
    <w:p w:rsidR="00206F06" w:rsidRDefault="00206F06" w:rsidP="00206F06">
      <w:pPr>
        <w:spacing w:after="0" w:line="360" w:lineRule="auto"/>
        <w:ind w:firstLine="851"/>
        <w:contextualSpacing/>
        <w:jc w:val="both"/>
        <w:rPr>
          <w:rFonts w:ascii="Times New Roman" w:hAnsi="Times New Roman" w:cs="Times New Roman"/>
          <w:b/>
          <w:sz w:val="24"/>
          <w:szCs w:val="24"/>
          <w:u w:val="single"/>
        </w:rPr>
      </w:pPr>
      <w:r w:rsidRPr="00845100">
        <w:rPr>
          <w:rFonts w:ascii="Times New Roman" w:hAnsi="Times New Roman" w:cs="Times New Roman"/>
          <w:b/>
          <w:sz w:val="24"/>
          <w:szCs w:val="24"/>
          <w:u w:val="single"/>
        </w:rPr>
        <w:t>Sumažinti alkoholinių gėrimų, tabako vartojimą, neteisėtą narkotinių ir psichotropinių medžiagų vartojimą ir prieinamumą</w:t>
      </w:r>
    </w:p>
    <w:p w:rsidR="00206F06" w:rsidRPr="00824B6B" w:rsidRDefault="00206F06" w:rsidP="00206F06">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Siekiant s</w:t>
      </w:r>
      <w:r w:rsidRPr="00824B6B">
        <w:rPr>
          <w:rFonts w:ascii="Times New Roman" w:hAnsi="Times New Roman" w:cs="Times New Roman"/>
          <w:sz w:val="24"/>
          <w:szCs w:val="24"/>
        </w:rPr>
        <w:t>umažinti alkoholinių gėrimų, tabako vartojimą, neteisėtą narkotinių ir psichotropinių medžiagų vartojimą ir prieinamumą</w:t>
      </w:r>
      <w:r>
        <w:rPr>
          <w:rFonts w:ascii="Times New Roman" w:hAnsi="Times New Roman" w:cs="Times New Roman"/>
          <w:sz w:val="24"/>
          <w:szCs w:val="24"/>
        </w:rPr>
        <w:t xml:space="preserve"> būtina:</w:t>
      </w:r>
    </w:p>
    <w:p w:rsidR="00206F06" w:rsidRPr="00817882" w:rsidRDefault="00206F06" w:rsidP="00206F06">
      <w:pPr>
        <w:pStyle w:val="Sraopastraipa"/>
        <w:numPr>
          <w:ilvl w:val="0"/>
          <w:numId w:val="16"/>
        </w:numPr>
        <w:tabs>
          <w:tab w:val="left" w:pos="-284"/>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Pr="00817882">
        <w:rPr>
          <w:rFonts w:ascii="Times New Roman" w:hAnsi="Times New Roman" w:cs="Times New Roman"/>
          <w:sz w:val="24"/>
          <w:szCs w:val="24"/>
        </w:rPr>
        <w:t>nformuoti visuomenę, ypač jaunimą, apie psichoaktyviųjų medžiagų da</w:t>
      </w:r>
      <w:r>
        <w:rPr>
          <w:rFonts w:ascii="Times New Roman" w:hAnsi="Times New Roman" w:cs="Times New Roman"/>
          <w:sz w:val="24"/>
          <w:szCs w:val="24"/>
        </w:rPr>
        <w:t>romą žalą sveikatai ir aplinkai, norintiems atsisakyti žalingų įpročių nukreipti pas specialistus;</w:t>
      </w:r>
      <w:r w:rsidRPr="00817882">
        <w:rPr>
          <w:rFonts w:ascii="Times New Roman" w:hAnsi="Times New Roman" w:cs="Times New Roman"/>
          <w:sz w:val="24"/>
          <w:szCs w:val="24"/>
        </w:rPr>
        <w:t xml:space="preserve"> </w:t>
      </w:r>
    </w:p>
    <w:p w:rsidR="00206F06" w:rsidRDefault="00206F06" w:rsidP="00206F06">
      <w:pPr>
        <w:pStyle w:val="Sraopastraipa"/>
        <w:numPr>
          <w:ilvl w:val="0"/>
          <w:numId w:val="16"/>
        </w:numPr>
        <w:tabs>
          <w:tab w:val="left" w:pos="-284"/>
        </w:tabs>
        <w:autoSpaceDE w:val="0"/>
        <w:autoSpaceDN w:val="0"/>
        <w:adjustRightInd w:val="0"/>
        <w:spacing w:after="0" w:line="360" w:lineRule="auto"/>
        <w:ind w:left="0"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v</w:t>
      </w:r>
      <w:r w:rsidRPr="00817882">
        <w:rPr>
          <w:rFonts w:ascii="Times New Roman" w:eastAsia="MS Mincho" w:hAnsi="Times New Roman" w:cs="Times New Roman"/>
          <w:sz w:val="24"/>
          <w:szCs w:val="24"/>
          <w:lang w:eastAsia="ja-JP"/>
        </w:rPr>
        <w:t>ykdant psichoaktyvi</w:t>
      </w:r>
      <w:r>
        <w:rPr>
          <w:rFonts w:ascii="Times New Roman" w:eastAsia="MS Mincho" w:hAnsi="Times New Roman" w:cs="Times New Roman"/>
          <w:sz w:val="24"/>
          <w:szCs w:val="24"/>
          <w:lang w:eastAsia="ja-JP"/>
        </w:rPr>
        <w:t xml:space="preserve">ųjų medžiagų </w:t>
      </w:r>
      <w:r w:rsidRPr="00817882">
        <w:rPr>
          <w:rFonts w:ascii="Times New Roman" w:eastAsia="MS Mincho" w:hAnsi="Times New Roman" w:cs="Times New Roman"/>
          <w:sz w:val="24"/>
          <w:szCs w:val="24"/>
          <w:lang w:eastAsia="ja-JP"/>
        </w:rPr>
        <w:t xml:space="preserve">vartojimo prevenciją </w:t>
      </w:r>
      <w:r>
        <w:rPr>
          <w:rFonts w:ascii="Times New Roman" w:eastAsia="MS Mincho" w:hAnsi="Times New Roman" w:cs="Times New Roman"/>
          <w:sz w:val="24"/>
          <w:szCs w:val="24"/>
          <w:lang w:eastAsia="ja-JP"/>
        </w:rPr>
        <w:t>organizuoti šviečiamąją veiklą (akcijos, seminarai</w:t>
      </w:r>
      <w:r w:rsidRPr="0081788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konferencijos, </w:t>
      </w:r>
      <w:r w:rsidRPr="00817882">
        <w:rPr>
          <w:rFonts w:ascii="Times New Roman" w:eastAsia="MS Mincho" w:hAnsi="Times New Roman" w:cs="Times New Roman"/>
          <w:sz w:val="24"/>
          <w:szCs w:val="24"/>
          <w:lang w:eastAsia="ja-JP"/>
        </w:rPr>
        <w:t>paska</w:t>
      </w:r>
      <w:r>
        <w:rPr>
          <w:rFonts w:ascii="Times New Roman" w:eastAsia="MS Mincho" w:hAnsi="Times New Roman" w:cs="Times New Roman"/>
          <w:sz w:val="24"/>
          <w:szCs w:val="24"/>
          <w:lang w:eastAsia="ja-JP"/>
        </w:rPr>
        <w:t>itos, informacijos sklaida</w:t>
      </w:r>
      <w:r w:rsidRPr="0081788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taip pat svarbu užtikrinti vaikų ir jaunimo</w:t>
      </w:r>
      <w:r w:rsidRPr="00817882">
        <w:rPr>
          <w:rFonts w:ascii="Times New Roman" w:eastAsia="MS Mincho" w:hAnsi="Times New Roman" w:cs="Times New Roman"/>
          <w:sz w:val="24"/>
          <w:szCs w:val="24"/>
          <w:lang w:eastAsia="ja-JP"/>
        </w:rPr>
        <w:t xml:space="preserve"> užim</w:t>
      </w:r>
      <w:r>
        <w:rPr>
          <w:rFonts w:ascii="Times New Roman" w:eastAsia="MS Mincho" w:hAnsi="Times New Roman" w:cs="Times New Roman"/>
          <w:sz w:val="24"/>
          <w:szCs w:val="24"/>
          <w:lang w:eastAsia="ja-JP"/>
        </w:rPr>
        <w:t>tumą, aktyvų laisvalaikio praleidimą, skatinti tėvus daugiau laiko praleisti kartu su vaikais;</w:t>
      </w:r>
      <w:r w:rsidRPr="00817882">
        <w:rPr>
          <w:rFonts w:ascii="Times New Roman" w:eastAsia="MS Mincho" w:hAnsi="Times New Roman" w:cs="Times New Roman"/>
          <w:sz w:val="24"/>
          <w:szCs w:val="24"/>
          <w:lang w:eastAsia="ja-JP"/>
        </w:rPr>
        <w:t xml:space="preserve"> </w:t>
      </w:r>
    </w:p>
    <w:p w:rsidR="00206F06" w:rsidRPr="00817882" w:rsidRDefault="00206F06" w:rsidP="00206F06">
      <w:pPr>
        <w:numPr>
          <w:ilvl w:val="0"/>
          <w:numId w:val="16"/>
        </w:numPr>
        <w:tabs>
          <w:tab w:val="left" w:pos="-284"/>
        </w:tabs>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817882">
        <w:rPr>
          <w:rFonts w:ascii="Times New Roman" w:hAnsi="Times New Roman" w:cs="Times New Roman"/>
          <w:sz w:val="24"/>
          <w:szCs w:val="24"/>
        </w:rPr>
        <w:t xml:space="preserve">užtikrinti, kad būtų laikomasi egzistuojančių </w:t>
      </w:r>
      <w:r>
        <w:rPr>
          <w:rFonts w:ascii="Times New Roman" w:hAnsi="Times New Roman" w:cs="Times New Roman"/>
          <w:sz w:val="24"/>
          <w:szCs w:val="24"/>
        </w:rPr>
        <w:t xml:space="preserve">psichoaktyviųjų medžiagų įsigijimo/laikymo </w:t>
      </w:r>
      <w:r w:rsidRPr="00817882">
        <w:rPr>
          <w:rFonts w:ascii="Times New Roman" w:hAnsi="Times New Roman" w:cs="Times New Roman"/>
          <w:sz w:val="24"/>
          <w:szCs w:val="24"/>
        </w:rPr>
        <w:t xml:space="preserve">ribojančių </w:t>
      </w:r>
      <w:r>
        <w:rPr>
          <w:rFonts w:ascii="Times New Roman" w:hAnsi="Times New Roman" w:cs="Times New Roman"/>
          <w:sz w:val="24"/>
          <w:szCs w:val="24"/>
        </w:rPr>
        <w:t>įstatymų;</w:t>
      </w:r>
    </w:p>
    <w:p w:rsidR="00206F06" w:rsidRDefault="00206F06" w:rsidP="00206F06">
      <w:pPr>
        <w:pStyle w:val="Sraopastraipa"/>
        <w:numPr>
          <w:ilvl w:val="0"/>
          <w:numId w:val="16"/>
        </w:numPr>
        <w:tabs>
          <w:tab w:val="left" w:pos="-284"/>
        </w:tabs>
        <w:autoSpaceDE w:val="0"/>
        <w:autoSpaceDN w:val="0"/>
        <w:adjustRightInd w:val="0"/>
        <w:spacing w:after="0" w:line="360" w:lineRule="auto"/>
        <w:ind w:left="0"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w:t>
      </w:r>
      <w:r w:rsidRPr="00817882">
        <w:rPr>
          <w:rFonts w:ascii="Times New Roman" w:eastAsia="MS Mincho" w:hAnsi="Times New Roman" w:cs="Times New Roman"/>
          <w:sz w:val="24"/>
          <w:szCs w:val="24"/>
          <w:lang w:eastAsia="ja-JP"/>
        </w:rPr>
        <w:t xml:space="preserve">rganizuojant renginius </w:t>
      </w:r>
      <w:r>
        <w:rPr>
          <w:rFonts w:ascii="Times New Roman" w:eastAsia="MS Mincho" w:hAnsi="Times New Roman" w:cs="Times New Roman"/>
          <w:sz w:val="24"/>
          <w:szCs w:val="24"/>
          <w:lang w:eastAsia="ja-JP"/>
        </w:rPr>
        <w:t>riboti/neleisti</w:t>
      </w:r>
      <w:r w:rsidRPr="0081788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prekiauti alkoholiniais gėrimais;</w:t>
      </w:r>
      <w:r w:rsidRPr="00817882">
        <w:rPr>
          <w:rFonts w:ascii="Times New Roman" w:eastAsia="MS Mincho" w:hAnsi="Times New Roman" w:cs="Times New Roman"/>
          <w:sz w:val="24"/>
          <w:szCs w:val="24"/>
          <w:lang w:eastAsia="ja-JP"/>
        </w:rPr>
        <w:t xml:space="preserve"> </w:t>
      </w:r>
    </w:p>
    <w:p w:rsidR="00206F06" w:rsidRPr="007A75E9" w:rsidRDefault="00206F06" w:rsidP="00206F06">
      <w:pPr>
        <w:pStyle w:val="Sraopastraipa"/>
        <w:numPr>
          <w:ilvl w:val="0"/>
          <w:numId w:val="16"/>
        </w:numPr>
        <w:tabs>
          <w:tab w:val="left" w:pos="-284"/>
        </w:tabs>
        <w:autoSpaceDE w:val="0"/>
        <w:autoSpaceDN w:val="0"/>
        <w:adjustRightInd w:val="0"/>
        <w:spacing w:after="0" w:line="360" w:lineRule="auto"/>
        <w:ind w:left="0"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mažinti išduodamų</w:t>
      </w:r>
      <w:r w:rsidRPr="00C41356">
        <w:rPr>
          <w:rFonts w:ascii="Times New Roman" w:hAnsi="Times New Roman" w:cs="Times New Roman"/>
          <w:sz w:val="24"/>
          <w:szCs w:val="24"/>
        </w:rPr>
        <w:t xml:space="preserve"> </w:t>
      </w:r>
      <w:r>
        <w:rPr>
          <w:rFonts w:ascii="Times New Roman" w:hAnsi="Times New Roman" w:cs="Times New Roman"/>
          <w:sz w:val="24"/>
          <w:szCs w:val="24"/>
        </w:rPr>
        <w:t>licencijų skaičių,</w:t>
      </w:r>
      <w:r w:rsidRPr="0077495E">
        <w:rPr>
          <w:rFonts w:ascii="Times New Roman" w:hAnsi="Times New Roman" w:cs="Times New Roman"/>
          <w:sz w:val="24"/>
          <w:szCs w:val="24"/>
        </w:rPr>
        <w:t xml:space="preserve"> verstis mažmenine prekyba tabako gaminiais</w:t>
      </w:r>
      <w:r w:rsidR="006444F9">
        <w:rPr>
          <w:rFonts w:ascii="Times New Roman" w:hAnsi="Times New Roman" w:cs="Times New Roman"/>
          <w:sz w:val="24"/>
          <w:szCs w:val="24"/>
        </w:rPr>
        <w:t xml:space="preserve"> ir alkoholiniais gėrimais.</w:t>
      </w:r>
    </w:p>
    <w:p w:rsidR="00467B2F" w:rsidRPr="00A95B6F" w:rsidRDefault="00467B2F" w:rsidP="00467B2F">
      <w:pPr>
        <w:spacing w:after="0" w:line="360" w:lineRule="auto"/>
        <w:ind w:firstLine="851"/>
        <w:contextualSpacing/>
        <w:rPr>
          <w:rFonts w:ascii="Times New Roman" w:hAnsi="Times New Roman" w:cs="Times New Roman"/>
          <w:b/>
          <w:sz w:val="24"/>
          <w:szCs w:val="24"/>
          <w:u w:val="single"/>
        </w:rPr>
      </w:pPr>
      <w:r>
        <w:rPr>
          <w:rFonts w:ascii="Times New Roman" w:hAnsi="Times New Roman" w:cs="Times New Roman"/>
          <w:b/>
          <w:sz w:val="24"/>
          <w:szCs w:val="24"/>
          <w:u w:val="single"/>
        </w:rPr>
        <w:t>Kurti palankias sąlygas saugiai leisti laisvalaikį</w:t>
      </w:r>
    </w:p>
    <w:p w:rsidR="00467B2F" w:rsidRDefault="00467B2F" w:rsidP="00467B2F">
      <w:pPr>
        <w:spacing w:after="120" w:line="360" w:lineRule="auto"/>
        <w:ind w:firstLine="851"/>
        <w:contextualSpacing/>
        <w:jc w:val="both"/>
        <w:rPr>
          <w:rFonts w:ascii="Times New Roman" w:hAnsi="Times New Roman" w:cs="Times New Roman"/>
          <w:sz w:val="24"/>
          <w:szCs w:val="24"/>
        </w:rPr>
      </w:pPr>
      <w:r w:rsidRPr="00AA5A5E">
        <w:rPr>
          <w:rFonts w:ascii="Times New Roman" w:hAnsi="Times New Roman" w:cs="Times New Roman"/>
          <w:sz w:val="24"/>
          <w:szCs w:val="24"/>
        </w:rPr>
        <w:t>Siekiant mažinti gyventojų mirtingumą dėl atsitiktinių paskendimų skaičių reikėtų</w:t>
      </w:r>
      <w:r>
        <w:rPr>
          <w:rFonts w:ascii="Times New Roman" w:hAnsi="Times New Roman" w:cs="Times New Roman"/>
          <w:sz w:val="24"/>
          <w:szCs w:val="24"/>
        </w:rPr>
        <w:t>:</w:t>
      </w:r>
    </w:p>
    <w:p w:rsidR="00467B2F" w:rsidRPr="00206F06" w:rsidRDefault="00467B2F" w:rsidP="00467B2F">
      <w:pPr>
        <w:pStyle w:val="Sraopastraipa"/>
        <w:numPr>
          <w:ilvl w:val="0"/>
          <w:numId w:val="4"/>
        </w:numPr>
        <w:spacing w:after="120" w:line="360" w:lineRule="auto"/>
        <w:ind w:left="1276" w:hanging="425"/>
        <w:jc w:val="both"/>
        <w:rPr>
          <w:rFonts w:ascii="Times New Roman" w:hAnsi="Times New Roman" w:cs="Times New Roman"/>
          <w:sz w:val="24"/>
          <w:szCs w:val="24"/>
        </w:rPr>
      </w:pPr>
      <w:r w:rsidRPr="00206F06">
        <w:rPr>
          <w:rFonts w:ascii="Times New Roman" w:hAnsi="Times New Roman" w:cs="Times New Roman"/>
          <w:sz w:val="24"/>
          <w:szCs w:val="24"/>
        </w:rPr>
        <w:t>griežčiau kontroliuoti gyventojus, dėl netinkamo elgesio prie vandens telkinių</w:t>
      </w:r>
      <w:r>
        <w:rPr>
          <w:rFonts w:ascii="Times New Roman" w:hAnsi="Times New Roman" w:cs="Times New Roman"/>
          <w:sz w:val="24"/>
          <w:szCs w:val="24"/>
        </w:rPr>
        <w:t xml:space="preserve"> (alkoholio vartojimas);</w:t>
      </w:r>
      <w:r w:rsidRPr="00206F06">
        <w:rPr>
          <w:rFonts w:ascii="Times New Roman" w:hAnsi="Times New Roman" w:cs="Times New Roman"/>
          <w:sz w:val="24"/>
          <w:szCs w:val="24"/>
        </w:rPr>
        <w:t xml:space="preserve"> </w:t>
      </w:r>
    </w:p>
    <w:p w:rsidR="00467B2F" w:rsidRPr="00206F06" w:rsidRDefault="00467B2F" w:rsidP="00467B2F">
      <w:pPr>
        <w:pStyle w:val="Sraopastraipa"/>
        <w:numPr>
          <w:ilvl w:val="0"/>
          <w:numId w:val="4"/>
        </w:numPr>
        <w:spacing w:line="360" w:lineRule="auto"/>
        <w:ind w:left="1276" w:hanging="425"/>
        <w:jc w:val="both"/>
        <w:rPr>
          <w:rFonts w:ascii="Times New Roman" w:hAnsi="Times New Roman" w:cs="Times New Roman"/>
          <w:sz w:val="24"/>
          <w:szCs w:val="24"/>
        </w:rPr>
      </w:pPr>
      <w:r w:rsidRPr="00206F06">
        <w:rPr>
          <w:rFonts w:ascii="Times New Roman" w:hAnsi="Times New Roman" w:cs="Times New Roman"/>
          <w:sz w:val="24"/>
          <w:szCs w:val="24"/>
        </w:rPr>
        <w:t>rengt</w:t>
      </w:r>
      <w:r>
        <w:rPr>
          <w:rFonts w:ascii="Times New Roman" w:hAnsi="Times New Roman" w:cs="Times New Roman"/>
          <w:sz w:val="24"/>
          <w:szCs w:val="24"/>
        </w:rPr>
        <w:t>i plaukimo mokymus gyventojams:</w:t>
      </w:r>
    </w:p>
    <w:p w:rsidR="00467B2F" w:rsidRPr="00FD3A8D" w:rsidRDefault="00467B2F" w:rsidP="00467B2F">
      <w:pPr>
        <w:pStyle w:val="Sraopastraipa"/>
        <w:numPr>
          <w:ilvl w:val="0"/>
          <w:numId w:val="15"/>
        </w:numPr>
        <w:spacing w:after="0" w:line="360" w:lineRule="auto"/>
        <w:ind w:left="0" w:firstLine="851"/>
        <w:jc w:val="both"/>
        <w:rPr>
          <w:rFonts w:ascii="Times New Roman" w:hAnsi="Times New Roman" w:cs="Times New Roman"/>
          <w:sz w:val="24"/>
          <w:szCs w:val="24"/>
        </w:rPr>
      </w:pPr>
      <w:r w:rsidRPr="00B95CD1">
        <w:rPr>
          <w:rFonts w:ascii="Times New Roman" w:hAnsi="Times New Roman" w:cs="Times New Roman"/>
          <w:sz w:val="24"/>
          <w:szCs w:val="24"/>
        </w:rPr>
        <w:t>stiprinti saugumo priemones</w:t>
      </w:r>
      <w:r>
        <w:rPr>
          <w:rFonts w:ascii="Times New Roman" w:hAnsi="Times New Roman" w:cs="Times New Roman"/>
          <w:sz w:val="24"/>
          <w:szCs w:val="24"/>
        </w:rPr>
        <w:t>;</w:t>
      </w:r>
    </w:p>
    <w:p w:rsidR="00467B2F" w:rsidRDefault="00467B2F" w:rsidP="00467B2F">
      <w:pPr>
        <w:pStyle w:val="Sraopastraipa"/>
        <w:numPr>
          <w:ilvl w:val="0"/>
          <w:numId w:val="1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gyventojams organizuoti renginius apie saugų elgesį vandenyje (akcijos, informacijos sklaida, mokymai, socialinės reklamos);</w:t>
      </w:r>
    </w:p>
    <w:p w:rsidR="00467B2F" w:rsidRPr="00547B38" w:rsidRDefault="00467B2F" w:rsidP="00547B38">
      <w:pPr>
        <w:pStyle w:val="Sraopastraipa"/>
        <w:numPr>
          <w:ilvl w:val="0"/>
          <w:numId w:val="15"/>
        </w:numPr>
        <w:spacing w:after="0" w:line="360" w:lineRule="auto"/>
        <w:ind w:left="0" w:firstLine="851"/>
        <w:jc w:val="both"/>
        <w:rPr>
          <w:rFonts w:ascii="Times New Roman" w:hAnsi="Times New Roman" w:cs="Times New Roman"/>
          <w:sz w:val="24"/>
          <w:szCs w:val="24"/>
        </w:rPr>
      </w:pPr>
      <w:r w:rsidRPr="00B95CD1">
        <w:rPr>
          <w:rFonts w:ascii="Times New Roman" w:hAnsi="Times New Roman" w:cs="Times New Roman"/>
          <w:sz w:val="24"/>
          <w:szCs w:val="24"/>
        </w:rPr>
        <w:t xml:space="preserve"> </w:t>
      </w:r>
      <w:r>
        <w:rPr>
          <w:rFonts w:ascii="Times New Roman" w:hAnsi="Times New Roman" w:cs="Times New Roman"/>
          <w:sz w:val="24"/>
          <w:szCs w:val="24"/>
        </w:rPr>
        <w:t>mokyti gyventojus kaip teikti pirmąją pagalbą.</w:t>
      </w:r>
    </w:p>
    <w:p w:rsidR="00467B2F" w:rsidRPr="000961C8" w:rsidRDefault="00467B2F" w:rsidP="00467B2F">
      <w:pPr>
        <w:spacing w:after="0" w:line="360" w:lineRule="auto"/>
        <w:ind w:firstLine="851"/>
        <w:contextualSpacing/>
        <w:jc w:val="both"/>
        <w:rPr>
          <w:rFonts w:ascii="Times New Roman" w:hAnsi="Times New Roman" w:cs="Times New Roman"/>
          <w:b/>
          <w:sz w:val="24"/>
          <w:szCs w:val="24"/>
          <w:u w:val="single"/>
        </w:rPr>
      </w:pPr>
      <w:r w:rsidRPr="000961C8">
        <w:rPr>
          <w:rFonts w:ascii="Times New Roman" w:hAnsi="Times New Roman" w:cs="Times New Roman"/>
          <w:b/>
          <w:sz w:val="24"/>
          <w:szCs w:val="24"/>
          <w:u w:val="single"/>
        </w:rPr>
        <w:t>Stiprinti lėtinių neinfekcinių ligų prevenciją ir kontrolę</w:t>
      </w:r>
    </w:p>
    <w:p w:rsidR="00467B2F" w:rsidRDefault="00467B2F" w:rsidP="00467B2F">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Siekiant mažinti Molėtų r. gyventojų mirtingumą nuo kraujotakos sistemos ligų būtina:</w:t>
      </w:r>
    </w:p>
    <w:p w:rsidR="00467B2F" w:rsidRPr="007568FF" w:rsidRDefault="00467B2F" w:rsidP="00467B2F">
      <w:pPr>
        <w:pStyle w:val="Sraopastraipa"/>
        <w:numPr>
          <w:ilvl w:val="0"/>
          <w:numId w:val="4"/>
        </w:numPr>
        <w:spacing w:after="0" w:line="360" w:lineRule="auto"/>
        <w:ind w:left="0" w:firstLine="851"/>
        <w:jc w:val="both"/>
        <w:rPr>
          <w:rFonts w:ascii="Times New Roman" w:hAnsi="Times New Roman" w:cs="Times New Roman"/>
          <w:sz w:val="24"/>
          <w:szCs w:val="24"/>
        </w:rPr>
      </w:pPr>
      <w:r w:rsidRPr="007568FF">
        <w:rPr>
          <w:rFonts w:ascii="Times New Roman" w:hAnsi="Times New Roman" w:cs="Times New Roman"/>
          <w:sz w:val="24"/>
          <w:szCs w:val="24"/>
        </w:rPr>
        <w:t xml:space="preserve">skatinti gyventojus aktyviau dalyvauti širdies ir kraujagyslių ligų rizikos grupės asmenų sveikatos stiprinimo programoje; </w:t>
      </w:r>
    </w:p>
    <w:p w:rsidR="00467B2F" w:rsidRPr="007568FF" w:rsidRDefault="00467B2F" w:rsidP="00467B2F">
      <w:pPr>
        <w:pStyle w:val="Sraopastraipa"/>
        <w:numPr>
          <w:ilvl w:val="0"/>
          <w:numId w:val="4"/>
        </w:numPr>
        <w:spacing w:after="0" w:line="360" w:lineRule="auto"/>
        <w:ind w:left="0" w:firstLine="851"/>
        <w:jc w:val="both"/>
        <w:rPr>
          <w:rFonts w:ascii="Times New Roman" w:hAnsi="Times New Roman" w:cs="Times New Roman"/>
          <w:sz w:val="24"/>
          <w:szCs w:val="24"/>
        </w:rPr>
      </w:pPr>
      <w:r w:rsidRPr="007568FF">
        <w:rPr>
          <w:rFonts w:ascii="Times New Roman" w:hAnsi="Times New Roman" w:cs="Times New Roman"/>
          <w:sz w:val="24"/>
          <w:szCs w:val="24"/>
        </w:rPr>
        <w:t>didinti gyventojų informuotumą apie širdies ir kraujagyslių ligų didelės rizikos asmenų atrankos ir prevencinių priemonių programą;</w:t>
      </w:r>
    </w:p>
    <w:p w:rsidR="00467B2F" w:rsidRPr="007568FF" w:rsidRDefault="00467B2F" w:rsidP="00467B2F">
      <w:pPr>
        <w:pStyle w:val="Sraopastraipa"/>
        <w:numPr>
          <w:ilvl w:val="0"/>
          <w:numId w:val="4"/>
        </w:numPr>
        <w:spacing w:after="0" w:line="360" w:lineRule="auto"/>
        <w:ind w:left="0" w:firstLine="851"/>
        <w:jc w:val="both"/>
        <w:rPr>
          <w:rFonts w:ascii="Times New Roman" w:hAnsi="Times New Roman" w:cs="Times New Roman"/>
          <w:sz w:val="24"/>
          <w:szCs w:val="24"/>
        </w:rPr>
      </w:pPr>
      <w:r w:rsidRPr="007568FF">
        <w:rPr>
          <w:rFonts w:ascii="Times New Roman" w:hAnsi="Times New Roman" w:cs="Times New Roman"/>
          <w:sz w:val="24"/>
          <w:szCs w:val="24"/>
        </w:rPr>
        <w:lastRenderedPageBreak/>
        <w:t xml:space="preserve">informuoti apie kraujotakos sistemos ligas, jų rizikos veiksnius bei profilaktikos priemones: reguliariai tikrintis kraujo spaudimą, cholesterolio kiekį kraujyje, palaikyti normalų kūno masės indeksą; </w:t>
      </w:r>
    </w:p>
    <w:p w:rsidR="00467B2F" w:rsidRPr="007568FF" w:rsidRDefault="00467B2F" w:rsidP="00467B2F">
      <w:pPr>
        <w:pStyle w:val="Sraopastraipa"/>
        <w:numPr>
          <w:ilvl w:val="0"/>
          <w:numId w:val="4"/>
        </w:numPr>
        <w:spacing w:after="0" w:line="360" w:lineRule="auto"/>
        <w:ind w:left="0" w:firstLine="851"/>
        <w:jc w:val="both"/>
        <w:rPr>
          <w:rFonts w:ascii="Times New Roman" w:hAnsi="Times New Roman" w:cs="Times New Roman"/>
          <w:sz w:val="24"/>
          <w:szCs w:val="24"/>
        </w:rPr>
      </w:pPr>
      <w:r w:rsidRPr="007568FF">
        <w:rPr>
          <w:rFonts w:ascii="Times New Roman" w:hAnsi="Times New Roman" w:cs="Times New Roman"/>
          <w:sz w:val="24"/>
          <w:szCs w:val="24"/>
        </w:rPr>
        <w:t>organizuoti sveikatinimo renginius (seminarai, konferencijos, akcijos, mankštos, šiaurietiškojo ėjimo užsiėmimai ir kt.), skatinti rinktis sveikatai palankius maisto produktus (pažymėtus raktos skylutės simboliu, vaisius, daržoves ir t.t.), atsisakyti žalingų įpročių, išmokti valdyti stresą.</w:t>
      </w:r>
    </w:p>
    <w:p w:rsidR="00206F06" w:rsidRPr="006046F4" w:rsidRDefault="00206F06" w:rsidP="00206F06">
      <w:pPr>
        <w:pStyle w:val="Sraopastraipa"/>
        <w:tabs>
          <w:tab w:val="left" w:pos="-284"/>
        </w:tabs>
        <w:autoSpaceDE w:val="0"/>
        <w:autoSpaceDN w:val="0"/>
        <w:adjustRightInd w:val="0"/>
        <w:spacing w:after="0" w:line="360" w:lineRule="auto"/>
        <w:ind w:left="851"/>
        <w:jc w:val="both"/>
        <w:rPr>
          <w:rFonts w:ascii="Times New Roman" w:eastAsia="MS Mincho" w:hAnsi="Times New Roman" w:cs="Times New Roman"/>
          <w:sz w:val="24"/>
          <w:szCs w:val="24"/>
          <w:lang w:eastAsia="ja-JP"/>
        </w:rPr>
      </w:pPr>
    </w:p>
    <w:p w:rsidR="00206F06" w:rsidRPr="00C41356" w:rsidRDefault="00206F06" w:rsidP="00206F06">
      <w:pPr>
        <w:tabs>
          <w:tab w:val="left" w:pos="-284"/>
        </w:tabs>
        <w:autoSpaceDE w:val="0"/>
        <w:autoSpaceDN w:val="0"/>
        <w:adjustRightInd w:val="0"/>
        <w:spacing w:after="0" w:line="360" w:lineRule="auto"/>
        <w:ind w:firstLine="851"/>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Siekiant užtikrinti kokybiškas ir prieinamas visuomenės sveikatos priežiūros paslaugas Molėtų r. gyventojams būtinas glaudus </w:t>
      </w:r>
      <w:proofErr w:type="spellStart"/>
      <w:r>
        <w:rPr>
          <w:rFonts w:ascii="Times New Roman" w:eastAsia="MS Mincho" w:hAnsi="Times New Roman" w:cs="Times New Roman"/>
          <w:sz w:val="24"/>
          <w:szCs w:val="24"/>
          <w:lang w:eastAsia="ja-JP"/>
        </w:rPr>
        <w:t>tarpsektorinis</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tarpinstitucinis</w:t>
      </w:r>
      <w:proofErr w:type="spellEnd"/>
      <w:r>
        <w:rPr>
          <w:rFonts w:ascii="Times New Roman" w:eastAsia="MS Mincho" w:hAnsi="Times New Roman" w:cs="Times New Roman"/>
          <w:sz w:val="24"/>
          <w:szCs w:val="24"/>
          <w:lang w:eastAsia="ja-JP"/>
        </w:rPr>
        <w:t xml:space="preserve"> bendradarbiavimas, informacijos sklaida (spaudoje, internetinėse svetainėse, Facebook paskyroje ir kt.), </w:t>
      </w:r>
      <w:r>
        <w:rPr>
          <w:rFonts w:ascii="Times New Roman" w:hAnsi="Times New Roman" w:cs="Times New Roman"/>
          <w:sz w:val="24"/>
          <w:szCs w:val="24"/>
        </w:rPr>
        <w:t xml:space="preserve">įvairios sveikatinimo veiklos  (akcijos, paskaitos, užsiėmimai), </w:t>
      </w:r>
      <w:r>
        <w:rPr>
          <w:rFonts w:ascii="Times New Roman" w:eastAsia="MS Mincho" w:hAnsi="Times New Roman" w:cs="Times New Roman"/>
          <w:sz w:val="24"/>
          <w:szCs w:val="24"/>
          <w:lang w:eastAsia="ja-JP"/>
        </w:rPr>
        <w:t xml:space="preserve">specialistų dalyvavimas kvalifikacijos tobulinimo renginiuose, atsakingas pačių gyventojų požiūris į sveikatą. </w:t>
      </w:r>
      <w:r>
        <w:rPr>
          <w:rFonts w:ascii="Times New Roman" w:hAnsi="Times New Roman" w:cs="Times New Roman"/>
          <w:sz w:val="24"/>
          <w:szCs w:val="24"/>
        </w:rPr>
        <w:t>Skatinti gyventojus aktyviai įsitraukti į sveikatą stiprinančios, palaikančios aplinkos kūrimą bendruomenėse.</w:t>
      </w:r>
    </w:p>
    <w:p w:rsidR="00206F06" w:rsidRPr="00AA5A5E" w:rsidRDefault="00206F06" w:rsidP="00BF2E96">
      <w:pPr>
        <w:spacing w:line="360" w:lineRule="auto"/>
        <w:ind w:firstLine="851"/>
        <w:contextualSpacing/>
        <w:jc w:val="both"/>
        <w:rPr>
          <w:rFonts w:ascii="Times New Roman" w:hAnsi="Times New Roman" w:cs="Times New Roman"/>
          <w:sz w:val="24"/>
          <w:szCs w:val="24"/>
        </w:rPr>
      </w:pPr>
    </w:p>
    <w:sectPr w:rsidR="00206F06" w:rsidRPr="00AA5A5E" w:rsidSect="00711AAE">
      <w:headerReference w:type="defaul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04" w:rsidRDefault="009E5904" w:rsidP="00721228">
      <w:pPr>
        <w:spacing w:after="0" w:line="240" w:lineRule="auto"/>
      </w:pPr>
      <w:r>
        <w:separator/>
      </w:r>
    </w:p>
  </w:endnote>
  <w:endnote w:type="continuationSeparator" w:id="0">
    <w:p w:rsidR="009E5904" w:rsidRDefault="009E5904" w:rsidP="007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04" w:rsidRDefault="009E5904" w:rsidP="00721228">
      <w:pPr>
        <w:spacing w:after="0" w:line="240" w:lineRule="auto"/>
      </w:pPr>
      <w:r>
        <w:separator/>
      </w:r>
    </w:p>
  </w:footnote>
  <w:footnote w:type="continuationSeparator" w:id="0">
    <w:p w:rsidR="009E5904" w:rsidRDefault="009E5904" w:rsidP="00721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34374"/>
      <w:docPartObj>
        <w:docPartGallery w:val="Page Numbers (Top of Page)"/>
        <w:docPartUnique/>
      </w:docPartObj>
    </w:sdtPr>
    <w:sdtEndPr/>
    <w:sdtContent>
      <w:p w:rsidR="00B91A30" w:rsidRDefault="00B91A30" w:rsidP="00721228">
        <w:pPr>
          <w:pStyle w:val="Antrats"/>
          <w:jc w:val="center"/>
        </w:pPr>
        <w:r>
          <w:fldChar w:fldCharType="begin"/>
        </w:r>
        <w:r>
          <w:instrText>PAGE   \* MERGEFORMAT</w:instrText>
        </w:r>
        <w:r>
          <w:fldChar w:fldCharType="separate"/>
        </w:r>
        <w:r w:rsidR="00602ACE">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32165"/>
      <w:docPartObj>
        <w:docPartGallery w:val="Page Numbers (Top of Page)"/>
        <w:docPartUnique/>
      </w:docPartObj>
    </w:sdtPr>
    <w:sdtEndPr/>
    <w:sdtContent>
      <w:p w:rsidR="00B91A30" w:rsidRDefault="00B91A30" w:rsidP="00C12E8D">
        <w:pPr>
          <w:pStyle w:val="Antrats"/>
          <w:jc w:val="center"/>
        </w:pPr>
        <w:r>
          <w:fldChar w:fldCharType="begin"/>
        </w:r>
        <w:r>
          <w:instrText>PAGE   \* MERGEFORMAT</w:instrText>
        </w:r>
        <w:r>
          <w:fldChar w:fldCharType="separate"/>
        </w:r>
        <w:r w:rsidR="00602ACE">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4CD"/>
    <w:multiLevelType w:val="hybridMultilevel"/>
    <w:tmpl w:val="066A6F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463892"/>
    <w:multiLevelType w:val="hybridMultilevel"/>
    <w:tmpl w:val="F124780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9CF6062"/>
    <w:multiLevelType w:val="hybridMultilevel"/>
    <w:tmpl w:val="BEE25762"/>
    <w:lvl w:ilvl="0" w:tplc="5688F770">
      <w:start w:val="1"/>
      <w:numFmt w:val="decimal"/>
      <w:lvlText w:val="%1."/>
      <w:lvlJc w:val="left"/>
      <w:pPr>
        <w:tabs>
          <w:tab w:val="num" w:pos="2401"/>
        </w:tabs>
        <w:ind w:left="3546" w:hanging="465"/>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22E27"/>
    <w:multiLevelType w:val="hybridMultilevel"/>
    <w:tmpl w:val="94388B06"/>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2B94127B"/>
    <w:multiLevelType w:val="hybridMultilevel"/>
    <w:tmpl w:val="38EE5730"/>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6" w15:restartNumberingAfterBreak="0">
    <w:nsid w:val="2D5E3AF7"/>
    <w:multiLevelType w:val="hybridMultilevel"/>
    <w:tmpl w:val="CBAE86E6"/>
    <w:lvl w:ilvl="0" w:tplc="0409000D">
      <w:start w:val="1"/>
      <w:numFmt w:val="bullet"/>
      <w:lvlText w:val=""/>
      <w:lvlJc w:val="left"/>
      <w:pPr>
        <w:ind w:left="1429" w:hanging="360"/>
      </w:pPr>
      <w:rPr>
        <w:rFonts w:ascii="Wingdings" w:hAnsi="Wingdings"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7" w15:restartNumberingAfterBreak="0">
    <w:nsid w:val="389B503A"/>
    <w:multiLevelType w:val="hybridMultilevel"/>
    <w:tmpl w:val="2264B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0F67049"/>
    <w:multiLevelType w:val="hybridMultilevel"/>
    <w:tmpl w:val="1E26E0AE"/>
    <w:lvl w:ilvl="0" w:tplc="27684DFC">
      <w:start w:val="1"/>
      <w:numFmt w:val="decimal"/>
      <w:lvlText w:val="%1."/>
      <w:lvlJc w:val="left"/>
      <w:pPr>
        <w:ind w:left="2061" w:hanging="360"/>
      </w:pPr>
      <w:rPr>
        <w:rFonts w:cs="Times New Roman" w:hint="default"/>
        <w:b/>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9" w15:restartNumberingAfterBreak="0">
    <w:nsid w:val="4AFB4362"/>
    <w:multiLevelType w:val="hybridMultilevel"/>
    <w:tmpl w:val="B0D468E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4C7E3C73"/>
    <w:multiLevelType w:val="hybridMultilevel"/>
    <w:tmpl w:val="792E364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503556FB"/>
    <w:multiLevelType w:val="hybridMultilevel"/>
    <w:tmpl w:val="2FBEEC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28631C7"/>
    <w:multiLevelType w:val="hybridMultilevel"/>
    <w:tmpl w:val="BE789760"/>
    <w:lvl w:ilvl="0" w:tplc="B6FECCA2">
      <w:start w:val="1"/>
      <w:numFmt w:val="bullet"/>
      <w:lvlText w:val=""/>
      <w:lvlJc w:val="left"/>
      <w:pPr>
        <w:ind w:left="1287" w:hanging="360"/>
      </w:pPr>
      <w:rPr>
        <w:rFonts w:ascii="Symbol" w:hAnsi="Symbol"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6976282D"/>
    <w:multiLevelType w:val="hybridMultilevel"/>
    <w:tmpl w:val="EACC4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CF216F"/>
    <w:multiLevelType w:val="hybridMultilevel"/>
    <w:tmpl w:val="80862AE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7B607191"/>
    <w:multiLevelType w:val="hybridMultilevel"/>
    <w:tmpl w:val="F5A6A16E"/>
    <w:lvl w:ilvl="0" w:tplc="650AA446">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1"/>
  </w:num>
  <w:num w:numId="2">
    <w:abstractNumId w:val="1"/>
  </w:num>
  <w:num w:numId="3">
    <w:abstractNumId w:val="13"/>
  </w:num>
  <w:num w:numId="4">
    <w:abstractNumId w:val="14"/>
  </w:num>
  <w:num w:numId="5">
    <w:abstractNumId w:val="2"/>
  </w:num>
  <w:num w:numId="6">
    <w:abstractNumId w:val="7"/>
  </w:num>
  <w:num w:numId="7">
    <w:abstractNumId w:val="5"/>
  </w:num>
  <w:num w:numId="8">
    <w:abstractNumId w:val="0"/>
  </w:num>
  <w:num w:numId="9">
    <w:abstractNumId w:val="6"/>
  </w:num>
  <w:num w:numId="10">
    <w:abstractNumId w:val="8"/>
  </w:num>
  <w:num w:numId="11">
    <w:abstractNumId w:val="3"/>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69"/>
    <w:rsid w:val="00022B9E"/>
    <w:rsid w:val="000546AF"/>
    <w:rsid w:val="00055336"/>
    <w:rsid w:val="00066465"/>
    <w:rsid w:val="00076416"/>
    <w:rsid w:val="00080290"/>
    <w:rsid w:val="00091557"/>
    <w:rsid w:val="00092B39"/>
    <w:rsid w:val="00095C8F"/>
    <w:rsid w:val="000A28A6"/>
    <w:rsid w:val="000A73B8"/>
    <w:rsid w:val="000B3232"/>
    <w:rsid w:val="000B48EA"/>
    <w:rsid w:val="000E3406"/>
    <w:rsid w:val="000E4217"/>
    <w:rsid w:val="000F52CF"/>
    <w:rsid w:val="00102451"/>
    <w:rsid w:val="001057FE"/>
    <w:rsid w:val="00123F96"/>
    <w:rsid w:val="00127CD8"/>
    <w:rsid w:val="00142C51"/>
    <w:rsid w:val="0018340B"/>
    <w:rsid w:val="001867F9"/>
    <w:rsid w:val="001977CB"/>
    <w:rsid w:val="001D360A"/>
    <w:rsid w:val="001E4237"/>
    <w:rsid w:val="001F72D2"/>
    <w:rsid w:val="0020327A"/>
    <w:rsid w:val="00206F06"/>
    <w:rsid w:val="00211623"/>
    <w:rsid w:val="002166DD"/>
    <w:rsid w:val="002272E2"/>
    <w:rsid w:val="00247A14"/>
    <w:rsid w:val="00255132"/>
    <w:rsid w:val="002720BB"/>
    <w:rsid w:val="00274051"/>
    <w:rsid w:val="00274119"/>
    <w:rsid w:val="00281132"/>
    <w:rsid w:val="002958F3"/>
    <w:rsid w:val="002B56D1"/>
    <w:rsid w:val="002C10E0"/>
    <w:rsid w:val="002C2782"/>
    <w:rsid w:val="002E6E71"/>
    <w:rsid w:val="002F58C3"/>
    <w:rsid w:val="003175ED"/>
    <w:rsid w:val="00330B55"/>
    <w:rsid w:val="00343FB7"/>
    <w:rsid w:val="003624D1"/>
    <w:rsid w:val="003661E2"/>
    <w:rsid w:val="003B175E"/>
    <w:rsid w:val="003C33CC"/>
    <w:rsid w:val="003E6142"/>
    <w:rsid w:val="003E62DB"/>
    <w:rsid w:val="003F45CD"/>
    <w:rsid w:val="003F7BED"/>
    <w:rsid w:val="00423C4D"/>
    <w:rsid w:val="00431D7B"/>
    <w:rsid w:val="00436F68"/>
    <w:rsid w:val="004411F2"/>
    <w:rsid w:val="0044272E"/>
    <w:rsid w:val="004445BB"/>
    <w:rsid w:val="00445F77"/>
    <w:rsid w:val="00467B2F"/>
    <w:rsid w:val="00470CEF"/>
    <w:rsid w:val="0047285E"/>
    <w:rsid w:val="004817DF"/>
    <w:rsid w:val="00483A1B"/>
    <w:rsid w:val="00497446"/>
    <w:rsid w:val="0049776E"/>
    <w:rsid w:val="004A7726"/>
    <w:rsid w:val="004A7E79"/>
    <w:rsid w:val="004B2207"/>
    <w:rsid w:val="004E04CF"/>
    <w:rsid w:val="004F4876"/>
    <w:rsid w:val="005015AC"/>
    <w:rsid w:val="00503474"/>
    <w:rsid w:val="005055AC"/>
    <w:rsid w:val="00505776"/>
    <w:rsid w:val="00522D54"/>
    <w:rsid w:val="00541720"/>
    <w:rsid w:val="00547B38"/>
    <w:rsid w:val="005562EB"/>
    <w:rsid w:val="00562D1B"/>
    <w:rsid w:val="00575129"/>
    <w:rsid w:val="005B1642"/>
    <w:rsid w:val="005E0987"/>
    <w:rsid w:val="005E3B6F"/>
    <w:rsid w:val="00602ACE"/>
    <w:rsid w:val="0061260A"/>
    <w:rsid w:val="00615F30"/>
    <w:rsid w:val="00626B69"/>
    <w:rsid w:val="00626BD3"/>
    <w:rsid w:val="006444F9"/>
    <w:rsid w:val="0064712D"/>
    <w:rsid w:val="00653241"/>
    <w:rsid w:val="006622FC"/>
    <w:rsid w:val="00687086"/>
    <w:rsid w:val="006A2214"/>
    <w:rsid w:val="006D5DB4"/>
    <w:rsid w:val="006F36AC"/>
    <w:rsid w:val="00702F3B"/>
    <w:rsid w:val="00704284"/>
    <w:rsid w:val="00711AAE"/>
    <w:rsid w:val="00721228"/>
    <w:rsid w:val="00722B0A"/>
    <w:rsid w:val="007267AC"/>
    <w:rsid w:val="0075037C"/>
    <w:rsid w:val="007504CE"/>
    <w:rsid w:val="007754B2"/>
    <w:rsid w:val="007938DE"/>
    <w:rsid w:val="00795629"/>
    <w:rsid w:val="00797C27"/>
    <w:rsid w:val="007C6400"/>
    <w:rsid w:val="0080028F"/>
    <w:rsid w:val="00803919"/>
    <w:rsid w:val="00804591"/>
    <w:rsid w:val="008163A2"/>
    <w:rsid w:val="008311B1"/>
    <w:rsid w:val="008377F1"/>
    <w:rsid w:val="00845F3D"/>
    <w:rsid w:val="008653F2"/>
    <w:rsid w:val="00871396"/>
    <w:rsid w:val="00890A1A"/>
    <w:rsid w:val="00891107"/>
    <w:rsid w:val="008C3CD0"/>
    <w:rsid w:val="008D06E0"/>
    <w:rsid w:val="00962AB3"/>
    <w:rsid w:val="009845E0"/>
    <w:rsid w:val="00985AC1"/>
    <w:rsid w:val="009925BC"/>
    <w:rsid w:val="009A57FA"/>
    <w:rsid w:val="009A61E0"/>
    <w:rsid w:val="009B1942"/>
    <w:rsid w:val="009C2A33"/>
    <w:rsid w:val="009D1EFC"/>
    <w:rsid w:val="009E2116"/>
    <w:rsid w:val="009E5904"/>
    <w:rsid w:val="00A030C2"/>
    <w:rsid w:val="00A214C5"/>
    <w:rsid w:val="00A367FF"/>
    <w:rsid w:val="00A47DC6"/>
    <w:rsid w:val="00A56F4F"/>
    <w:rsid w:val="00A6052E"/>
    <w:rsid w:val="00A63833"/>
    <w:rsid w:val="00A66D03"/>
    <w:rsid w:val="00A9199F"/>
    <w:rsid w:val="00A92919"/>
    <w:rsid w:val="00A9302A"/>
    <w:rsid w:val="00A962A4"/>
    <w:rsid w:val="00AA3DEE"/>
    <w:rsid w:val="00AA5A5E"/>
    <w:rsid w:val="00AB4FFA"/>
    <w:rsid w:val="00AB64B4"/>
    <w:rsid w:val="00AC2A42"/>
    <w:rsid w:val="00AC76F2"/>
    <w:rsid w:val="00AD0BBD"/>
    <w:rsid w:val="00AD1031"/>
    <w:rsid w:val="00AE3C2E"/>
    <w:rsid w:val="00AE3C78"/>
    <w:rsid w:val="00AF3B3F"/>
    <w:rsid w:val="00B0515A"/>
    <w:rsid w:val="00B159BF"/>
    <w:rsid w:val="00B20BCB"/>
    <w:rsid w:val="00B30221"/>
    <w:rsid w:val="00B7236C"/>
    <w:rsid w:val="00B745B2"/>
    <w:rsid w:val="00B75270"/>
    <w:rsid w:val="00B822F0"/>
    <w:rsid w:val="00B91A30"/>
    <w:rsid w:val="00B91B2B"/>
    <w:rsid w:val="00BA3A7C"/>
    <w:rsid w:val="00BA7404"/>
    <w:rsid w:val="00BB2E98"/>
    <w:rsid w:val="00BE3142"/>
    <w:rsid w:val="00BF2E96"/>
    <w:rsid w:val="00C04964"/>
    <w:rsid w:val="00C12E8D"/>
    <w:rsid w:val="00C53A62"/>
    <w:rsid w:val="00C56A6F"/>
    <w:rsid w:val="00C659C7"/>
    <w:rsid w:val="00C70AD0"/>
    <w:rsid w:val="00C83B73"/>
    <w:rsid w:val="00C9649E"/>
    <w:rsid w:val="00CA20BA"/>
    <w:rsid w:val="00CA2CDB"/>
    <w:rsid w:val="00CA6C53"/>
    <w:rsid w:val="00CC47F8"/>
    <w:rsid w:val="00CD468B"/>
    <w:rsid w:val="00CF42CF"/>
    <w:rsid w:val="00CF4B44"/>
    <w:rsid w:val="00D04DC6"/>
    <w:rsid w:val="00D364FA"/>
    <w:rsid w:val="00D604D3"/>
    <w:rsid w:val="00D618AB"/>
    <w:rsid w:val="00D64214"/>
    <w:rsid w:val="00D65663"/>
    <w:rsid w:val="00D74CAF"/>
    <w:rsid w:val="00D775C3"/>
    <w:rsid w:val="00D829DE"/>
    <w:rsid w:val="00D84C42"/>
    <w:rsid w:val="00D97D8A"/>
    <w:rsid w:val="00DC4225"/>
    <w:rsid w:val="00DD0769"/>
    <w:rsid w:val="00DE48CE"/>
    <w:rsid w:val="00DF5706"/>
    <w:rsid w:val="00E03305"/>
    <w:rsid w:val="00E06D54"/>
    <w:rsid w:val="00E3203B"/>
    <w:rsid w:val="00E45382"/>
    <w:rsid w:val="00E45B60"/>
    <w:rsid w:val="00E51A83"/>
    <w:rsid w:val="00E53116"/>
    <w:rsid w:val="00E56910"/>
    <w:rsid w:val="00E77C98"/>
    <w:rsid w:val="00E87EF8"/>
    <w:rsid w:val="00EA5ACA"/>
    <w:rsid w:val="00ED59D0"/>
    <w:rsid w:val="00EE19DC"/>
    <w:rsid w:val="00F04916"/>
    <w:rsid w:val="00F12293"/>
    <w:rsid w:val="00F2621B"/>
    <w:rsid w:val="00F316F6"/>
    <w:rsid w:val="00F32430"/>
    <w:rsid w:val="00F36D90"/>
    <w:rsid w:val="00F418FF"/>
    <w:rsid w:val="00F54B6B"/>
    <w:rsid w:val="00F61EDA"/>
    <w:rsid w:val="00F80EFF"/>
    <w:rsid w:val="00F82BDF"/>
    <w:rsid w:val="00F84DB0"/>
    <w:rsid w:val="00F9374C"/>
    <w:rsid w:val="00FC53F6"/>
    <w:rsid w:val="00FD458B"/>
    <w:rsid w:val="00FE56FF"/>
    <w:rsid w:val="00FF0C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48AB-6729-48C8-9904-0793EDD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07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E04CF"/>
    <w:pPr>
      <w:ind w:left="720"/>
      <w:contextualSpacing/>
    </w:pPr>
  </w:style>
  <w:style w:type="paragraph" w:styleId="Debesliotekstas">
    <w:name w:val="Balloon Text"/>
    <w:basedOn w:val="prastasis"/>
    <w:link w:val="DebesliotekstasDiagrama"/>
    <w:uiPriority w:val="99"/>
    <w:semiHidden/>
    <w:unhideWhenUsed/>
    <w:rsid w:val="004E0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04CF"/>
    <w:rPr>
      <w:rFonts w:ascii="Tahoma" w:hAnsi="Tahoma" w:cs="Tahoma"/>
      <w:sz w:val="16"/>
      <w:szCs w:val="16"/>
    </w:rPr>
  </w:style>
  <w:style w:type="paragraph" w:styleId="Antrats">
    <w:name w:val="header"/>
    <w:basedOn w:val="prastasis"/>
    <w:link w:val="AntratsDiagrama"/>
    <w:uiPriority w:val="99"/>
    <w:unhideWhenUsed/>
    <w:rsid w:val="007212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1228"/>
  </w:style>
  <w:style w:type="paragraph" w:styleId="Porat">
    <w:name w:val="footer"/>
    <w:basedOn w:val="prastasis"/>
    <w:link w:val="PoratDiagrama"/>
    <w:unhideWhenUsed/>
    <w:rsid w:val="00721228"/>
    <w:pPr>
      <w:tabs>
        <w:tab w:val="center" w:pos="4819"/>
        <w:tab w:val="right" w:pos="9638"/>
      </w:tabs>
      <w:spacing w:after="0" w:line="240" w:lineRule="auto"/>
    </w:pPr>
  </w:style>
  <w:style w:type="character" w:customStyle="1" w:styleId="PoratDiagrama">
    <w:name w:val="Poraštė Diagrama"/>
    <w:basedOn w:val="Numatytasispastraiposriftas"/>
    <w:link w:val="Porat"/>
    <w:rsid w:val="00721228"/>
  </w:style>
  <w:style w:type="paragraph" w:customStyle="1" w:styleId="Sraopastraipa1">
    <w:name w:val="Sąrašo pastraipa1"/>
    <w:basedOn w:val="prastasis"/>
    <w:rsid w:val="0064712D"/>
    <w:pPr>
      <w:spacing w:after="0" w:line="240" w:lineRule="auto"/>
      <w:ind w:left="720"/>
      <w:contextualSpacing/>
    </w:pPr>
    <w:rPr>
      <w:rFonts w:ascii="Times New Roman" w:eastAsia="Calibri" w:hAnsi="Times New Roman" w:cs="Times New Roman"/>
      <w:sz w:val="24"/>
      <w:szCs w:val="24"/>
      <w:lang w:eastAsia="lt-LT"/>
    </w:rPr>
  </w:style>
  <w:style w:type="paragraph" w:styleId="Pagrindiniotekstotrauka2">
    <w:name w:val="Body Text Indent 2"/>
    <w:basedOn w:val="prastasis"/>
    <w:link w:val="Pagrindiniotekstotrauka2Diagrama"/>
    <w:rsid w:val="0064712D"/>
    <w:pPr>
      <w:spacing w:after="120" w:line="480" w:lineRule="auto"/>
      <w:ind w:left="360"/>
    </w:pPr>
    <w:rPr>
      <w:rFonts w:ascii="Times New Roman" w:eastAsia="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rsid w:val="0064712D"/>
    <w:rPr>
      <w:rFonts w:ascii="Times New Roman" w:eastAsia="Times New Roman" w:hAnsi="Times New Roman" w:cs="Times New Roman"/>
      <w:sz w:val="24"/>
      <w:szCs w:val="24"/>
      <w:lang w:val="en-US"/>
    </w:rPr>
  </w:style>
  <w:style w:type="paragraph" w:styleId="Pagrindiniotekstotrauka">
    <w:name w:val="Body Text Indent"/>
    <w:basedOn w:val="prastasis"/>
    <w:link w:val="PagrindiniotekstotraukaDiagrama"/>
    <w:uiPriority w:val="99"/>
    <w:semiHidden/>
    <w:unhideWhenUsed/>
    <w:rsid w:val="0064712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4712D"/>
  </w:style>
  <w:style w:type="character" w:styleId="Hipersaitas">
    <w:name w:val="Hyperlink"/>
    <w:basedOn w:val="Numatytasispastraiposriftas"/>
    <w:uiPriority w:val="99"/>
    <w:unhideWhenUsed/>
    <w:rsid w:val="00F54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utenavsb.l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9.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alapis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7064271924687"/>
          <c:y val="2.5269232650266541E-2"/>
          <c:w val="0.8162860124940523"/>
          <c:h val="0.73148758579090656"/>
        </c:manualLayout>
      </c:layout>
      <c:lineChart>
        <c:grouping val="standard"/>
        <c:varyColors val="0"/>
        <c:ser>
          <c:idx val="1"/>
          <c:order val="0"/>
          <c:tx>
            <c:strRef>
              <c:f>Lapas2!$A$3</c:f>
              <c:strCache>
                <c:ptCount val="1"/>
                <c:pt idx="0">
                  <c:v>Molėtų r.sav.</c:v>
                </c:pt>
              </c:strCache>
            </c:strRef>
          </c:tx>
          <c:marker>
            <c:symbol val="none"/>
          </c:marker>
          <c:cat>
            <c:strRef>
              <c:f>Lapas2!$B$1:$K$1</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Lapas2!$B$3:$K$3</c:f>
              <c:numCache>
                <c:formatCode>General</c:formatCode>
                <c:ptCount val="10"/>
                <c:pt idx="0">
                  <c:v>0</c:v>
                </c:pt>
                <c:pt idx="1">
                  <c:v>0</c:v>
                </c:pt>
                <c:pt idx="2">
                  <c:v>0</c:v>
                </c:pt>
                <c:pt idx="3">
                  <c:v>0</c:v>
                </c:pt>
                <c:pt idx="4">
                  <c:v>0</c:v>
                </c:pt>
                <c:pt idx="5">
                  <c:v>0</c:v>
                </c:pt>
                <c:pt idx="6">
                  <c:v>0</c:v>
                </c:pt>
                <c:pt idx="7">
                  <c:v>4.8</c:v>
                </c:pt>
                <c:pt idx="8">
                  <c:v>0</c:v>
                </c:pt>
                <c:pt idx="9">
                  <c:v>14.99</c:v>
                </c:pt>
              </c:numCache>
            </c:numRef>
          </c:val>
          <c:smooth val="0"/>
        </c:ser>
        <c:ser>
          <c:idx val="0"/>
          <c:order val="1"/>
          <c:tx>
            <c:strRef>
              <c:f>Lapas2!$A$2</c:f>
              <c:strCache>
                <c:ptCount val="1"/>
                <c:pt idx="0">
                  <c:v>Lietuva</c:v>
                </c:pt>
              </c:strCache>
            </c:strRef>
          </c:tx>
          <c:marker>
            <c:symbol val="none"/>
          </c:marker>
          <c:cat>
            <c:strRef>
              <c:f>Lapas2!$B$1:$K$1</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Lapas2!$B$2:$K$2</c:f>
              <c:numCache>
                <c:formatCode>General</c:formatCode>
                <c:ptCount val="10"/>
                <c:pt idx="0">
                  <c:v>0.96</c:v>
                </c:pt>
                <c:pt idx="1">
                  <c:v>2</c:v>
                </c:pt>
                <c:pt idx="2">
                  <c:v>2.4</c:v>
                </c:pt>
                <c:pt idx="3">
                  <c:v>1.93</c:v>
                </c:pt>
                <c:pt idx="4">
                  <c:v>2.2200000000000002</c:v>
                </c:pt>
                <c:pt idx="5">
                  <c:v>1.75</c:v>
                </c:pt>
                <c:pt idx="6">
                  <c:v>1.59</c:v>
                </c:pt>
                <c:pt idx="7">
                  <c:v>2.56</c:v>
                </c:pt>
                <c:pt idx="8">
                  <c:v>2.14</c:v>
                </c:pt>
                <c:pt idx="9">
                  <c:v>3.28</c:v>
                </c:pt>
              </c:numCache>
            </c:numRef>
          </c:val>
          <c:smooth val="0"/>
        </c:ser>
        <c:dLbls>
          <c:showLegendKey val="0"/>
          <c:showVal val="0"/>
          <c:showCatName val="0"/>
          <c:showSerName val="0"/>
          <c:showPercent val="0"/>
          <c:showBubbleSize val="0"/>
        </c:dLbls>
        <c:smooth val="0"/>
        <c:axId val="3560416"/>
        <c:axId val="3560800"/>
      </c:lineChart>
      <c:catAx>
        <c:axId val="3560416"/>
        <c:scaling>
          <c:orientation val="minMax"/>
        </c:scaling>
        <c:delete val="0"/>
        <c:axPos val="b"/>
        <c:numFmt formatCode="General" sourceLinked="0"/>
        <c:majorTickMark val="none"/>
        <c:minorTickMark val="none"/>
        <c:tickLblPos val="nextTo"/>
        <c:crossAx val="3560800"/>
        <c:crosses val="autoZero"/>
        <c:auto val="1"/>
        <c:lblAlgn val="ctr"/>
        <c:lblOffset val="100"/>
        <c:noMultiLvlLbl val="0"/>
      </c:catAx>
      <c:valAx>
        <c:axId val="3560800"/>
        <c:scaling>
          <c:orientation val="minMax"/>
        </c:scaling>
        <c:delete val="0"/>
        <c:axPos val="l"/>
        <c:majorGridlines/>
        <c:title>
          <c:tx>
            <c:rich>
              <a:bodyPr/>
              <a:lstStyle/>
              <a:p>
                <a:pPr>
                  <a:defRPr sz="1100"/>
                </a:pPr>
                <a:r>
                  <a:rPr lang="lt-LT" sz="1100"/>
                  <a:t>Rodiklis</a:t>
                </a:r>
                <a:r>
                  <a:rPr lang="lt-LT" sz="1100" baseline="0"/>
                  <a:t> </a:t>
                </a:r>
                <a:r>
                  <a:rPr lang="lt-LT" sz="1100"/>
                  <a:t>100 000 gyv.</a:t>
                </a:r>
              </a:p>
            </c:rich>
          </c:tx>
          <c:layout>
            <c:manualLayout>
              <c:xMode val="edge"/>
              <c:yMode val="edge"/>
              <c:x val="0.11128945960406635"/>
              <c:y val="7.4638991680810216E-2"/>
            </c:manualLayout>
          </c:layout>
          <c:overlay val="0"/>
        </c:title>
        <c:numFmt formatCode="General" sourceLinked="1"/>
        <c:majorTickMark val="none"/>
        <c:minorTickMark val="none"/>
        <c:tickLblPos val="nextTo"/>
        <c:crossAx val="3560416"/>
        <c:crosses val="autoZero"/>
        <c:crossBetween val="between"/>
      </c:valAx>
      <c:dTable>
        <c:showHorzBorder val="1"/>
        <c:showVertBorder val="1"/>
        <c:showOutline val="1"/>
        <c:showKeys val="1"/>
        <c:txPr>
          <a:bodyPr/>
          <a:lstStyle/>
          <a:p>
            <a:pPr rtl="0">
              <a:defRPr sz="1000"/>
            </a:pPr>
            <a:endParaRPr lang="lt-LT"/>
          </a:p>
        </c:txPr>
      </c:dTable>
    </c:plotArea>
    <c:plotVisOnly val="1"/>
    <c:dispBlanksAs val="gap"/>
    <c:showDLblsOverMax val="0"/>
  </c:chart>
  <c:txPr>
    <a:bodyPr/>
    <a:lstStyle/>
    <a:p>
      <a:pPr>
        <a:defRPr b="1"/>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28642685224514"/>
          <c:y val="7.9672853393325832E-2"/>
          <c:w val="0.81824956527736936"/>
          <c:h val="0.66737782777152854"/>
        </c:manualLayout>
      </c:layout>
      <c:lineChart>
        <c:grouping val="standard"/>
        <c:varyColors val="0"/>
        <c:ser>
          <c:idx val="1"/>
          <c:order val="0"/>
          <c:tx>
            <c:strRef>
              <c:f>Lapas1!$A$3</c:f>
              <c:strCache>
                <c:ptCount val="1"/>
                <c:pt idx="0">
                  <c:v>Molėtų r. sav.</c:v>
                </c:pt>
              </c:strCache>
            </c:strRef>
          </c:tx>
          <c:marker>
            <c:symbol val="none"/>
          </c:marker>
          <c:trendline>
            <c:spPr>
              <a:ln w="28575">
                <a:solidFill>
                  <a:schemeClr val="accent2">
                    <a:lumMod val="50000"/>
                  </a:schemeClr>
                </a:solidFill>
                <a:prstDash val="sysDash"/>
              </a:ln>
            </c:spPr>
            <c:trendlineType val="linear"/>
            <c:dispRSqr val="0"/>
            <c:dispEq val="0"/>
          </c:trendline>
          <c:cat>
            <c:strRef>
              <c:f>Lapas1!$B$1:$O$1</c:f>
              <c:strCache>
                <c:ptCount val="14"/>
                <c:pt idx="0">
                  <c:v>2001 metai</c:v>
                </c:pt>
                <c:pt idx="1">
                  <c:v>2002 metai</c:v>
                </c:pt>
                <c:pt idx="2">
                  <c:v>2003 metai</c:v>
                </c:pt>
                <c:pt idx="3">
                  <c:v>2004 metai</c:v>
                </c:pt>
                <c:pt idx="4">
                  <c:v>2005 metai</c:v>
                </c:pt>
                <c:pt idx="5">
                  <c:v>2006 metai</c:v>
                </c:pt>
                <c:pt idx="6">
                  <c:v>2007 metai</c:v>
                </c:pt>
                <c:pt idx="7">
                  <c:v>2008 metai</c:v>
                </c:pt>
                <c:pt idx="8">
                  <c:v>2009 metai</c:v>
                </c:pt>
                <c:pt idx="9">
                  <c:v>2010 metai</c:v>
                </c:pt>
                <c:pt idx="10">
                  <c:v>2011 metai</c:v>
                </c:pt>
                <c:pt idx="11">
                  <c:v>2012 metai</c:v>
                </c:pt>
                <c:pt idx="12">
                  <c:v>2013 metai</c:v>
                </c:pt>
                <c:pt idx="13">
                  <c:v>2014 metai</c:v>
                </c:pt>
              </c:strCache>
            </c:strRef>
          </c:cat>
          <c:val>
            <c:numRef>
              <c:f>Lapas1!$B$3:$O$3</c:f>
              <c:numCache>
                <c:formatCode>General</c:formatCode>
                <c:ptCount val="14"/>
                <c:pt idx="0">
                  <c:v>21.34</c:v>
                </c:pt>
                <c:pt idx="1">
                  <c:v>27.89</c:v>
                </c:pt>
                <c:pt idx="2">
                  <c:v>6.48</c:v>
                </c:pt>
                <c:pt idx="3">
                  <c:v>11.08</c:v>
                </c:pt>
                <c:pt idx="4">
                  <c:v>39.390999999999998</c:v>
                </c:pt>
                <c:pt idx="5">
                  <c:v>23.93</c:v>
                </c:pt>
                <c:pt idx="6">
                  <c:v>30.9</c:v>
                </c:pt>
                <c:pt idx="7">
                  <c:v>27.73</c:v>
                </c:pt>
                <c:pt idx="8">
                  <c:v>7.07</c:v>
                </c:pt>
                <c:pt idx="9">
                  <c:v>25.55</c:v>
                </c:pt>
                <c:pt idx="10">
                  <c:v>22.66</c:v>
                </c:pt>
                <c:pt idx="11">
                  <c:v>22.84</c:v>
                </c:pt>
                <c:pt idx="12">
                  <c:v>9.09</c:v>
                </c:pt>
                <c:pt idx="13">
                  <c:v>21.95</c:v>
                </c:pt>
              </c:numCache>
            </c:numRef>
          </c:val>
          <c:smooth val="0"/>
        </c:ser>
        <c:ser>
          <c:idx val="0"/>
          <c:order val="1"/>
          <c:tx>
            <c:strRef>
              <c:f>Lapas1!$A$2</c:f>
              <c:strCache>
                <c:ptCount val="1"/>
                <c:pt idx="0">
                  <c:v>Lietuva</c:v>
                </c:pt>
              </c:strCache>
            </c:strRef>
          </c:tx>
          <c:marker>
            <c:symbol val="none"/>
          </c:marker>
          <c:trendline>
            <c:spPr>
              <a:ln w="38100">
                <a:solidFill>
                  <a:srgbClr val="7030A0"/>
                </a:solidFill>
                <a:prstDash val="sysDash"/>
              </a:ln>
            </c:spPr>
            <c:trendlineType val="linear"/>
            <c:dispRSqr val="0"/>
            <c:dispEq val="0"/>
          </c:trendline>
          <c:cat>
            <c:strRef>
              <c:f>Lapas1!$B$1:$O$1</c:f>
              <c:strCache>
                <c:ptCount val="14"/>
                <c:pt idx="0">
                  <c:v>2001 metai</c:v>
                </c:pt>
                <c:pt idx="1">
                  <c:v>2002 metai</c:v>
                </c:pt>
                <c:pt idx="2">
                  <c:v>2003 metai</c:v>
                </c:pt>
                <c:pt idx="3">
                  <c:v>2004 metai</c:v>
                </c:pt>
                <c:pt idx="4">
                  <c:v>2005 metai</c:v>
                </c:pt>
                <c:pt idx="5">
                  <c:v>2006 metai</c:v>
                </c:pt>
                <c:pt idx="6">
                  <c:v>2007 metai</c:v>
                </c:pt>
                <c:pt idx="7">
                  <c:v>2008 metai</c:v>
                </c:pt>
                <c:pt idx="8">
                  <c:v>2009 metai</c:v>
                </c:pt>
                <c:pt idx="9">
                  <c:v>2010 metai</c:v>
                </c:pt>
                <c:pt idx="10">
                  <c:v>2011 metai</c:v>
                </c:pt>
                <c:pt idx="11">
                  <c:v>2012 metai</c:v>
                </c:pt>
                <c:pt idx="12">
                  <c:v>2013 metai</c:v>
                </c:pt>
                <c:pt idx="13">
                  <c:v>2014 metai</c:v>
                </c:pt>
              </c:strCache>
            </c:strRef>
          </c:cat>
          <c:val>
            <c:numRef>
              <c:f>Lapas1!$B$2:$O$2</c:f>
              <c:numCache>
                <c:formatCode>General</c:formatCode>
                <c:ptCount val="14"/>
                <c:pt idx="0">
                  <c:v>13.14</c:v>
                </c:pt>
                <c:pt idx="1">
                  <c:v>11.91</c:v>
                </c:pt>
                <c:pt idx="2">
                  <c:v>10.28</c:v>
                </c:pt>
                <c:pt idx="3">
                  <c:v>9</c:v>
                </c:pt>
                <c:pt idx="4">
                  <c:v>11.5</c:v>
                </c:pt>
                <c:pt idx="5">
                  <c:v>10</c:v>
                </c:pt>
                <c:pt idx="6">
                  <c:v>11.13</c:v>
                </c:pt>
                <c:pt idx="7">
                  <c:v>9.9</c:v>
                </c:pt>
                <c:pt idx="8">
                  <c:v>8.98</c:v>
                </c:pt>
                <c:pt idx="9">
                  <c:v>9.81</c:v>
                </c:pt>
                <c:pt idx="10">
                  <c:v>7.56</c:v>
                </c:pt>
                <c:pt idx="11">
                  <c:v>7.21</c:v>
                </c:pt>
                <c:pt idx="12">
                  <c:v>6.28</c:v>
                </c:pt>
                <c:pt idx="13">
                  <c:v>7.21</c:v>
                </c:pt>
              </c:numCache>
            </c:numRef>
          </c:val>
          <c:smooth val="0"/>
        </c:ser>
        <c:dLbls>
          <c:showLegendKey val="0"/>
          <c:showVal val="0"/>
          <c:showCatName val="0"/>
          <c:showSerName val="0"/>
          <c:showPercent val="0"/>
          <c:showBubbleSize val="0"/>
        </c:dLbls>
        <c:smooth val="0"/>
        <c:axId val="152049280"/>
        <c:axId val="152049664"/>
      </c:lineChart>
      <c:catAx>
        <c:axId val="152049280"/>
        <c:scaling>
          <c:orientation val="minMax"/>
        </c:scaling>
        <c:delete val="0"/>
        <c:axPos val="b"/>
        <c:numFmt formatCode="General" sourceLinked="0"/>
        <c:majorTickMark val="none"/>
        <c:minorTickMark val="none"/>
        <c:tickLblPos val="nextTo"/>
        <c:crossAx val="152049664"/>
        <c:crosses val="autoZero"/>
        <c:auto val="1"/>
        <c:lblAlgn val="ctr"/>
        <c:lblOffset val="100"/>
        <c:noMultiLvlLbl val="0"/>
      </c:catAx>
      <c:valAx>
        <c:axId val="152049664"/>
        <c:scaling>
          <c:orientation val="minMax"/>
        </c:scaling>
        <c:delete val="0"/>
        <c:axPos val="l"/>
        <c:majorGridlines/>
        <c:title>
          <c:tx>
            <c:rich>
              <a:bodyPr/>
              <a:lstStyle/>
              <a:p>
                <a:pPr>
                  <a:defRPr sz="1100"/>
                </a:pPr>
                <a:r>
                  <a:rPr lang="lt-LT" sz="1100"/>
                  <a:t>Rodiklis</a:t>
                </a:r>
                <a:r>
                  <a:rPr lang="lt-LT" sz="1100" baseline="0"/>
                  <a:t> 100 000gyv.</a:t>
                </a:r>
                <a:endParaRPr lang="lt-LT" sz="1100"/>
              </a:p>
            </c:rich>
          </c:tx>
          <c:layout>
            <c:manualLayout>
              <c:xMode val="edge"/>
              <c:yMode val="edge"/>
              <c:x val="0.10431484115694642"/>
              <c:y val="9.4095673524680387E-2"/>
            </c:manualLayout>
          </c:layout>
          <c:overlay val="0"/>
        </c:title>
        <c:numFmt formatCode="General" sourceLinked="1"/>
        <c:majorTickMark val="none"/>
        <c:minorTickMark val="none"/>
        <c:tickLblPos val="nextTo"/>
        <c:crossAx val="152049280"/>
        <c:crosses val="autoZero"/>
        <c:crossBetween val="between"/>
      </c:valAx>
      <c:dTable>
        <c:showHorzBorder val="1"/>
        <c:showVertBorder val="1"/>
        <c:showOutline val="1"/>
        <c:showKeys val="1"/>
        <c:spPr>
          <a:ln w="6350"/>
        </c:spPr>
        <c:txPr>
          <a:bodyPr/>
          <a:lstStyle/>
          <a:p>
            <a:pPr rtl="0">
              <a:defRPr sz="1050"/>
            </a:pPr>
            <a:endParaRPr lang="lt-LT"/>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3045421724031218E-2"/>
          <c:y val="5.6920897440121243E-2"/>
          <c:w val="0.77361138809613861"/>
          <c:h val="0.90289460679339772"/>
        </c:manualLayout>
      </c:layout>
      <c:pie3DChart>
        <c:varyColors val="1"/>
        <c:ser>
          <c:idx val="0"/>
          <c:order val="0"/>
          <c:tx>
            <c:strRef>
              <c:f>Lapas1!$B$1</c:f>
              <c:strCache>
                <c:ptCount val="1"/>
                <c:pt idx="0">
                  <c:v>Molėtų r.</c:v>
                </c:pt>
              </c:strCache>
            </c:strRef>
          </c:tx>
          <c:explosion val="25"/>
          <c:dLbls>
            <c:dLbl>
              <c:idx val="0"/>
              <c:layout>
                <c:manualLayout>
                  <c:x val="-2.6606335666375037E-2"/>
                  <c:y val="-4.34976877890263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498833479148442E-3"/>
                  <c:y val="1.3123359580052494E-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731846019247595"/>
                  <c:y val="7.34220722409698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168379994167395"/>
                  <c:y val="-0.232340019997500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852398658501061E-2"/>
                  <c:y val="-9.31008623922009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solidFill>
                      <a:schemeClr val="tx1"/>
                    </a:solidFill>
                  </a:defRPr>
                </a:pPr>
                <a:endParaRPr lang="lt-LT"/>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Lapas1!$A$2:$A$7</c:f>
              <c:strCache>
                <c:ptCount val="6"/>
                <c:pt idx="0">
                  <c:v>0-14 m.</c:v>
                </c:pt>
                <c:pt idx="1">
                  <c:v>15-29 m.</c:v>
                </c:pt>
                <c:pt idx="2">
                  <c:v>30-44 m.</c:v>
                </c:pt>
                <c:pt idx="3">
                  <c:v>45-59m.</c:v>
                </c:pt>
                <c:pt idx="4">
                  <c:v>60-74 m.</c:v>
                </c:pt>
                <c:pt idx="5">
                  <c:v>75+  m.</c:v>
                </c:pt>
              </c:strCache>
            </c:strRef>
          </c:cat>
          <c:val>
            <c:numRef>
              <c:f>Lapas1!$B$2:$B$7</c:f>
              <c:numCache>
                <c:formatCode>0.00%</c:formatCode>
                <c:ptCount val="6"/>
                <c:pt idx="0">
                  <c:v>4.8000000000000001E-2</c:v>
                </c:pt>
                <c:pt idx="1">
                  <c:v>4.8000000000000001E-2</c:v>
                </c:pt>
                <c:pt idx="2">
                  <c:v>0.23799999999999999</c:v>
                </c:pt>
                <c:pt idx="3">
                  <c:v>0.57099999999999995</c:v>
                </c:pt>
                <c:pt idx="4">
                  <c:v>9.5000000000000001E-2</c:v>
                </c:pt>
                <c:pt idx="5">
                  <c:v>4.8000000000000001E-2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100"/>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Lapas1!$C$1</c:f>
              <c:strCache>
                <c:ptCount val="1"/>
                <c:pt idx="0">
                  <c:v>Molėtų r.</c:v>
                </c:pt>
              </c:strCache>
            </c:strRef>
          </c:tx>
          <c:marker>
            <c:symbol val="none"/>
          </c:marker>
          <c:cat>
            <c:strRef>
              <c:f>Lapas1!$A$2:$A$15</c:f>
              <c:strCache>
                <c:ptCount val="14"/>
                <c:pt idx="0">
                  <c:v>2001 metai</c:v>
                </c:pt>
                <c:pt idx="1">
                  <c:v>2002  metai</c:v>
                </c:pt>
                <c:pt idx="2">
                  <c:v>2003  metai</c:v>
                </c:pt>
                <c:pt idx="3">
                  <c:v>2004  metai</c:v>
                </c:pt>
                <c:pt idx="4">
                  <c:v>2005  metai</c:v>
                </c:pt>
                <c:pt idx="5">
                  <c:v>2006  metai</c:v>
                </c:pt>
                <c:pt idx="6">
                  <c:v>2007  metai</c:v>
                </c:pt>
                <c:pt idx="7">
                  <c:v>2008  metai</c:v>
                </c:pt>
                <c:pt idx="8">
                  <c:v>2009  metai</c:v>
                </c:pt>
                <c:pt idx="9">
                  <c:v>2010  metai</c:v>
                </c:pt>
                <c:pt idx="10">
                  <c:v>2011  metai</c:v>
                </c:pt>
                <c:pt idx="11">
                  <c:v>2012  metai</c:v>
                </c:pt>
                <c:pt idx="12">
                  <c:v>2013  metai</c:v>
                </c:pt>
                <c:pt idx="13">
                  <c:v>2014  metai</c:v>
                </c:pt>
              </c:strCache>
            </c:strRef>
          </c:cat>
          <c:val>
            <c:numRef>
              <c:f>Lapas1!$C$2:$C$15</c:f>
              <c:numCache>
                <c:formatCode>General</c:formatCode>
                <c:ptCount val="14"/>
                <c:pt idx="0">
                  <c:v>292.7</c:v>
                </c:pt>
                <c:pt idx="1">
                  <c:v>396.76</c:v>
                </c:pt>
                <c:pt idx="2">
                  <c:v>264.99</c:v>
                </c:pt>
                <c:pt idx="3">
                  <c:v>341.06</c:v>
                </c:pt>
                <c:pt idx="4">
                  <c:v>413.24</c:v>
                </c:pt>
                <c:pt idx="5">
                  <c:v>410.48</c:v>
                </c:pt>
                <c:pt idx="6">
                  <c:v>378.69</c:v>
                </c:pt>
                <c:pt idx="7">
                  <c:v>423</c:v>
                </c:pt>
                <c:pt idx="8">
                  <c:v>446.62</c:v>
                </c:pt>
                <c:pt idx="9">
                  <c:v>419.15</c:v>
                </c:pt>
                <c:pt idx="10">
                  <c:v>398.62</c:v>
                </c:pt>
                <c:pt idx="11">
                  <c:v>425.51</c:v>
                </c:pt>
                <c:pt idx="12">
                  <c:v>444.29</c:v>
                </c:pt>
                <c:pt idx="13">
                  <c:v>468.88</c:v>
                </c:pt>
              </c:numCache>
            </c:numRef>
          </c:val>
          <c:smooth val="0"/>
        </c:ser>
        <c:ser>
          <c:idx val="0"/>
          <c:order val="1"/>
          <c:tx>
            <c:strRef>
              <c:f>Lapas1!$B$1</c:f>
              <c:strCache>
                <c:ptCount val="1"/>
                <c:pt idx="0">
                  <c:v>Lietuva</c:v>
                </c:pt>
              </c:strCache>
            </c:strRef>
          </c:tx>
          <c:marker>
            <c:symbol val="none"/>
          </c:marker>
          <c:cat>
            <c:strRef>
              <c:f>Lapas1!$A$2:$A$15</c:f>
              <c:strCache>
                <c:ptCount val="14"/>
                <c:pt idx="0">
                  <c:v>2001 metai</c:v>
                </c:pt>
                <c:pt idx="1">
                  <c:v>2002  metai</c:v>
                </c:pt>
                <c:pt idx="2">
                  <c:v>2003  metai</c:v>
                </c:pt>
                <c:pt idx="3">
                  <c:v>2004  metai</c:v>
                </c:pt>
                <c:pt idx="4">
                  <c:v>2005  metai</c:v>
                </c:pt>
                <c:pt idx="5">
                  <c:v>2006  metai</c:v>
                </c:pt>
                <c:pt idx="6">
                  <c:v>2007  metai</c:v>
                </c:pt>
                <c:pt idx="7">
                  <c:v>2008  metai</c:v>
                </c:pt>
                <c:pt idx="8">
                  <c:v>2009  metai</c:v>
                </c:pt>
                <c:pt idx="9">
                  <c:v>2010  metai</c:v>
                </c:pt>
                <c:pt idx="10">
                  <c:v>2011  metai</c:v>
                </c:pt>
                <c:pt idx="11">
                  <c:v>2012  metai</c:v>
                </c:pt>
                <c:pt idx="12">
                  <c:v>2013  metai</c:v>
                </c:pt>
                <c:pt idx="13">
                  <c:v>2014  metai</c:v>
                </c:pt>
              </c:strCache>
            </c:strRef>
          </c:cat>
          <c:val>
            <c:numRef>
              <c:f>Lapas1!$B$2:$B$15</c:f>
              <c:numCache>
                <c:formatCode>General</c:formatCode>
                <c:ptCount val="14"/>
                <c:pt idx="0">
                  <c:v>143.65</c:v>
                </c:pt>
                <c:pt idx="1">
                  <c:v>153.15</c:v>
                </c:pt>
                <c:pt idx="2">
                  <c:v>150.85</c:v>
                </c:pt>
                <c:pt idx="3">
                  <c:v>154.44999999999999</c:v>
                </c:pt>
                <c:pt idx="4">
                  <c:v>162.83000000000001</c:v>
                </c:pt>
                <c:pt idx="5">
                  <c:v>178.72</c:v>
                </c:pt>
                <c:pt idx="6">
                  <c:v>173.96</c:v>
                </c:pt>
                <c:pt idx="7">
                  <c:v>182.69</c:v>
                </c:pt>
                <c:pt idx="8">
                  <c:v>182.52</c:v>
                </c:pt>
                <c:pt idx="9">
                  <c:v>185.94</c:v>
                </c:pt>
                <c:pt idx="10">
                  <c:v>187.77</c:v>
                </c:pt>
                <c:pt idx="11">
                  <c:v>189.2</c:v>
                </c:pt>
                <c:pt idx="12">
                  <c:v>199.38</c:v>
                </c:pt>
                <c:pt idx="13">
                  <c:v>187.9</c:v>
                </c:pt>
              </c:numCache>
            </c:numRef>
          </c:val>
          <c:smooth val="0"/>
        </c:ser>
        <c:dLbls>
          <c:showLegendKey val="0"/>
          <c:showVal val="0"/>
          <c:showCatName val="0"/>
          <c:showSerName val="0"/>
          <c:showPercent val="0"/>
          <c:showBubbleSize val="0"/>
        </c:dLbls>
        <c:smooth val="0"/>
        <c:axId val="150549008"/>
        <c:axId val="150549400"/>
      </c:lineChart>
      <c:catAx>
        <c:axId val="150549008"/>
        <c:scaling>
          <c:orientation val="minMax"/>
        </c:scaling>
        <c:delete val="0"/>
        <c:axPos val="b"/>
        <c:numFmt formatCode="General" sourceLinked="0"/>
        <c:majorTickMark val="none"/>
        <c:minorTickMark val="none"/>
        <c:tickLblPos val="nextTo"/>
        <c:txPr>
          <a:bodyPr rot="0" vert="horz"/>
          <a:lstStyle/>
          <a:p>
            <a:pPr>
              <a:defRPr/>
            </a:pPr>
            <a:endParaRPr lang="lt-LT"/>
          </a:p>
        </c:txPr>
        <c:crossAx val="150549400"/>
        <c:crosses val="autoZero"/>
        <c:auto val="1"/>
        <c:lblAlgn val="ctr"/>
        <c:lblOffset val="100"/>
        <c:noMultiLvlLbl val="0"/>
      </c:catAx>
      <c:valAx>
        <c:axId val="150549400"/>
        <c:scaling>
          <c:orientation val="minMax"/>
        </c:scaling>
        <c:delete val="0"/>
        <c:axPos val="l"/>
        <c:majorGridlines/>
        <c:title>
          <c:tx>
            <c:rich>
              <a:bodyPr/>
              <a:lstStyle/>
              <a:p>
                <a:pPr>
                  <a:defRPr/>
                </a:pPr>
                <a:r>
                  <a:rPr lang="lt-LT" sz="1100"/>
                  <a:t>Rodiklis</a:t>
                </a:r>
                <a:r>
                  <a:rPr lang="lt-LT" sz="1100" baseline="0"/>
                  <a:t>  100 000 gyv.</a:t>
                </a:r>
                <a:endParaRPr lang="lt-LT" sz="1100"/>
              </a:p>
            </c:rich>
          </c:tx>
          <c:layout/>
          <c:overlay val="0"/>
        </c:title>
        <c:numFmt formatCode="General" sourceLinked="1"/>
        <c:majorTickMark val="none"/>
        <c:minorTickMark val="none"/>
        <c:tickLblPos val="nextTo"/>
        <c:crossAx val="150549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t-LT" sz="1400"/>
              <a:t>Molėtų r. </a:t>
            </a:r>
          </a:p>
        </c:rich>
      </c:tx>
      <c:layout>
        <c:manualLayout>
          <c:xMode val="edge"/>
          <c:yMode val="edge"/>
          <c:x val="0.61596528156752672"/>
          <c:y val="2.6401336196611787E-2"/>
        </c:manualLayout>
      </c:layout>
      <c:overlay val="0"/>
    </c:title>
    <c:autoTitleDeleted val="0"/>
    <c:plotArea>
      <c:layout>
        <c:manualLayout>
          <c:layoutTarget val="inner"/>
          <c:xMode val="edge"/>
          <c:yMode val="edge"/>
          <c:x val="1.5442772623719068E-2"/>
          <c:y val="0.17262629444046765"/>
          <c:w val="0.69144876692393653"/>
          <c:h val="0.76185082319255548"/>
        </c:manualLayout>
      </c:layout>
      <c:pieChart>
        <c:varyColors val="1"/>
        <c:ser>
          <c:idx val="0"/>
          <c:order val="0"/>
          <c:tx>
            <c:strRef>
              <c:f>Lapas1!$B$1</c:f>
              <c:strCache>
                <c:ptCount val="1"/>
                <c:pt idx="0">
                  <c:v>Molėtų r.</c:v>
                </c:pt>
              </c:strCache>
            </c:strRef>
          </c:tx>
          <c:dLbls>
            <c:dLbl>
              <c:idx val="0"/>
              <c:layout>
                <c:manualLayout>
                  <c:x val="-9.3773204092062745E-2"/>
                  <c:y val="-2.692245287520878E-3"/>
                </c:manualLayout>
              </c:layout>
              <c:tx>
                <c:rich>
                  <a:bodyPr/>
                  <a:lstStyle/>
                  <a:p>
                    <a:r>
                      <a:rPr lang="en-US" sz="1200"/>
                      <a:t>1,1%</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246433304747799E-2"/>
                  <c:y val="4.8194702934860417E-2"/>
                </c:manualLayout>
              </c:layout>
              <c:tx>
                <c:rich>
                  <a:bodyPr/>
                  <a:lstStyle/>
                  <a:p>
                    <a:r>
                      <a:rPr lang="en-US" sz="1200"/>
                      <a:t>4,5%</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a:t>21,5%</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a:t>72,9%</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Lapas1!$A$2:$A$5</c:f>
              <c:strCache>
                <c:ptCount val="4"/>
                <c:pt idx="0">
                  <c:v>0-44 m.</c:v>
                </c:pt>
                <c:pt idx="1">
                  <c:v>45-59 m.</c:v>
                </c:pt>
                <c:pt idx="2">
                  <c:v>60-74 m.</c:v>
                </c:pt>
                <c:pt idx="3">
                  <c:v>75+ m.</c:v>
                </c:pt>
              </c:strCache>
            </c:strRef>
          </c:cat>
          <c:val>
            <c:numRef>
              <c:f>Lapas1!$B$2:$B$5</c:f>
              <c:numCache>
                <c:formatCode>0.00%</c:formatCode>
                <c:ptCount val="4"/>
                <c:pt idx="0">
                  <c:v>1.0999999999999999E-2</c:v>
                </c:pt>
                <c:pt idx="1">
                  <c:v>4.4999999999999998E-2</c:v>
                </c:pt>
                <c:pt idx="2">
                  <c:v>0.215</c:v>
                </c:pt>
                <c:pt idx="3">
                  <c:v>0.72899999999999998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pPr>
          <a:endParaRPr lang="lt-LT"/>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Lietuva</a:t>
            </a:r>
          </a:p>
        </c:rich>
      </c:tx>
      <c:layout>
        <c:manualLayout>
          <c:xMode val="edge"/>
          <c:yMode val="edge"/>
          <c:x val="0.60669299515130704"/>
          <c:y val="1.9464720194647202E-2"/>
        </c:manualLayout>
      </c:layout>
      <c:overlay val="0"/>
    </c:title>
    <c:autoTitleDeleted val="0"/>
    <c:plotArea>
      <c:layout>
        <c:manualLayout>
          <c:layoutTarget val="inner"/>
          <c:xMode val="edge"/>
          <c:yMode val="edge"/>
          <c:x val="4.1782814531361158E-2"/>
          <c:y val="0.18189934287411155"/>
          <c:w val="0.6514196940335728"/>
          <c:h val="0.76315956855757983"/>
        </c:manualLayout>
      </c:layout>
      <c:pieChart>
        <c:varyColors val="1"/>
        <c:ser>
          <c:idx val="0"/>
          <c:order val="0"/>
          <c:tx>
            <c:strRef>
              <c:f>Lapas1!$B$1</c:f>
              <c:strCache>
                <c:ptCount val="1"/>
                <c:pt idx="0">
                  <c:v>Lietuva 2012-2014 m.</c:v>
                </c:pt>
              </c:strCache>
            </c:strRef>
          </c:tx>
          <c:dLbls>
            <c:dLbl>
              <c:idx val="0"/>
              <c:layout/>
              <c:tx>
                <c:rich>
                  <a:bodyPr/>
                  <a:lstStyle/>
                  <a:p>
                    <a:r>
                      <a:rPr lang="en-US" sz="1200"/>
                      <a:t>1,1%</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a:t>5,3%</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a:t>21,0%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a:t>72,6%</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Lapas1!$A$2:$A$5</c:f>
              <c:strCache>
                <c:ptCount val="4"/>
                <c:pt idx="0">
                  <c:v>0-44 m.</c:v>
                </c:pt>
                <c:pt idx="1">
                  <c:v>45-59 m.</c:v>
                </c:pt>
                <c:pt idx="2">
                  <c:v>60-74 m.</c:v>
                </c:pt>
                <c:pt idx="3">
                  <c:v>75+ m.</c:v>
                </c:pt>
              </c:strCache>
            </c:strRef>
          </c:cat>
          <c:val>
            <c:numRef>
              <c:f>Lapas1!$B$2:$B$5</c:f>
              <c:numCache>
                <c:formatCode>0.00%</c:formatCode>
                <c:ptCount val="4"/>
                <c:pt idx="0">
                  <c:v>1.0999999999999999E-2</c:v>
                </c:pt>
                <c:pt idx="1">
                  <c:v>5.2999999999999999E-2</c:v>
                </c:pt>
                <c:pt idx="2">
                  <c:v>0.21</c:v>
                </c:pt>
                <c:pt idx="3">
                  <c:v>0.72599999999999998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pPr>
          <a:endParaRPr lang="lt-LT"/>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9724717954559474E-2"/>
          <c:y val="2.9059617547806525E-2"/>
          <c:w val="0.76591799442791164"/>
          <c:h val="0.87545631796025492"/>
        </c:manualLayout>
      </c:layout>
      <c:bar3DChart>
        <c:barDir val="col"/>
        <c:grouping val="clustered"/>
        <c:varyColors val="0"/>
        <c:ser>
          <c:idx val="0"/>
          <c:order val="0"/>
          <c:tx>
            <c:strRef>
              <c:f>Lapas1!$B$1</c:f>
              <c:strCache>
                <c:ptCount val="1"/>
                <c:pt idx="0">
                  <c:v>Berniukai</c:v>
                </c:pt>
              </c:strCache>
            </c:strRef>
          </c:tx>
          <c:invertIfNegative val="0"/>
          <c:dLbls>
            <c:dLbl>
              <c:idx val="0"/>
              <c:layout>
                <c:manualLayout>
                  <c:x val="9.6439843753708E-3"/>
                  <c:y val="-1.485623285853311E-2"/>
                </c:manualLayout>
              </c:layout>
              <c:tx>
                <c:rich>
                  <a:bodyPr/>
                  <a:lstStyle/>
                  <a:p>
                    <a:r>
                      <a:rPr lang="en-US"/>
                      <a:t>57,4%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332730560578659E-3"/>
                  <c:y val="-2.1241165079084214E-2"/>
                </c:manualLayout>
              </c:layout>
              <c:tx>
                <c:rich>
                  <a:bodyPr/>
                  <a:lstStyle/>
                  <a:p>
                    <a:r>
                      <a:rPr lang="en-US"/>
                      <a:t>64,7%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c:v>
                </c:pt>
                <c:pt idx="1">
                  <c:v>9 klasė</c:v>
                </c:pt>
              </c:strCache>
            </c:strRef>
          </c:cat>
          <c:val>
            <c:numRef>
              <c:f>Lapas1!$B$2:$B$3</c:f>
              <c:numCache>
                <c:formatCode>0.00%</c:formatCode>
                <c:ptCount val="2"/>
                <c:pt idx="0">
                  <c:v>0.57399999999999995</c:v>
                </c:pt>
                <c:pt idx="1">
                  <c:v>0.64700000000000002</c:v>
                </c:pt>
              </c:numCache>
            </c:numRef>
          </c:val>
        </c:ser>
        <c:ser>
          <c:idx val="1"/>
          <c:order val="1"/>
          <c:tx>
            <c:strRef>
              <c:f>Lapas1!$C$1</c:f>
              <c:strCache>
                <c:ptCount val="1"/>
                <c:pt idx="0">
                  <c:v>Mergaitės</c:v>
                </c:pt>
              </c:strCache>
            </c:strRef>
          </c:tx>
          <c:invertIfNegative val="0"/>
          <c:dLbls>
            <c:dLbl>
              <c:idx val="0"/>
              <c:layout>
                <c:manualLayout>
                  <c:x val="2.6618254996606437E-2"/>
                  <c:y val="-4.8689138576779027E-2"/>
                </c:manualLayout>
              </c:layout>
              <c:tx>
                <c:rich>
                  <a:bodyPr/>
                  <a:lstStyle/>
                  <a:p>
                    <a:r>
                      <a:rPr lang="en-US"/>
                      <a:t>42,9%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47739602169981E-2"/>
                  <c:y val="-6.4695901776322909E-2"/>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c:v>
                </c:pt>
                <c:pt idx="1">
                  <c:v>9 klasė</c:v>
                </c:pt>
              </c:strCache>
            </c:strRef>
          </c:cat>
          <c:val>
            <c:numRef>
              <c:f>Lapas1!$C$2:$C$3</c:f>
              <c:numCache>
                <c:formatCode>0.00%</c:formatCode>
                <c:ptCount val="2"/>
                <c:pt idx="0">
                  <c:v>0.42899999999999999</c:v>
                </c:pt>
                <c:pt idx="1">
                  <c:v>0.39500000000000002</c:v>
                </c:pt>
              </c:numCache>
            </c:numRef>
          </c:val>
        </c:ser>
        <c:dLbls>
          <c:showLegendKey val="0"/>
          <c:showVal val="0"/>
          <c:showCatName val="0"/>
          <c:showSerName val="0"/>
          <c:showPercent val="0"/>
          <c:showBubbleSize val="0"/>
        </c:dLbls>
        <c:gapWidth val="150"/>
        <c:shape val="box"/>
        <c:axId val="152704536"/>
        <c:axId val="152704928"/>
        <c:axId val="0"/>
      </c:bar3DChart>
      <c:catAx>
        <c:axId val="152704536"/>
        <c:scaling>
          <c:orientation val="minMax"/>
        </c:scaling>
        <c:delete val="0"/>
        <c:axPos val="b"/>
        <c:numFmt formatCode="General" sourceLinked="0"/>
        <c:majorTickMark val="out"/>
        <c:minorTickMark val="none"/>
        <c:tickLblPos val="nextTo"/>
        <c:txPr>
          <a:bodyPr/>
          <a:lstStyle/>
          <a:p>
            <a:pPr>
              <a:defRPr sz="1100" b="1"/>
            </a:pPr>
            <a:endParaRPr lang="lt-LT"/>
          </a:p>
        </c:txPr>
        <c:crossAx val="152704928"/>
        <c:crosses val="autoZero"/>
        <c:auto val="1"/>
        <c:lblAlgn val="ctr"/>
        <c:lblOffset val="100"/>
        <c:noMultiLvlLbl val="0"/>
      </c:catAx>
      <c:valAx>
        <c:axId val="152704928"/>
        <c:scaling>
          <c:orientation val="minMax"/>
        </c:scaling>
        <c:delete val="0"/>
        <c:axPos val="l"/>
        <c:majorGridlines/>
        <c:numFmt formatCode="0%" sourceLinked="0"/>
        <c:majorTickMark val="out"/>
        <c:minorTickMark val="none"/>
        <c:tickLblPos val="nextTo"/>
        <c:crossAx val="152704536"/>
        <c:crosses val="autoZero"/>
        <c:crossBetween val="between"/>
      </c:valAx>
    </c:plotArea>
    <c:legend>
      <c:legendPos val="r"/>
      <c:layout>
        <c:manualLayout>
          <c:xMode val="edge"/>
          <c:yMode val="edge"/>
          <c:x val="0.80706525608349589"/>
          <c:y val="0.18531946006749156"/>
          <c:w val="0.19052365289781814"/>
          <c:h val="0.22936107986501686"/>
        </c:manualLayout>
      </c:layout>
      <c:overlay val="0"/>
      <c:txPr>
        <a:bodyPr/>
        <a:lstStyle/>
        <a:p>
          <a:pPr>
            <a:defRPr sz="1100" b="1"/>
          </a:pPr>
          <a:endParaRPr lang="lt-LT"/>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654126567512394E-2"/>
          <c:y val="3.1908599660336573E-2"/>
          <c:w val="0.82792306017429795"/>
          <c:h val="0.86324615305439756"/>
        </c:manualLayout>
      </c:layout>
      <c:bar3DChart>
        <c:barDir val="col"/>
        <c:grouping val="clustered"/>
        <c:varyColors val="0"/>
        <c:ser>
          <c:idx val="0"/>
          <c:order val="0"/>
          <c:tx>
            <c:strRef>
              <c:f>Lapas1!$B$1</c:f>
              <c:strCache>
                <c:ptCount val="1"/>
                <c:pt idx="0">
                  <c:v>Berniukai</c:v>
                </c:pt>
              </c:strCache>
            </c:strRef>
          </c:tx>
          <c:invertIfNegative val="0"/>
          <c:dLbls>
            <c:dLbl>
              <c:idx val="0"/>
              <c:layout>
                <c:manualLayout>
                  <c:x val="9.2592592592592587E-3"/>
                  <c:y val="-2.6143790849673203E-2"/>
                </c:manualLayout>
              </c:layout>
              <c:tx>
                <c:rich>
                  <a:bodyPr/>
                  <a:lstStyle/>
                  <a:p>
                    <a:r>
                      <a:rPr lang="en-US"/>
                      <a:t>27,9%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3.1372549019607843E-2"/>
                </c:manualLayout>
              </c:layout>
              <c:tx>
                <c:rich>
                  <a:bodyPr/>
                  <a:lstStyle/>
                  <a:p>
                    <a:r>
                      <a:rPr lang="en-US"/>
                      <a:t>7,1%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klasės mokiniai</c:v>
                </c:pt>
                <c:pt idx="1">
                  <c:v>9 klasės mokiniai</c:v>
                </c:pt>
              </c:strCache>
            </c:strRef>
          </c:cat>
          <c:val>
            <c:numRef>
              <c:f>Lapas1!$B$2:$B$3</c:f>
              <c:numCache>
                <c:formatCode>0.00%</c:formatCode>
                <c:ptCount val="2"/>
                <c:pt idx="0">
                  <c:v>0.27900000000000003</c:v>
                </c:pt>
                <c:pt idx="1">
                  <c:v>7.0999999999999994E-2</c:v>
                </c:pt>
              </c:numCache>
            </c:numRef>
          </c:val>
        </c:ser>
        <c:ser>
          <c:idx val="1"/>
          <c:order val="1"/>
          <c:tx>
            <c:strRef>
              <c:f>Lapas1!$C$1</c:f>
              <c:strCache>
                <c:ptCount val="1"/>
                <c:pt idx="0">
                  <c:v>Mergaitės</c:v>
                </c:pt>
              </c:strCache>
            </c:strRef>
          </c:tx>
          <c:invertIfNegative val="0"/>
          <c:dLbls>
            <c:dLbl>
              <c:idx val="0"/>
              <c:layout>
                <c:manualLayout>
                  <c:x val="3.4722222222222224E-2"/>
                  <c:y val="-2.61437908496732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863E-2"/>
                  <c:y val="-4.1830065359477121E-2"/>
                </c:manualLayout>
              </c:layout>
              <c:tx>
                <c:rich>
                  <a:bodyPr/>
                  <a:lstStyle/>
                  <a:p>
                    <a:r>
                      <a:rPr lang="en-US"/>
                      <a:t>11,1%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klasės mokiniai</c:v>
                </c:pt>
                <c:pt idx="1">
                  <c:v>9 klasės mokiniai</c:v>
                </c:pt>
              </c:strCache>
            </c:strRef>
          </c:cat>
          <c:val>
            <c:numRef>
              <c:f>Lapas1!$C$2:$C$3</c:f>
              <c:numCache>
                <c:formatCode>0.00%</c:formatCode>
                <c:ptCount val="2"/>
                <c:pt idx="0" formatCode="0%">
                  <c:v>0.19</c:v>
                </c:pt>
                <c:pt idx="1">
                  <c:v>0.111</c:v>
                </c:pt>
              </c:numCache>
            </c:numRef>
          </c:val>
        </c:ser>
        <c:dLbls>
          <c:showLegendKey val="0"/>
          <c:showVal val="0"/>
          <c:showCatName val="0"/>
          <c:showSerName val="0"/>
          <c:showPercent val="0"/>
          <c:showBubbleSize val="0"/>
        </c:dLbls>
        <c:gapWidth val="150"/>
        <c:shape val="box"/>
        <c:axId val="152705712"/>
        <c:axId val="152706104"/>
        <c:axId val="0"/>
      </c:bar3DChart>
      <c:catAx>
        <c:axId val="152705712"/>
        <c:scaling>
          <c:orientation val="minMax"/>
        </c:scaling>
        <c:delete val="0"/>
        <c:axPos val="b"/>
        <c:numFmt formatCode="General" sourceLinked="0"/>
        <c:majorTickMark val="out"/>
        <c:minorTickMark val="none"/>
        <c:tickLblPos val="nextTo"/>
        <c:txPr>
          <a:bodyPr/>
          <a:lstStyle/>
          <a:p>
            <a:pPr>
              <a:defRPr sz="1100" b="1"/>
            </a:pPr>
            <a:endParaRPr lang="lt-LT"/>
          </a:p>
        </c:txPr>
        <c:crossAx val="152706104"/>
        <c:crosses val="autoZero"/>
        <c:auto val="1"/>
        <c:lblAlgn val="ctr"/>
        <c:lblOffset val="100"/>
        <c:noMultiLvlLbl val="0"/>
      </c:catAx>
      <c:valAx>
        <c:axId val="152706104"/>
        <c:scaling>
          <c:orientation val="minMax"/>
        </c:scaling>
        <c:delete val="0"/>
        <c:axPos val="l"/>
        <c:majorGridlines/>
        <c:numFmt formatCode="0%" sourceLinked="0"/>
        <c:majorTickMark val="out"/>
        <c:minorTickMark val="none"/>
        <c:tickLblPos val="nextTo"/>
        <c:crossAx val="152705712"/>
        <c:crosses val="autoZero"/>
        <c:crossBetween val="between"/>
      </c:valAx>
    </c:plotArea>
    <c:legend>
      <c:legendPos val="r"/>
      <c:layout>
        <c:manualLayout>
          <c:xMode val="edge"/>
          <c:yMode val="edge"/>
          <c:x val="0.81224866097608384"/>
          <c:y val="6.9805258057118055E-2"/>
          <c:w val="0.18514363319049215"/>
          <c:h val="0.1829686789486196"/>
        </c:manualLayout>
      </c:layout>
      <c:overlay val="0"/>
      <c:txPr>
        <a:bodyPr/>
        <a:lstStyle/>
        <a:p>
          <a:pPr>
            <a:defRPr sz="1100" b="1"/>
          </a:pPr>
          <a:endParaRPr lang="lt-LT"/>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77376786235054E-2"/>
          <c:y val="6.4643491615949747E-2"/>
          <c:w val="0.76516677602799654"/>
          <c:h val="0.80776765349746127"/>
        </c:manualLayout>
      </c:layout>
      <c:bar3DChart>
        <c:barDir val="col"/>
        <c:grouping val="clustered"/>
        <c:varyColors val="0"/>
        <c:ser>
          <c:idx val="0"/>
          <c:order val="0"/>
          <c:tx>
            <c:strRef>
              <c:f>Lapas1!$B$1</c:f>
              <c:strCache>
                <c:ptCount val="1"/>
                <c:pt idx="0">
                  <c:v>Berniukas</c:v>
                </c:pt>
              </c:strCache>
            </c:strRef>
          </c:tx>
          <c:invertIfNegative val="0"/>
          <c:dLbls>
            <c:dLbl>
              <c:idx val="0"/>
              <c:layout>
                <c:manualLayout>
                  <c:x val="2.3148148148148147E-3"/>
                  <c:y val="-3.1746031746031744E-2"/>
                </c:manualLayout>
              </c:layout>
              <c:tx>
                <c:rich>
                  <a:bodyPr/>
                  <a:lstStyle/>
                  <a:p>
                    <a:r>
                      <a:rPr lang="en-US"/>
                      <a:t>95,6%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2E-2"/>
                  <c:y val="-2.3809523809523819E-2"/>
                </c:manualLayout>
              </c:layout>
              <c:tx>
                <c:rich>
                  <a:bodyPr/>
                  <a:lstStyle/>
                  <a:p>
                    <a:r>
                      <a:rPr lang="en-US"/>
                      <a:t>94,1%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c:v>
                </c:pt>
                <c:pt idx="1">
                  <c:v>9 klasė</c:v>
                </c:pt>
              </c:strCache>
            </c:strRef>
          </c:cat>
          <c:val>
            <c:numRef>
              <c:f>Lapas1!$B$2:$B$3</c:f>
              <c:numCache>
                <c:formatCode>0.00%</c:formatCode>
                <c:ptCount val="2"/>
                <c:pt idx="0">
                  <c:v>0.95599999999999996</c:v>
                </c:pt>
                <c:pt idx="1">
                  <c:v>0.94099999999999995</c:v>
                </c:pt>
              </c:numCache>
            </c:numRef>
          </c:val>
        </c:ser>
        <c:ser>
          <c:idx val="1"/>
          <c:order val="1"/>
          <c:tx>
            <c:strRef>
              <c:f>Lapas1!$C$1</c:f>
              <c:strCache>
                <c:ptCount val="1"/>
                <c:pt idx="0">
                  <c:v>Mergaitė</c:v>
                </c:pt>
              </c:strCache>
            </c:strRef>
          </c:tx>
          <c:invertIfNegative val="0"/>
          <c:dLbls>
            <c:dLbl>
              <c:idx val="0"/>
              <c:layout>
                <c:manualLayout>
                  <c:x val="2.7777777777777776E-2"/>
                  <c:y val="-2.7777777777777776E-2"/>
                </c:manualLayout>
              </c:layout>
              <c:tx>
                <c:rich>
                  <a:bodyPr/>
                  <a:lstStyle/>
                  <a:p>
                    <a:r>
                      <a:rPr lang="en-US"/>
                      <a:t>95,2%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37037037036952E-2"/>
                  <c:y val="-2.3809523809523808E-2"/>
                </c:manualLayout>
              </c:layout>
              <c:tx>
                <c:rich>
                  <a:bodyPr/>
                  <a:lstStyle/>
                  <a:p>
                    <a:r>
                      <a:rPr lang="en-US"/>
                      <a:t>77,8%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5 klasė</c:v>
                </c:pt>
                <c:pt idx="1">
                  <c:v>9 klasė</c:v>
                </c:pt>
              </c:strCache>
            </c:strRef>
          </c:cat>
          <c:val>
            <c:numRef>
              <c:f>Lapas1!$C$2:$C$3</c:f>
              <c:numCache>
                <c:formatCode>0.00%</c:formatCode>
                <c:ptCount val="2"/>
                <c:pt idx="0">
                  <c:v>0.95199999999999996</c:v>
                </c:pt>
                <c:pt idx="1">
                  <c:v>0.77800000000000002</c:v>
                </c:pt>
              </c:numCache>
            </c:numRef>
          </c:val>
        </c:ser>
        <c:dLbls>
          <c:showLegendKey val="0"/>
          <c:showVal val="0"/>
          <c:showCatName val="0"/>
          <c:showSerName val="0"/>
          <c:showPercent val="0"/>
          <c:showBubbleSize val="0"/>
        </c:dLbls>
        <c:gapWidth val="150"/>
        <c:shape val="box"/>
        <c:axId val="150550968"/>
        <c:axId val="152706888"/>
        <c:axId val="0"/>
      </c:bar3DChart>
      <c:catAx>
        <c:axId val="150550968"/>
        <c:scaling>
          <c:orientation val="minMax"/>
        </c:scaling>
        <c:delete val="0"/>
        <c:axPos val="b"/>
        <c:numFmt formatCode="General" sourceLinked="0"/>
        <c:majorTickMark val="out"/>
        <c:minorTickMark val="none"/>
        <c:tickLblPos val="nextTo"/>
        <c:txPr>
          <a:bodyPr/>
          <a:lstStyle/>
          <a:p>
            <a:pPr>
              <a:defRPr sz="1100" b="1"/>
            </a:pPr>
            <a:endParaRPr lang="lt-LT"/>
          </a:p>
        </c:txPr>
        <c:crossAx val="152706888"/>
        <c:crosses val="autoZero"/>
        <c:auto val="1"/>
        <c:lblAlgn val="ctr"/>
        <c:lblOffset val="100"/>
        <c:noMultiLvlLbl val="0"/>
      </c:catAx>
      <c:valAx>
        <c:axId val="152706888"/>
        <c:scaling>
          <c:orientation val="minMax"/>
        </c:scaling>
        <c:delete val="0"/>
        <c:axPos val="l"/>
        <c:majorGridlines/>
        <c:numFmt formatCode="0%" sourceLinked="0"/>
        <c:majorTickMark val="out"/>
        <c:minorTickMark val="none"/>
        <c:tickLblPos val="nextTo"/>
        <c:crossAx val="150550968"/>
        <c:crosses val="autoZero"/>
        <c:crossBetween val="between"/>
      </c:valAx>
    </c:plotArea>
    <c:legend>
      <c:legendPos val="r"/>
      <c:layout>
        <c:manualLayout>
          <c:xMode val="edge"/>
          <c:yMode val="edge"/>
          <c:x val="0.83261081948089821"/>
          <c:y val="5.8350518685164353E-2"/>
          <c:w val="0.14655584718576845"/>
          <c:h val="0.15314023247094113"/>
        </c:manualLayout>
      </c:layout>
      <c:overlay val="0"/>
      <c:txPr>
        <a:bodyPr/>
        <a:lstStyle/>
        <a:p>
          <a:pPr>
            <a:defRPr sz="1100" b="1"/>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FC2F-C839-4DC2-8B21-BF0A5D66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22389</Words>
  <Characters>12762</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Bareikytė Miglė</cp:lastModifiedBy>
  <cp:revision>4</cp:revision>
  <cp:lastPrinted>2015-12-04T09:43:00Z</cp:lastPrinted>
  <dcterms:created xsi:type="dcterms:W3CDTF">2016-04-19T13:44:00Z</dcterms:created>
  <dcterms:modified xsi:type="dcterms:W3CDTF">2016-04-20T05:05:00Z</dcterms:modified>
</cp:coreProperties>
</file>