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C" w:rsidRDefault="004356EC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356EC" w:rsidRPr="008479D6" w:rsidRDefault="008479D6" w:rsidP="004356EC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8479D6">
        <w:rPr>
          <w:noProof/>
        </w:rPr>
        <w:t xml:space="preserve">ėl uždarosios akcinės bendrovės </w:t>
      </w:r>
      <w:r>
        <w:rPr>
          <w:noProof/>
        </w:rPr>
        <w:t>M</w:t>
      </w:r>
      <w:r w:rsidRPr="008479D6">
        <w:rPr>
          <w:noProof/>
        </w:rPr>
        <w:t xml:space="preserve">olėtų autobusų parko </w:t>
      </w:r>
      <w:r w:rsidR="00B87810">
        <w:rPr>
          <w:noProof/>
        </w:rPr>
        <w:t>2015 m.</w:t>
      </w:r>
      <w:r w:rsidRPr="008479D6">
        <w:rPr>
          <w:noProof/>
        </w:rPr>
        <w:t xml:space="preserve"> finansinių ataskaitų rinkinio tvirtinimo ir pelno (nuostolių) paskirstymo</w:t>
      </w:r>
    </w:p>
    <w:p w:rsidR="004356EC" w:rsidRDefault="004356EC" w:rsidP="004356E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Molėtų autobusų parke (toliau – Bendrovė) valdo 10059 (100 proc.) paprastąsias vardines </w:t>
      </w:r>
      <w:r w:rsidR="00EC2258">
        <w:rPr>
          <w:lang w:val="lt-LT"/>
        </w:rPr>
        <w:t>28,96 euro</w:t>
      </w:r>
      <w:r>
        <w:rPr>
          <w:lang w:val="lt-LT"/>
        </w:rPr>
        <w:t xml:space="preserve"> vertės akcijas, kurių nominali vertė </w:t>
      </w:r>
      <w:r w:rsidR="00B87810">
        <w:rPr>
          <w:lang w:val="lt-LT"/>
        </w:rPr>
        <w:t>291328,78 euro</w:t>
      </w:r>
      <w:r>
        <w:rPr>
          <w:lang w:val="lt-LT"/>
        </w:rPr>
        <w:t xml:space="preserve">. </w:t>
      </w:r>
    </w:p>
    <w:p w:rsidR="004356EC" w:rsidRDefault="004356EC" w:rsidP="00B8781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 w:rsidR="00527C89">
        <w:rPr>
          <w:lang w:val="lt-LT"/>
        </w:rPr>
        <w:t>ikos akcinių bendrovių įstatymo</w:t>
      </w:r>
      <w:r>
        <w:rPr>
          <w:lang w:val="lt-LT"/>
        </w:rPr>
        <w:t xml:space="preserve"> 34 straipsnio 8 dalimi, UAB Molėtų autobusų parko valdyba 201</w:t>
      </w:r>
      <w:r w:rsidR="00B87810">
        <w:rPr>
          <w:lang w:val="lt-LT"/>
        </w:rPr>
        <w:t>6</w:t>
      </w:r>
      <w:r>
        <w:rPr>
          <w:lang w:val="lt-LT"/>
        </w:rPr>
        <w:t xml:space="preserve"> m. </w:t>
      </w:r>
      <w:r w:rsidR="00B87810">
        <w:rPr>
          <w:lang w:val="lt-LT"/>
        </w:rPr>
        <w:t>balandžio</w:t>
      </w:r>
      <w:r>
        <w:rPr>
          <w:lang w:val="lt-LT"/>
        </w:rPr>
        <w:t xml:space="preserve"> 1</w:t>
      </w:r>
      <w:r w:rsidR="00B87810">
        <w:rPr>
          <w:lang w:val="lt-LT"/>
        </w:rPr>
        <w:t>4</w:t>
      </w:r>
      <w:r>
        <w:rPr>
          <w:lang w:val="lt-LT"/>
        </w:rPr>
        <w:t xml:space="preserve"> d. pateikė visuotiniam akcininkų susirinkimui </w:t>
      </w:r>
      <w:r w:rsidR="00B87810">
        <w:rPr>
          <w:lang w:val="lt-LT"/>
        </w:rPr>
        <w:t xml:space="preserve">– Molėtų rajono savivaldybės tarybai - </w:t>
      </w:r>
      <w:r>
        <w:rPr>
          <w:lang w:val="lt-LT"/>
        </w:rPr>
        <w:t>Bendrovės 201</w:t>
      </w:r>
      <w:r w:rsidR="00B87810">
        <w:rPr>
          <w:lang w:val="lt-LT"/>
        </w:rPr>
        <w:t>5</w:t>
      </w:r>
      <w:r>
        <w:rPr>
          <w:lang w:val="lt-LT"/>
        </w:rPr>
        <w:t xml:space="preserve"> m. audituotą metinių finansinių ataskaitų rinkinį, pelno (nuostolių) paskirstymo projektą ir Bendrovės metinį pranešimą. V</w:t>
      </w:r>
      <w:r w:rsidRPr="00135E9A">
        <w:rPr>
          <w:lang w:val="lt-LT"/>
        </w:rPr>
        <w:t>isuotini</w:t>
      </w:r>
      <w:r>
        <w:rPr>
          <w:lang w:val="lt-LT"/>
        </w:rPr>
        <w:t>s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>as turi išimtinę teisę tvirtinti Bendrovės metinių finansinių ataskaitų rinkinį ir priimti sprendimą dėl pelno (nuostolių) paskirstymo.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</w:t>
      </w:r>
      <w:r w:rsidR="008311F7">
        <w:rPr>
          <w:lang w:val="lt-LT"/>
        </w:rPr>
        <w:t xml:space="preserve"> </w:t>
      </w:r>
      <w:r w:rsidR="00527C89">
        <w:rPr>
          <w:lang w:val="lt-LT"/>
        </w:rPr>
        <w:t>nuomon</w:t>
      </w:r>
      <w:r w:rsidR="009428EE">
        <w:rPr>
          <w:lang w:val="lt-LT"/>
        </w:rPr>
        <w:t>ė</w:t>
      </w:r>
      <w:bookmarkStart w:id="0" w:name="_GoBack"/>
      <w:bookmarkEnd w:id="0"/>
      <w:r w:rsidR="009428EE">
        <w:rPr>
          <w:lang w:val="lt-LT"/>
        </w:rPr>
        <w:t>:</w:t>
      </w:r>
      <w:r>
        <w:rPr>
          <w:lang w:val="lt-LT"/>
        </w:rPr>
        <w:t xml:space="preserve"> finansinės ataskaitos visais reikšmingais atžvilgiais teisingai </w:t>
      </w:r>
      <w:r w:rsidR="00527C89">
        <w:rPr>
          <w:lang w:val="lt-LT"/>
        </w:rPr>
        <w:t>pateikia Bendrovės 201</w:t>
      </w:r>
      <w:r w:rsidR="00B87810">
        <w:rPr>
          <w:lang w:val="lt-LT"/>
        </w:rPr>
        <w:t>5</w:t>
      </w:r>
      <w:r w:rsidR="00527C89">
        <w:rPr>
          <w:lang w:val="lt-LT"/>
        </w:rPr>
        <w:t xml:space="preserve"> m. gruodžio 31 d. </w:t>
      </w:r>
      <w:r>
        <w:rPr>
          <w:lang w:val="lt-LT"/>
        </w:rPr>
        <w:t xml:space="preserve">finansinę būklę </w:t>
      </w:r>
      <w:r w:rsidR="00527C89">
        <w:rPr>
          <w:lang w:val="lt-LT"/>
        </w:rPr>
        <w:t xml:space="preserve">ir tą dieną pasibaigusių metų finansinės veiklos rezultatus. </w:t>
      </w:r>
      <w:r w:rsidR="008311F7">
        <w:rPr>
          <w:lang w:val="lt-LT"/>
        </w:rPr>
        <w:t>Bendrovės metiniame pranešime auditorius nepastebėjo jokių reikšmingų į jį įtrauktos finansinės informacijos neatitikimų.</w:t>
      </w:r>
    </w:p>
    <w:p w:rsidR="0043369D" w:rsidRPr="0082488D" w:rsidRDefault="001511A6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>
        <w:t xml:space="preserve"> </w:t>
      </w:r>
      <w:r w:rsidR="0082488D">
        <w:t xml:space="preserve">2015 </w:t>
      </w:r>
      <w:r w:rsidR="004356EC" w:rsidRPr="001511A6">
        <w:rPr>
          <w:lang w:val="lt-LT"/>
        </w:rPr>
        <w:t xml:space="preserve">metų pradžioje Bendrovė turėjo </w:t>
      </w:r>
      <w:r w:rsidR="004D189F" w:rsidRPr="001511A6">
        <w:rPr>
          <w:lang w:val="lt-LT"/>
        </w:rPr>
        <w:t xml:space="preserve">55 818 eurų </w:t>
      </w:r>
      <w:r w:rsidR="004356EC" w:rsidRPr="001511A6">
        <w:rPr>
          <w:lang w:val="lt-LT"/>
        </w:rPr>
        <w:t>nuostoli</w:t>
      </w:r>
      <w:r w:rsidR="0096671F" w:rsidRPr="001511A6">
        <w:rPr>
          <w:lang w:val="lt-LT"/>
        </w:rPr>
        <w:t>ų</w:t>
      </w:r>
      <w:r w:rsidR="004356EC" w:rsidRPr="001511A6">
        <w:rPr>
          <w:lang w:val="lt-LT"/>
        </w:rPr>
        <w:t>, ataskaitini</w:t>
      </w:r>
      <w:r w:rsidR="004D189F" w:rsidRPr="001511A6">
        <w:rPr>
          <w:lang w:val="lt-LT"/>
        </w:rPr>
        <w:t>ai</w:t>
      </w:r>
      <w:r w:rsidR="004356EC" w:rsidRPr="001511A6">
        <w:rPr>
          <w:lang w:val="lt-LT"/>
        </w:rPr>
        <w:t>s finansini</w:t>
      </w:r>
      <w:r w:rsidR="004D189F" w:rsidRPr="001511A6">
        <w:rPr>
          <w:lang w:val="lt-LT"/>
        </w:rPr>
        <w:t>ai</w:t>
      </w:r>
      <w:r w:rsidR="004356EC" w:rsidRPr="001511A6">
        <w:rPr>
          <w:lang w:val="lt-LT"/>
        </w:rPr>
        <w:t>s met</w:t>
      </w:r>
      <w:r w:rsidR="004D189F" w:rsidRPr="001511A6">
        <w:rPr>
          <w:lang w:val="lt-LT"/>
        </w:rPr>
        <w:t>ais</w:t>
      </w:r>
      <w:r w:rsidR="004356EC" w:rsidRPr="001511A6">
        <w:rPr>
          <w:lang w:val="lt-LT"/>
        </w:rPr>
        <w:t xml:space="preserve"> </w:t>
      </w:r>
      <w:r w:rsidR="004D189F" w:rsidRPr="0082488D">
        <w:rPr>
          <w:lang w:val="lt-LT"/>
        </w:rPr>
        <w:t>patyrė 2 552</w:t>
      </w:r>
      <w:r w:rsidR="00597C9E" w:rsidRPr="0082488D">
        <w:rPr>
          <w:lang w:val="lt-LT"/>
        </w:rPr>
        <w:t xml:space="preserve"> </w:t>
      </w:r>
      <w:r w:rsidR="004D189F" w:rsidRPr="0082488D">
        <w:rPr>
          <w:lang w:val="lt-LT"/>
        </w:rPr>
        <w:t>eurų nuostolį</w:t>
      </w:r>
      <w:r w:rsidR="004356EC" w:rsidRPr="0082488D">
        <w:rPr>
          <w:lang w:val="lt-LT"/>
        </w:rPr>
        <w:t>.</w:t>
      </w:r>
      <w:r w:rsidR="00295E62" w:rsidRPr="0082488D">
        <w:rPr>
          <w:lang w:val="lt-LT"/>
        </w:rPr>
        <w:t xml:space="preserve"> </w:t>
      </w:r>
      <w:r w:rsidR="0082488D" w:rsidRPr="0082488D">
        <w:rPr>
          <w:lang w:val="lt-LT"/>
        </w:rPr>
        <w:t xml:space="preserve">Nepaskirstytieji nuostoliai ataskaitinių finansinių metų pabaigoje – 58 370  eurų – perkeliami į 2016 metus. </w:t>
      </w:r>
      <w:r w:rsidR="0043369D" w:rsidRPr="0082488D">
        <w:rPr>
          <w:lang w:val="lt-LT"/>
        </w:rPr>
        <w:t>Savivaldybės dotacija nuostoliams dengti – 154,0 tūkst. eurų</w:t>
      </w:r>
      <w:r w:rsidR="00085C06" w:rsidRPr="0082488D">
        <w:rPr>
          <w:lang w:val="lt-LT"/>
        </w:rPr>
        <w:t>.</w:t>
      </w:r>
      <w:r w:rsidR="0043369D" w:rsidRPr="0082488D">
        <w:rPr>
          <w:lang w:val="lt-LT"/>
        </w:rPr>
        <w:t xml:space="preserve"> </w:t>
      </w:r>
    </w:p>
    <w:p w:rsidR="001511A6" w:rsidRPr="0082488D" w:rsidRDefault="004D189F" w:rsidP="0043369D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488D">
        <w:rPr>
          <w:rFonts w:ascii="Times New Roman" w:hAnsi="Times New Roman" w:cs="Times New Roman"/>
          <w:sz w:val="24"/>
          <w:szCs w:val="24"/>
        </w:rPr>
        <w:t>2015 meta</w:t>
      </w:r>
      <w:r w:rsidR="00A939BF" w:rsidRPr="0082488D">
        <w:rPr>
          <w:rFonts w:ascii="Times New Roman" w:hAnsi="Times New Roman" w:cs="Times New Roman"/>
          <w:sz w:val="24"/>
          <w:szCs w:val="24"/>
        </w:rPr>
        <w:t>m</w:t>
      </w:r>
      <w:r w:rsidRPr="0082488D">
        <w:rPr>
          <w:rFonts w:ascii="Times New Roman" w:hAnsi="Times New Roman" w:cs="Times New Roman"/>
          <w:sz w:val="24"/>
          <w:szCs w:val="24"/>
        </w:rPr>
        <w:t xml:space="preserve">s </w:t>
      </w:r>
      <w:r w:rsidR="00A939BF" w:rsidRPr="0082488D">
        <w:rPr>
          <w:rFonts w:ascii="Times New Roman" w:hAnsi="Times New Roman" w:cs="Times New Roman"/>
          <w:sz w:val="24"/>
          <w:szCs w:val="24"/>
        </w:rPr>
        <w:t>Bendrovei buvo nustatyti šie tikslai:</w:t>
      </w:r>
    </w:p>
    <w:p w:rsidR="001511A6" w:rsidRPr="001511A6" w:rsidRDefault="00A939BF" w:rsidP="001511A6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Racionaliai naudoti transpor</w:t>
      </w:r>
      <w:r w:rsidR="001511A6">
        <w:rPr>
          <w:rFonts w:ascii="Times New Roman" w:hAnsi="Times New Roman" w:cs="Times New Roman"/>
          <w:sz w:val="24"/>
          <w:szCs w:val="24"/>
        </w:rPr>
        <w:t>tą, patiriant mažesnes išlaidas:</w:t>
      </w:r>
      <w:r w:rsidRPr="0015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A6" w:rsidRDefault="00104276" w:rsidP="001511A6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Bendrovės autobusai aptarnavo 40 vietinio susisiekimo, 5 tolimojo susisiekimo ir vieną specialųjį  maršrutą. </w:t>
      </w:r>
      <w:r w:rsidR="00A939BF" w:rsidRPr="001511A6">
        <w:rPr>
          <w:rFonts w:ascii="Times New Roman" w:hAnsi="Times New Roman" w:cs="Times New Roman"/>
          <w:sz w:val="24"/>
          <w:szCs w:val="24"/>
        </w:rPr>
        <w:t>2015 m. buvo atsisakyta 2 vietinių maršrutų, į reisą pagal galimybes ir poreikį buvo siunčiami mažesni autobusai.</w:t>
      </w:r>
      <w:r w:rsidRPr="001511A6">
        <w:rPr>
          <w:rFonts w:ascii="Times New Roman" w:hAnsi="Times New Roman" w:cs="Times New Roman"/>
          <w:sz w:val="24"/>
          <w:szCs w:val="24"/>
        </w:rPr>
        <w:t xml:space="preserve"> 2015 m. nutraukti 8 tolimojo susisiekimo reisai. Vietinio susisiekimo maršrutais pervežta 231 tūkst. keleivių (lyginant su 2014 m., sumažėjo 27 tūkst.), tolimojo susisiekimo maršrutais - 94 tūkst.</w:t>
      </w:r>
    </w:p>
    <w:p w:rsidR="001511A6" w:rsidRDefault="001511A6" w:rsidP="001511A6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Racionaliai naudoti Bendrovės lėšas:</w:t>
      </w:r>
    </w:p>
    <w:p w:rsidR="001511A6" w:rsidRDefault="001511A6" w:rsidP="001511A6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Bendrovės darbuotojai buvo leidžiami nemokamų atostogų, vykdoma maršrutų kontrolė, gretinamos pareigybės, sukurta skatinimo sistema.</w:t>
      </w:r>
    </w:p>
    <w:p w:rsidR="001511A6" w:rsidRDefault="001511A6" w:rsidP="001511A6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Atnaujinti transportą:</w:t>
      </w:r>
    </w:p>
    <w:p w:rsidR="001511A6" w:rsidRDefault="0043369D" w:rsidP="001511A6">
      <w:pPr>
        <w:pStyle w:val="Sraopastraipa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Bendrovės lėšų nupirkti du autobusai.</w:t>
      </w:r>
    </w:p>
    <w:p w:rsidR="0043369D" w:rsidRDefault="0043369D" w:rsidP="0043369D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Ieškoti papildomų veiklų:</w:t>
      </w:r>
    </w:p>
    <w:p w:rsidR="0043369D" w:rsidRDefault="0043369D" w:rsidP="00085C06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Padaugėjo specialiųjų reisų, </w:t>
      </w:r>
      <w:r w:rsidR="00085C06">
        <w:rPr>
          <w:rFonts w:ascii="Times New Roman" w:hAnsi="Times New Roman" w:cs="Times New Roman"/>
          <w:sz w:val="24"/>
          <w:szCs w:val="24"/>
        </w:rPr>
        <w:t xml:space="preserve">gauta 58,6 tūkst. </w:t>
      </w:r>
      <w:r w:rsidR="0082488D">
        <w:rPr>
          <w:rFonts w:ascii="Times New Roman" w:hAnsi="Times New Roman" w:cs="Times New Roman"/>
          <w:sz w:val="24"/>
          <w:szCs w:val="24"/>
        </w:rPr>
        <w:t>eurų</w:t>
      </w:r>
      <w:r w:rsidR="00085C06">
        <w:rPr>
          <w:rFonts w:ascii="Times New Roman" w:hAnsi="Times New Roman" w:cs="Times New Roman"/>
          <w:sz w:val="24"/>
          <w:szCs w:val="24"/>
        </w:rPr>
        <w:t xml:space="preserve"> pajamų (30,7 tūkst. </w:t>
      </w:r>
      <w:r w:rsidR="0082488D">
        <w:rPr>
          <w:rFonts w:ascii="Times New Roman" w:hAnsi="Times New Roman" w:cs="Times New Roman"/>
          <w:sz w:val="24"/>
          <w:szCs w:val="24"/>
        </w:rPr>
        <w:t>eurų</w:t>
      </w:r>
      <w:r w:rsidR="00085C06">
        <w:rPr>
          <w:rFonts w:ascii="Times New Roman" w:hAnsi="Times New Roman" w:cs="Times New Roman"/>
          <w:sz w:val="24"/>
          <w:szCs w:val="24"/>
        </w:rPr>
        <w:t xml:space="preserve"> daugiau negu 2014 m.).</w:t>
      </w:r>
    </w:p>
    <w:p w:rsidR="00085C06" w:rsidRPr="001511A6" w:rsidRDefault="00085C06" w:rsidP="00085C06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Nustatytas 2015 m. finansinis rezultatas – nepatirti nuostolio.</w:t>
      </w:r>
      <w:r w:rsidR="0082488D">
        <w:rPr>
          <w:rFonts w:ascii="Times New Roman" w:hAnsi="Times New Roman" w:cs="Times New Roman"/>
          <w:sz w:val="24"/>
          <w:szCs w:val="24"/>
        </w:rPr>
        <w:t xml:space="preserve"> Patirtas</w:t>
      </w:r>
      <w:r w:rsidR="0082488D" w:rsidRPr="0082488D">
        <w:rPr>
          <w:rFonts w:ascii="Times New Roman" w:hAnsi="Times New Roman" w:cs="Times New Roman"/>
          <w:sz w:val="24"/>
          <w:szCs w:val="24"/>
        </w:rPr>
        <w:t xml:space="preserve"> 2 552 eurų nuostol</w:t>
      </w:r>
      <w:r w:rsidR="0082488D">
        <w:rPr>
          <w:rFonts w:ascii="Times New Roman" w:hAnsi="Times New Roman" w:cs="Times New Roman"/>
          <w:sz w:val="24"/>
          <w:szCs w:val="24"/>
        </w:rPr>
        <w:t>is.</w:t>
      </w:r>
    </w:p>
    <w:p w:rsidR="004D189F" w:rsidRPr="001511A6" w:rsidRDefault="004D189F" w:rsidP="0082488D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eastAsia="Calibri" w:hAnsi="Times New Roman" w:cs="Times New Roman"/>
          <w:sz w:val="24"/>
          <w:szCs w:val="24"/>
        </w:rPr>
        <w:lastRenderedPageBreak/>
        <w:t>Bendrovės direktorius už praėjusių metų veiklą atsiskaitė Savivaldybės vadovams</w:t>
      </w:r>
      <w:r w:rsidR="00085C06">
        <w:rPr>
          <w:rFonts w:ascii="Times New Roman" w:eastAsia="Calibri" w:hAnsi="Times New Roman" w:cs="Times New Roman"/>
          <w:sz w:val="24"/>
          <w:szCs w:val="24"/>
        </w:rPr>
        <w:t>. Bendrovės veikla įvertinta gerai. 2016 m.</w:t>
      </w:r>
      <w:r w:rsidRPr="001511A6">
        <w:rPr>
          <w:rFonts w:ascii="Times New Roman" w:eastAsia="Calibri" w:hAnsi="Times New Roman" w:cs="Times New Roman"/>
          <w:sz w:val="24"/>
          <w:szCs w:val="24"/>
        </w:rPr>
        <w:t xml:space="preserve"> suformuoti </w:t>
      </w:r>
      <w:r w:rsidR="00085C06">
        <w:rPr>
          <w:rFonts w:ascii="Times New Roman" w:eastAsia="Calibri" w:hAnsi="Times New Roman" w:cs="Times New Roman"/>
          <w:sz w:val="24"/>
          <w:szCs w:val="24"/>
        </w:rPr>
        <w:t xml:space="preserve">tokie </w:t>
      </w:r>
      <w:r w:rsidRPr="001511A6">
        <w:rPr>
          <w:rFonts w:ascii="Times New Roman" w:eastAsia="Calibri" w:hAnsi="Times New Roman" w:cs="Times New Roman"/>
          <w:sz w:val="24"/>
          <w:szCs w:val="24"/>
        </w:rPr>
        <w:t xml:space="preserve">tikslai: </w:t>
      </w:r>
    </w:p>
    <w:p w:rsidR="004D189F" w:rsidRPr="004D189F" w:rsidRDefault="004D189F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4D189F">
        <w:rPr>
          <w:rFonts w:eastAsia="Calibri"/>
          <w:lang w:val="lt-LT"/>
        </w:rPr>
        <w:t>Efektyviai naudoti transportą, patiriant mažesnes išlaidas;</w:t>
      </w:r>
    </w:p>
    <w:p w:rsidR="004D189F" w:rsidRPr="004D189F" w:rsidRDefault="004D189F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4D189F">
        <w:rPr>
          <w:rFonts w:eastAsia="Calibri"/>
          <w:lang w:val="lt-LT"/>
        </w:rPr>
        <w:t>Pagal finansines galimybes atnaujinti transportą;</w:t>
      </w:r>
    </w:p>
    <w:p w:rsidR="004D189F" w:rsidRPr="004D189F" w:rsidRDefault="004D189F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4D189F">
        <w:rPr>
          <w:rFonts w:eastAsia="Calibri"/>
          <w:lang w:val="lt-LT"/>
        </w:rPr>
        <w:t>Teikti kokybišką paslaugą;</w:t>
      </w:r>
    </w:p>
    <w:p w:rsidR="0082488D" w:rsidRDefault="004D189F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 w:rsidRPr="004D189F">
        <w:rPr>
          <w:rFonts w:eastAsia="Calibri"/>
          <w:lang w:val="lt-LT"/>
        </w:rPr>
        <w:t>Ieškoti papildomų veiklų;</w:t>
      </w:r>
    </w:p>
    <w:p w:rsidR="004D189F" w:rsidRPr="004D189F" w:rsidRDefault="0082488D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Bendrovės</w:t>
      </w:r>
      <w:r w:rsidR="004D189F" w:rsidRPr="004D189F">
        <w:rPr>
          <w:rFonts w:eastAsia="Calibri"/>
          <w:lang w:val="lt-LT"/>
        </w:rPr>
        <w:t xml:space="preserve"> 2016 m. finansinis veiklos rezultatas- nepatirti nuostolio.</w:t>
      </w:r>
    </w:p>
    <w:p w:rsidR="004356EC" w:rsidRPr="00E51AE0" w:rsidRDefault="004356EC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E51AE0">
        <w:rPr>
          <w:lang w:val="lt-LT"/>
        </w:rPr>
        <w:t xml:space="preserve">Parengto sprendimo projekto tikslas – </w:t>
      </w:r>
      <w:r>
        <w:rPr>
          <w:lang w:val="lt-LT"/>
        </w:rPr>
        <w:t>patvirtinti Bendrovės 201</w:t>
      </w:r>
      <w:r w:rsidR="0016129C">
        <w:rPr>
          <w:lang w:val="lt-LT"/>
        </w:rPr>
        <w:t>5</w:t>
      </w:r>
      <w:r>
        <w:rPr>
          <w:lang w:val="lt-LT"/>
        </w:rPr>
        <w:t xml:space="preserve"> m. audituotą metinių finansinių ataskaitų rinkinį ir paskirstyti 201</w:t>
      </w:r>
      <w:r w:rsidR="0016129C">
        <w:rPr>
          <w:lang w:val="lt-LT"/>
        </w:rPr>
        <w:t>5</w:t>
      </w:r>
      <w:r>
        <w:rPr>
          <w:lang w:val="lt-LT"/>
        </w:rPr>
        <w:t xml:space="preserve"> m. pelną (nuostolius).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FF2400" w:rsidRDefault="00FF2400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FF2400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Pr="00FF2400">
        <w:rPr>
          <w:lang w:val="lt-LT"/>
        </w:rPr>
        <w:t xml:space="preserve"> ir 3 dalies 9</w:t>
      </w:r>
      <w:r>
        <w:rPr>
          <w:lang w:val="lt-LT"/>
        </w:rPr>
        <w:t xml:space="preserve"> punktas, 48 straipsnio 2 dalis;</w:t>
      </w:r>
      <w:r w:rsidRPr="00FF2400">
        <w:rPr>
          <w:lang w:val="lt-LT"/>
        </w:rPr>
        <w:t xml:space="preserve"> </w:t>
      </w:r>
    </w:p>
    <w:p w:rsidR="00FF2400" w:rsidRDefault="00FF2400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bCs/>
          <w:lang w:val="lt-LT"/>
        </w:rPr>
      </w:pPr>
      <w:r w:rsidRPr="00FF2400">
        <w:rPr>
          <w:lang w:val="lt-LT"/>
        </w:rPr>
        <w:t xml:space="preserve">Lietuvos Respublikos akcinių bendrovių įstatymo </w:t>
      </w:r>
      <w:r w:rsidRPr="00FF2400">
        <w:rPr>
          <w:bCs/>
          <w:lang w:val="lt-LT"/>
        </w:rPr>
        <w:t xml:space="preserve">20 straipsnio 1 dalies 9 </w:t>
      </w:r>
      <w:r>
        <w:rPr>
          <w:bCs/>
          <w:lang w:val="lt-LT"/>
        </w:rPr>
        <w:t>ir 10 punkta</w:t>
      </w:r>
      <w:r w:rsidRPr="00FF2400">
        <w:rPr>
          <w:bCs/>
          <w:lang w:val="lt-LT"/>
        </w:rPr>
        <w:t>s, 24 straipsnio 1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FF2400">
        <w:rPr>
          <w:bCs/>
          <w:lang w:val="lt-LT"/>
        </w:rPr>
        <w:t>s</w:t>
      </w:r>
      <w:r>
        <w:rPr>
          <w:bCs/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F2400">
        <w:rPr>
          <w:b/>
          <w:lang w:val="lt-LT"/>
        </w:rPr>
        <w:t>3.</w:t>
      </w:r>
      <w:r w:rsidRPr="00FB3A04">
        <w:rPr>
          <w:b/>
          <w:lang w:val="lt-LT"/>
        </w:rP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4356EC" w:rsidRPr="00C00AD2" w:rsidRDefault="004356EC" w:rsidP="0028287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F5832">
        <w:rPr>
          <w:lang w:val="lt-LT"/>
        </w:rPr>
        <w:t>Be</w:t>
      </w:r>
      <w:r>
        <w:rPr>
          <w:lang w:val="lt-LT"/>
        </w:rPr>
        <w:t xml:space="preserve">ndrovės direktorius metinių finansinių ataskaitų rinkinį kartu su Bendrovės metiniu pranešimu ir auditoriaus išvada per 30 dienų nuo eilinio </w:t>
      </w:r>
      <w:r w:rsidRPr="00135E9A">
        <w:rPr>
          <w:lang w:val="lt-LT"/>
        </w:rPr>
        <w:t>visuotini</w:t>
      </w:r>
      <w:r>
        <w:rPr>
          <w:lang w:val="lt-LT"/>
        </w:rPr>
        <w:t>o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 xml:space="preserve">o pateikia juridinių asmenų registro tvarkytojui. </w:t>
      </w:r>
    </w:p>
    <w:p w:rsidR="0028287B" w:rsidRDefault="0028287B" w:rsidP="004356EC">
      <w:pPr>
        <w:tabs>
          <w:tab w:val="left" w:pos="1674"/>
        </w:tabs>
        <w:rPr>
          <w:lang w:val="lt-LT"/>
        </w:rPr>
      </w:pPr>
    </w:p>
    <w:p w:rsidR="00295E62" w:rsidRDefault="00295E62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085C06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6D" w:rsidRDefault="0079426D" w:rsidP="00085C06">
      <w:r>
        <w:separator/>
      </w:r>
    </w:p>
  </w:endnote>
  <w:endnote w:type="continuationSeparator" w:id="0">
    <w:p w:rsidR="0079426D" w:rsidRDefault="0079426D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6D" w:rsidRDefault="0079426D" w:rsidP="00085C06">
      <w:r>
        <w:separator/>
      </w:r>
    </w:p>
  </w:footnote>
  <w:footnote w:type="continuationSeparator" w:id="0">
    <w:p w:rsidR="0079426D" w:rsidRDefault="0079426D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EE" w:rsidRPr="009428EE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37AD"/>
    <w:rsid w:val="00085C06"/>
    <w:rsid w:val="000948B9"/>
    <w:rsid w:val="00104276"/>
    <w:rsid w:val="001511A6"/>
    <w:rsid w:val="0016129C"/>
    <w:rsid w:val="001B1E3C"/>
    <w:rsid w:val="0028287B"/>
    <w:rsid w:val="00295E62"/>
    <w:rsid w:val="002B694C"/>
    <w:rsid w:val="0031595A"/>
    <w:rsid w:val="0037041C"/>
    <w:rsid w:val="003769A0"/>
    <w:rsid w:val="004133B2"/>
    <w:rsid w:val="004205CE"/>
    <w:rsid w:val="0043369D"/>
    <w:rsid w:val="004356EC"/>
    <w:rsid w:val="0048653D"/>
    <w:rsid w:val="004C0DEA"/>
    <w:rsid w:val="004D189F"/>
    <w:rsid w:val="004D6D31"/>
    <w:rsid w:val="00527C89"/>
    <w:rsid w:val="005477EE"/>
    <w:rsid w:val="005551D8"/>
    <w:rsid w:val="00575191"/>
    <w:rsid w:val="00586733"/>
    <w:rsid w:val="00597C9E"/>
    <w:rsid w:val="005F081A"/>
    <w:rsid w:val="0079426D"/>
    <w:rsid w:val="0082488D"/>
    <w:rsid w:val="008311F7"/>
    <w:rsid w:val="008479D6"/>
    <w:rsid w:val="00874E0D"/>
    <w:rsid w:val="008B6AF8"/>
    <w:rsid w:val="008E1A54"/>
    <w:rsid w:val="009428EE"/>
    <w:rsid w:val="0096671F"/>
    <w:rsid w:val="009B5E75"/>
    <w:rsid w:val="00A05AB3"/>
    <w:rsid w:val="00A2538A"/>
    <w:rsid w:val="00A47567"/>
    <w:rsid w:val="00A939BF"/>
    <w:rsid w:val="00AA78C1"/>
    <w:rsid w:val="00B0265D"/>
    <w:rsid w:val="00B03C81"/>
    <w:rsid w:val="00B140ED"/>
    <w:rsid w:val="00B33FC6"/>
    <w:rsid w:val="00B87810"/>
    <w:rsid w:val="00CC052F"/>
    <w:rsid w:val="00CD2256"/>
    <w:rsid w:val="00D60684"/>
    <w:rsid w:val="00D86634"/>
    <w:rsid w:val="00E01F91"/>
    <w:rsid w:val="00EC2258"/>
    <w:rsid w:val="00F23A87"/>
    <w:rsid w:val="00F632CC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548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8</cp:revision>
  <cp:lastPrinted>2015-03-17T07:12:00Z</cp:lastPrinted>
  <dcterms:created xsi:type="dcterms:W3CDTF">2016-04-17T14:53:00Z</dcterms:created>
  <dcterms:modified xsi:type="dcterms:W3CDTF">2016-04-18T11:14:00Z</dcterms:modified>
</cp:coreProperties>
</file>