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footer1.xml" ContentType="application/vnd.openxmlformats-officedocument.wordprocessingml.footer+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footer2.xml" ContentType="application/vnd.openxmlformats-officedocument.wordprocessingml.footer+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3.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6D25" w:rsidRDefault="003A6D25" w:rsidP="004A325E">
      <w:pPr>
        <w:spacing w:after="0"/>
        <w:jc w:val="center"/>
        <w:rPr>
          <w:rFonts w:ascii="Times New Roman" w:hAnsi="Times New Roman" w:cs="Times New Roman"/>
          <w:b/>
          <w:sz w:val="28"/>
          <w:szCs w:val="28"/>
        </w:rPr>
      </w:pPr>
      <w:bookmarkStart w:id="0" w:name="_GoBack"/>
      <w:bookmarkEnd w:id="0"/>
    </w:p>
    <w:p w:rsidR="003A6D25" w:rsidRDefault="003A6D25" w:rsidP="004A325E">
      <w:pPr>
        <w:spacing w:after="0"/>
        <w:jc w:val="center"/>
        <w:rPr>
          <w:rFonts w:ascii="Times New Roman" w:hAnsi="Times New Roman" w:cs="Times New Roman"/>
          <w:b/>
          <w:sz w:val="28"/>
          <w:szCs w:val="28"/>
        </w:rPr>
      </w:pPr>
    </w:p>
    <w:p w:rsidR="003A6D25" w:rsidRDefault="003A6D25" w:rsidP="004A325E">
      <w:pPr>
        <w:spacing w:after="0"/>
        <w:jc w:val="center"/>
        <w:rPr>
          <w:rFonts w:ascii="Times New Roman" w:hAnsi="Times New Roman" w:cs="Times New Roman"/>
          <w:b/>
          <w:sz w:val="28"/>
          <w:szCs w:val="28"/>
        </w:rPr>
      </w:pPr>
    </w:p>
    <w:p w:rsidR="003A6D25" w:rsidRDefault="003A6D25" w:rsidP="004A325E">
      <w:pPr>
        <w:spacing w:after="0"/>
        <w:jc w:val="center"/>
        <w:rPr>
          <w:rFonts w:ascii="Times New Roman" w:hAnsi="Times New Roman" w:cs="Times New Roman"/>
          <w:b/>
          <w:sz w:val="28"/>
          <w:szCs w:val="28"/>
        </w:rPr>
      </w:pPr>
    </w:p>
    <w:p w:rsidR="003A6D25" w:rsidRDefault="003A6D25" w:rsidP="004A325E">
      <w:pPr>
        <w:spacing w:after="0"/>
        <w:jc w:val="center"/>
        <w:rPr>
          <w:rFonts w:ascii="Times New Roman" w:hAnsi="Times New Roman" w:cs="Times New Roman"/>
          <w:b/>
          <w:sz w:val="28"/>
          <w:szCs w:val="28"/>
        </w:rPr>
      </w:pPr>
    </w:p>
    <w:p w:rsidR="003A6D25" w:rsidRDefault="003A6D25" w:rsidP="004A325E">
      <w:pPr>
        <w:spacing w:after="0"/>
        <w:jc w:val="center"/>
        <w:rPr>
          <w:rFonts w:ascii="Times New Roman" w:hAnsi="Times New Roman" w:cs="Times New Roman"/>
          <w:b/>
          <w:sz w:val="28"/>
          <w:szCs w:val="28"/>
        </w:rPr>
      </w:pPr>
    </w:p>
    <w:p w:rsidR="003A6D25" w:rsidRDefault="003A6D25" w:rsidP="004A325E">
      <w:pPr>
        <w:spacing w:after="0"/>
        <w:jc w:val="center"/>
        <w:rPr>
          <w:rFonts w:ascii="Times New Roman" w:hAnsi="Times New Roman" w:cs="Times New Roman"/>
          <w:b/>
          <w:sz w:val="28"/>
          <w:szCs w:val="28"/>
        </w:rPr>
      </w:pPr>
    </w:p>
    <w:p w:rsidR="003A6D25" w:rsidRDefault="003A6D25" w:rsidP="004A325E">
      <w:pPr>
        <w:spacing w:after="0"/>
        <w:jc w:val="center"/>
        <w:rPr>
          <w:rFonts w:ascii="Times New Roman" w:hAnsi="Times New Roman" w:cs="Times New Roman"/>
          <w:b/>
          <w:sz w:val="28"/>
          <w:szCs w:val="28"/>
        </w:rPr>
      </w:pPr>
    </w:p>
    <w:p w:rsidR="003A6D25" w:rsidRDefault="003A6D25" w:rsidP="004A325E">
      <w:pPr>
        <w:spacing w:after="0"/>
        <w:jc w:val="center"/>
        <w:rPr>
          <w:rFonts w:ascii="Times New Roman" w:hAnsi="Times New Roman" w:cs="Times New Roman"/>
          <w:b/>
          <w:sz w:val="28"/>
          <w:szCs w:val="28"/>
        </w:rPr>
      </w:pPr>
    </w:p>
    <w:p w:rsidR="003A6D25" w:rsidRDefault="003A6D25" w:rsidP="004A325E">
      <w:pPr>
        <w:spacing w:after="0"/>
        <w:jc w:val="center"/>
        <w:rPr>
          <w:rFonts w:ascii="Times New Roman" w:hAnsi="Times New Roman" w:cs="Times New Roman"/>
          <w:b/>
          <w:sz w:val="28"/>
          <w:szCs w:val="28"/>
        </w:rPr>
      </w:pPr>
    </w:p>
    <w:p w:rsidR="003A6D25" w:rsidRDefault="003A6D25" w:rsidP="004A325E">
      <w:pPr>
        <w:spacing w:after="0"/>
        <w:jc w:val="center"/>
        <w:rPr>
          <w:rFonts w:ascii="Times New Roman" w:hAnsi="Times New Roman" w:cs="Times New Roman"/>
          <w:b/>
          <w:sz w:val="28"/>
          <w:szCs w:val="28"/>
        </w:rPr>
      </w:pPr>
    </w:p>
    <w:p w:rsidR="003A6D25" w:rsidRDefault="003A6D25" w:rsidP="004A325E">
      <w:pPr>
        <w:spacing w:after="0"/>
        <w:jc w:val="center"/>
        <w:rPr>
          <w:rFonts w:ascii="Times New Roman" w:hAnsi="Times New Roman" w:cs="Times New Roman"/>
          <w:b/>
          <w:sz w:val="28"/>
          <w:szCs w:val="28"/>
        </w:rPr>
      </w:pPr>
    </w:p>
    <w:p w:rsidR="003A6D25" w:rsidRDefault="003A6D25" w:rsidP="004A325E">
      <w:pPr>
        <w:spacing w:after="0"/>
        <w:jc w:val="center"/>
        <w:rPr>
          <w:rFonts w:ascii="Times New Roman" w:hAnsi="Times New Roman" w:cs="Times New Roman"/>
          <w:b/>
          <w:sz w:val="28"/>
          <w:szCs w:val="28"/>
        </w:rPr>
      </w:pPr>
    </w:p>
    <w:p w:rsidR="003A6D25" w:rsidRDefault="003A6D25" w:rsidP="004A325E">
      <w:pPr>
        <w:spacing w:after="0"/>
        <w:jc w:val="center"/>
        <w:rPr>
          <w:rFonts w:ascii="Times New Roman" w:hAnsi="Times New Roman" w:cs="Times New Roman"/>
          <w:b/>
          <w:sz w:val="28"/>
          <w:szCs w:val="28"/>
        </w:rPr>
      </w:pPr>
    </w:p>
    <w:p w:rsidR="003A6D25" w:rsidRDefault="003A6D25" w:rsidP="004A325E">
      <w:pPr>
        <w:spacing w:after="0"/>
        <w:jc w:val="center"/>
        <w:rPr>
          <w:rFonts w:ascii="Times New Roman" w:hAnsi="Times New Roman" w:cs="Times New Roman"/>
          <w:b/>
          <w:sz w:val="28"/>
          <w:szCs w:val="28"/>
        </w:rPr>
      </w:pPr>
    </w:p>
    <w:p w:rsidR="003A6D25" w:rsidRDefault="003A6D25" w:rsidP="004A325E">
      <w:pPr>
        <w:spacing w:after="0"/>
        <w:jc w:val="center"/>
        <w:rPr>
          <w:rFonts w:ascii="Times New Roman" w:hAnsi="Times New Roman" w:cs="Times New Roman"/>
          <w:b/>
          <w:sz w:val="28"/>
          <w:szCs w:val="28"/>
        </w:rPr>
      </w:pPr>
    </w:p>
    <w:p w:rsidR="003A6D25" w:rsidRDefault="003A6D25" w:rsidP="004A325E">
      <w:pPr>
        <w:spacing w:after="0"/>
        <w:jc w:val="center"/>
        <w:rPr>
          <w:rFonts w:ascii="Times New Roman" w:hAnsi="Times New Roman" w:cs="Times New Roman"/>
          <w:b/>
          <w:sz w:val="28"/>
          <w:szCs w:val="28"/>
        </w:rPr>
      </w:pPr>
    </w:p>
    <w:p w:rsidR="003A6D25" w:rsidRDefault="003A6D25" w:rsidP="004A325E">
      <w:pPr>
        <w:spacing w:after="0"/>
        <w:jc w:val="center"/>
        <w:rPr>
          <w:rFonts w:ascii="Times New Roman" w:hAnsi="Times New Roman" w:cs="Times New Roman"/>
          <w:b/>
          <w:sz w:val="28"/>
          <w:szCs w:val="28"/>
        </w:rPr>
      </w:pPr>
    </w:p>
    <w:p w:rsidR="003A6D25" w:rsidRDefault="003A6D25" w:rsidP="004A325E">
      <w:pPr>
        <w:spacing w:after="0"/>
        <w:jc w:val="center"/>
        <w:rPr>
          <w:rFonts w:ascii="Times New Roman" w:hAnsi="Times New Roman" w:cs="Times New Roman"/>
          <w:b/>
          <w:sz w:val="28"/>
          <w:szCs w:val="28"/>
        </w:rPr>
      </w:pPr>
    </w:p>
    <w:p w:rsidR="003A6D25" w:rsidRDefault="003A6D25" w:rsidP="004A325E">
      <w:pPr>
        <w:spacing w:after="0"/>
        <w:jc w:val="center"/>
        <w:rPr>
          <w:rFonts w:ascii="Times New Roman" w:hAnsi="Times New Roman" w:cs="Times New Roman"/>
          <w:b/>
          <w:sz w:val="28"/>
          <w:szCs w:val="28"/>
        </w:rPr>
      </w:pPr>
    </w:p>
    <w:p w:rsidR="003A6D25" w:rsidRDefault="003A6D25" w:rsidP="004A325E">
      <w:pPr>
        <w:spacing w:after="0"/>
        <w:jc w:val="center"/>
        <w:rPr>
          <w:rFonts w:ascii="Times New Roman" w:hAnsi="Times New Roman" w:cs="Times New Roman"/>
          <w:b/>
          <w:sz w:val="28"/>
          <w:szCs w:val="28"/>
        </w:rPr>
      </w:pPr>
    </w:p>
    <w:p w:rsidR="003A6D25" w:rsidRDefault="003A6D25" w:rsidP="004A325E">
      <w:pPr>
        <w:spacing w:after="0"/>
        <w:jc w:val="center"/>
        <w:rPr>
          <w:rFonts w:ascii="Times New Roman" w:hAnsi="Times New Roman" w:cs="Times New Roman"/>
          <w:b/>
          <w:sz w:val="28"/>
          <w:szCs w:val="28"/>
        </w:rPr>
      </w:pPr>
    </w:p>
    <w:p w:rsidR="003A6D25" w:rsidRDefault="003A6D25" w:rsidP="004A325E">
      <w:pPr>
        <w:spacing w:after="0"/>
        <w:jc w:val="center"/>
        <w:rPr>
          <w:rFonts w:ascii="Times New Roman" w:hAnsi="Times New Roman" w:cs="Times New Roman"/>
          <w:b/>
          <w:sz w:val="28"/>
          <w:szCs w:val="28"/>
        </w:rPr>
      </w:pPr>
    </w:p>
    <w:p w:rsidR="003A6D25" w:rsidRDefault="003A6D25" w:rsidP="004A325E">
      <w:pPr>
        <w:spacing w:after="0"/>
        <w:jc w:val="center"/>
        <w:rPr>
          <w:rFonts w:ascii="Times New Roman" w:hAnsi="Times New Roman" w:cs="Times New Roman"/>
          <w:b/>
          <w:sz w:val="28"/>
          <w:szCs w:val="28"/>
        </w:rPr>
      </w:pPr>
    </w:p>
    <w:p w:rsidR="003A6D25" w:rsidRDefault="003A6D25" w:rsidP="004A325E">
      <w:pPr>
        <w:spacing w:after="0"/>
        <w:jc w:val="center"/>
        <w:rPr>
          <w:rFonts w:ascii="Times New Roman" w:hAnsi="Times New Roman" w:cs="Times New Roman"/>
          <w:b/>
          <w:sz w:val="28"/>
          <w:szCs w:val="28"/>
        </w:rPr>
      </w:pPr>
    </w:p>
    <w:p w:rsidR="003A6D25" w:rsidRDefault="003A6D25" w:rsidP="004A325E">
      <w:pPr>
        <w:spacing w:after="0"/>
        <w:jc w:val="center"/>
        <w:rPr>
          <w:rFonts w:ascii="Times New Roman" w:hAnsi="Times New Roman" w:cs="Times New Roman"/>
          <w:b/>
          <w:sz w:val="28"/>
          <w:szCs w:val="28"/>
        </w:rPr>
      </w:pPr>
    </w:p>
    <w:p w:rsidR="003A6D25" w:rsidRDefault="003A6D25" w:rsidP="004A325E">
      <w:pPr>
        <w:spacing w:after="0"/>
        <w:jc w:val="center"/>
        <w:rPr>
          <w:rFonts w:ascii="Times New Roman" w:hAnsi="Times New Roman" w:cs="Times New Roman"/>
          <w:b/>
          <w:sz w:val="28"/>
          <w:szCs w:val="28"/>
        </w:rPr>
      </w:pPr>
    </w:p>
    <w:p w:rsidR="003A6D25" w:rsidRDefault="003A6D25" w:rsidP="004A325E">
      <w:pPr>
        <w:spacing w:after="0"/>
        <w:jc w:val="center"/>
        <w:rPr>
          <w:rFonts w:ascii="Times New Roman" w:hAnsi="Times New Roman" w:cs="Times New Roman"/>
          <w:b/>
          <w:sz w:val="28"/>
          <w:szCs w:val="28"/>
        </w:rPr>
      </w:pPr>
    </w:p>
    <w:p w:rsidR="003A6D25" w:rsidRDefault="003A6D25" w:rsidP="004A325E">
      <w:pPr>
        <w:spacing w:after="0"/>
        <w:jc w:val="center"/>
        <w:rPr>
          <w:rFonts w:ascii="Times New Roman" w:hAnsi="Times New Roman" w:cs="Times New Roman"/>
          <w:b/>
          <w:sz w:val="28"/>
          <w:szCs w:val="28"/>
        </w:rPr>
      </w:pPr>
    </w:p>
    <w:p w:rsidR="003A6D25" w:rsidRDefault="003A6D25" w:rsidP="004A325E">
      <w:pPr>
        <w:spacing w:after="0"/>
        <w:jc w:val="center"/>
        <w:rPr>
          <w:rFonts w:ascii="Times New Roman" w:hAnsi="Times New Roman" w:cs="Times New Roman"/>
          <w:b/>
          <w:sz w:val="28"/>
          <w:szCs w:val="28"/>
        </w:rPr>
      </w:pPr>
    </w:p>
    <w:p w:rsidR="003A6D25" w:rsidRDefault="003A6D25" w:rsidP="004A325E">
      <w:pPr>
        <w:spacing w:after="0"/>
        <w:jc w:val="center"/>
        <w:rPr>
          <w:rFonts w:ascii="Times New Roman" w:hAnsi="Times New Roman" w:cs="Times New Roman"/>
          <w:b/>
          <w:sz w:val="28"/>
          <w:szCs w:val="28"/>
        </w:rPr>
      </w:pPr>
    </w:p>
    <w:p w:rsidR="003A6D25" w:rsidRDefault="003A6D25" w:rsidP="004A325E">
      <w:pPr>
        <w:spacing w:after="0"/>
        <w:jc w:val="center"/>
        <w:rPr>
          <w:rFonts w:ascii="Times New Roman" w:hAnsi="Times New Roman" w:cs="Times New Roman"/>
          <w:b/>
          <w:sz w:val="28"/>
          <w:szCs w:val="28"/>
        </w:rPr>
      </w:pPr>
    </w:p>
    <w:p w:rsidR="003A6D25" w:rsidRDefault="003A6D25" w:rsidP="004A325E">
      <w:pPr>
        <w:spacing w:after="0"/>
        <w:jc w:val="center"/>
        <w:rPr>
          <w:rFonts w:ascii="Times New Roman" w:hAnsi="Times New Roman" w:cs="Times New Roman"/>
          <w:b/>
          <w:sz w:val="28"/>
          <w:szCs w:val="28"/>
        </w:rPr>
      </w:pPr>
    </w:p>
    <w:p w:rsidR="003A6D25" w:rsidRDefault="003A6D25" w:rsidP="004A325E">
      <w:pPr>
        <w:spacing w:after="0"/>
        <w:jc w:val="center"/>
        <w:rPr>
          <w:rFonts w:ascii="Times New Roman" w:hAnsi="Times New Roman" w:cs="Times New Roman"/>
          <w:b/>
          <w:sz w:val="28"/>
          <w:szCs w:val="28"/>
        </w:rPr>
      </w:pPr>
    </w:p>
    <w:p w:rsidR="003A6D25" w:rsidRDefault="003A6D25" w:rsidP="004A325E">
      <w:pPr>
        <w:spacing w:after="0"/>
        <w:jc w:val="center"/>
        <w:rPr>
          <w:rFonts w:ascii="Times New Roman" w:hAnsi="Times New Roman" w:cs="Times New Roman"/>
          <w:b/>
          <w:sz w:val="28"/>
          <w:szCs w:val="28"/>
        </w:rPr>
      </w:pPr>
    </w:p>
    <w:p w:rsidR="003A6D25" w:rsidRDefault="003A6D25" w:rsidP="004A325E">
      <w:pPr>
        <w:spacing w:after="0"/>
        <w:jc w:val="center"/>
        <w:rPr>
          <w:rFonts w:ascii="Times New Roman" w:hAnsi="Times New Roman" w:cs="Times New Roman"/>
          <w:b/>
          <w:sz w:val="28"/>
          <w:szCs w:val="28"/>
        </w:rPr>
      </w:pPr>
    </w:p>
    <w:p w:rsidR="003A6D25" w:rsidRDefault="003A6D25" w:rsidP="004A325E">
      <w:pPr>
        <w:spacing w:after="0"/>
        <w:jc w:val="center"/>
        <w:rPr>
          <w:rFonts w:ascii="Times New Roman" w:hAnsi="Times New Roman" w:cs="Times New Roman"/>
          <w:b/>
          <w:sz w:val="28"/>
          <w:szCs w:val="28"/>
        </w:rPr>
      </w:pPr>
    </w:p>
    <w:p w:rsidR="003A6D25" w:rsidRDefault="003A6D25" w:rsidP="004A325E">
      <w:pPr>
        <w:spacing w:after="0"/>
        <w:jc w:val="center"/>
        <w:rPr>
          <w:rFonts w:ascii="Times New Roman" w:hAnsi="Times New Roman" w:cs="Times New Roman"/>
          <w:b/>
          <w:sz w:val="28"/>
          <w:szCs w:val="28"/>
        </w:rPr>
      </w:pPr>
    </w:p>
    <w:p w:rsidR="003A6D25" w:rsidRDefault="003A6D25" w:rsidP="004A325E">
      <w:pPr>
        <w:spacing w:after="0"/>
        <w:jc w:val="center"/>
        <w:rPr>
          <w:rFonts w:ascii="Times New Roman" w:hAnsi="Times New Roman" w:cs="Times New Roman"/>
          <w:b/>
          <w:sz w:val="28"/>
          <w:szCs w:val="28"/>
        </w:rPr>
      </w:pPr>
    </w:p>
    <w:p w:rsidR="003A6D25" w:rsidRDefault="003A6D25" w:rsidP="004A325E">
      <w:pPr>
        <w:spacing w:after="0"/>
        <w:jc w:val="center"/>
        <w:rPr>
          <w:rFonts w:ascii="Times New Roman" w:hAnsi="Times New Roman" w:cs="Times New Roman"/>
          <w:b/>
          <w:sz w:val="28"/>
          <w:szCs w:val="28"/>
        </w:rPr>
      </w:pPr>
    </w:p>
    <w:p w:rsidR="003A6D25" w:rsidRDefault="003A6D25" w:rsidP="004A325E">
      <w:pPr>
        <w:spacing w:after="0"/>
        <w:jc w:val="center"/>
        <w:rPr>
          <w:rFonts w:ascii="Times New Roman" w:hAnsi="Times New Roman" w:cs="Times New Roman"/>
          <w:b/>
          <w:sz w:val="28"/>
          <w:szCs w:val="28"/>
        </w:rPr>
      </w:pPr>
    </w:p>
    <w:p w:rsidR="004A325E" w:rsidRDefault="004A325E" w:rsidP="00413829">
      <w:pPr>
        <w:spacing w:after="0"/>
        <w:rPr>
          <w:rFonts w:ascii="Times New Roman" w:hAnsi="Times New Roman" w:cs="Times New Roman"/>
          <w:sz w:val="24"/>
          <w:szCs w:val="24"/>
        </w:rPr>
      </w:pPr>
    </w:p>
    <w:p w:rsidR="00D722E1" w:rsidRPr="00D722E1" w:rsidRDefault="00CE605B" w:rsidP="00D722E1">
      <w:pPr>
        <w:spacing w:after="0"/>
        <w:jc w:val="center"/>
        <w:rPr>
          <w:rFonts w:ascii="Times New Roman" w:hAnsi="Times New Roman" w:cs="Times New Roman"/>
          <w:b/>
          <w:sz w:val="28"/>
          <w:szCs w:val="28"/>
        </w:rPr>
      </w:pPr>
      <w:r>
        <w:rPr>
          <w:rFonts w:ascii="Times New Roman" w:hAnsi="Times New Roman" w:cs="Times New Roman"/>
          <w:sz w:val="24"/>
          <w:szCs w:val="24"/>
        </w:rPr>
        <w:lastRenderedPageBreak/>
        <w:tab/>
      </w:r>
      <w:r w:rsidR="00D722E1" w:rsidRPr="00D722E1">
        <w:rPr>
          <w:rFonts w:ascii="Times New Roman" w:hAnsi="Times New Roman" w:cs="Times New Roman"/>
          <w:b/>
          <w:sz w:val="28"/>
          <w:szCs w:val="28"/>
        </w:rPr>
        <w:t>VIEŠOSIOS ĮSTAIGOS MOLĖTŲ LIGONINĖS 201</w:t>
      </w:r>
      <w:r w:rsidR="00D722E1">
        <w:rPr>
          <w:rFonts w:ascii="Times New Roman" w:hAnsi="Times New Roman" w:cs="Times New Roman"/>
          <w:b/>
          <w:sz w:val="28"/>
          <w:szCs w:val="28"/>
        </w:rPr>
        <w:t>5</w:t>
      </w:r>
      <w:r w:rsidR="00D722E1" w:rsidRPr="00D722E1">
        <w:rPr>
          <w:rFonts w:ascii="Times New Roman" w:hAnsi="Times New Roman" w:cs="Times New Roman"/>
          <w:b/>
          <w:sz w:val="28"/>
          <w:szCs w:val="28"/>
        </w:rPr>
        <w:t xml:space="preserve"> M. </w:t>
      </w:r>
    </w:p>
    <w:p w:rsidR="00D722E1" w:rsidRPr="00D722E1" w:rsidRDefault="00D722E1" w:rsidP="00D722E1">
      <w:pPr>
        <w:spacing w:after="0"/>
        <w:jc w:val="center"/>
        <w:rPr>
          <w:rFonts w:ascii="Times New Roman" w:hAnsi="Times New Roman" w:cs="Times New Roman"/>
          <w:b/>
          <w:sz w:val="28"/>
          <w:szCs w:val="28"/>
        </w:rPr>
      </w:pPr>
      <w:r w:rsidRPr="00D722E1">
        <w:rPr>
          <w:rFonts w:ascii="Times New Roman" w:hAnsi="Times New Roman" w:cs="Times New Roman"/>
          <w:b/>
          <w:sz w:val="28"/>
          <w:szCs w:val="28"/>
        </w:rPr>
        <w:t>VADOVO VEIKLOS ATASKAITA</w:t>
      </w:r>
    </w:p>
    <w:p w:rsidR="00D722E1" w:rsidRPr="00D722E1" w:rsidRDefault="00D722E1" w:rsidP="00D722E1">
      <w:pPr>
        <w:spacing w:after="0"/>
        <w:jc w:val="center"/>
        <w:rPr>
          <w:rFonts w:ascii="Times New Roman" w:hAnsi="Times New Roman" w:cs="Times New Roman"/>
          <w:sz w:val="24"/>
          <w:szCs w:val="24"/>
        </w:rPr>
      </w:pPr>
    </w:p>
    <w:p w:rsidR="00D722E1" w:rsidRPr="00D722E1" w:rsidRDefault="00D722E1" w:rsidP="00D722E1">
      <w:pPr>
        <w:spacing w:after="0" w:line="360" w:lineRule="auto"/>
        <w:ind w:firstLine="1080"/>
        <w:contextualSpacing/>
        <w:jc w:val="both"/>
        <w:rPr>
          <w:rFonts w:ascii="Times New Roman" w:hAnsi="Times New Roman" w:cs="Times New Roman"/>
          <w:sz w:val="24"/>
          <w:szCs w:val="24"/>
        </w:rPr>
      </w:pPr>
      <w:r w:rsidRPr="00D722E1">
        <w:rPr>
          <w:rFonts w:ascii="Times New Roman" w:hAnsi="Times New Roman" w:cs="Times New Roman"/>
          <w:sz w:val="24"/>
          <w:szCs w:val="24"/>
        </w:rPr>
        <w:tab/>
        <w:t>Vadovaujantis Molėtų rajono biudžetinių ir viešųjų įstaigų, kurių savininkė arba dalininkė yra savivaldybė, vadovų (įstaigų veiklos) ataskaitų pateikimo tvarkos aprašo, patvirtinto Molėtų rajono savivaldybės administracijos direktoriaus 2012 m. sausio 12 d. įsakymu Nr. B6 – 34, 2 punktu, kad viešųjų įstaigų vadovas atsiskaito tarybai už savo veiklą, teikiu 2015 – ųjų metų veiklos ataskaitą.</w:t>
      </w:r>
    </w:p>
    <w:p w:rsidR="00B03F23" w:rsidRDefault="00CB6D6A" w:rsidP="00CB6D6A">
      <w:pPr>
        <w:pStyle w:val="Sraopastraipa"/>
        <w:numPr>
          <w:ilvl w:val="0"/>
          <w:numId w:val="4"/>
        </w:numPr>
        <w:tabs>
          <w:tab w:val="left" w:pos="4253"/>
        </w:tabs>
        <w:spacing w:after="0"/>
        <w:jc w:val="center"/>
        <w:rPr>
          <w:rFonts w:ascii="Times New Roman" w:hAnsi="Times New Roman" w:cs="Times New Roman"/>
          <w:b/>
          <w:caps/>
          <w:sz w:val="24"/>
          <w:szCs w:val="24"/>
        </w:rPr>
      </w:pPr>
      <w:r w:rsidRPr="00CB6D6A">
        <w:rPr>
          <w:rFonts w:ascii="Times New Roman" w:hAnsi="Times New Roman" w:cs="Times New Roman"/>
          <w:b/>
          <w:caps/>
          <w:sz w:val="24"/>
          <w:szCs w:val="24"/>
        </w:rPr>
        <w:t>Apie įstaigą</w:t>
      </w:r>
    </w:p>
    <w:p w:rsidR="00CB6D6A" w:rsidRPr="00CB6D6A" w:rsidRDefault="00CB6D6A" w:rsidP="00CB6D6A">
      <w:pPr>
        <w:pStyle w:val="Sraopastraipa"/>
        <w:tabs>
          <w:tab w:val="left" w:pos="4253"/>
        </w:tabs>
        <w:spacing w:after="0"/>
        <w:ind w:left="1080"/>
        <w:rPr>
          <w:rFonts w:ascii="Times New Roman" w:hAnsi="Times New Roman" w:cs="Times New Roman"/>
          <w:b/>
          <w:caps/>
          <w:sz w:val="24"/>
          <w:szCs w:val="24"/>
        </w:rPr>
      </w:pPr>
    </w:p>
    <w:p w:rsidR="00B03F23" w:rsidRPr="004A325E" w:rsidRDefault="00B03F23" w:rsidP="00CE605B">
      <w:pPr>
        <w:spacing w:after="0" w:line="360" w:lineRule="auto"/>
        <w:ind w:firstLine="1296"/>
        <w:jc w:val="both"/>
        <w:rPr>
          <w:rFonts w:ascii="Times New Roman" w:hAnsi="Times New Roman" w:cs="Times New Roman"/>
          <w:sz w:val="24"/>
          <w:szCs w:val="24"/>
        </w:rPr>
      </w:pPr>
      <w:r>
        <w:rPr>
          <w:rFonts w:ascii="Times New Roman" w:hAnsi="Times New Roman" w:cs="Times New Roman"/>
          <w:sz w:val="24"/>
          <w:szCs w:val="24"/>
        </w:rPr>
        <w:t>Viešoji įstaiga Molėtų ligoninė pagal Sveikatos priežiūros įstaigų įstatyme nustatytą nomenklatūrą yra Lietuvos nacionalinės sveikatos sistemos (LNSS) iš Molėtų rajono savivaldybės turto ir lėšų įsteigta viešoji asmens sveikatos priežiūros ne pelno siekianti įstaiga, teikianti asmens sveikatos priežiūros paslaugas pagal sutartis su užsakovais (teritorinėmis ligonių kasomis).</w:t>
      </w:r>
    </w:p>
    <w:p w:rsidR="00B03F23" w:rsidRDefault="00B03F23" w:rsidP="00B03F23">
      <w:pPr>
        <w:spacing w:after="0" w:line="360" w:lineRule="auto"/>
        <w:jc w:val="both"/>
        <w:rPr>
          <w:rFonts w:ascii="Times New Roman" w:hAnsi="Times New Roman" w:cs="Times New Roman"/>
          <w:sz w:val="24"/>
          <w:szCs w:val="24"/>
        </w:rPr>
      </w:pPr>
      <w:r>
        <w:rPr>
          <w:rFonts w:ascii="Times New Roman" w:hAnsi="Times New Roman" w:cs="Times New Roman"/>
          <w:b/>
          <w:sz w:val="28"/>
          <w:szCs w:val="28"/>
        </w:rPr>
        <w:tab/>
      </w:r>
      <w:r w:rsidRPr="004A325E">
        <w:rPr>
          <w:rFonts w:ascii="Times New Roman" w:hAnsi="Times New Roman" w:cs="Times New Roman"/>
          <w:sz w:val="24"/>
          <w:szCs w:val="24"/>
        </w:rPr>
        <w:t xml:space="preserve">Įstaiga savo veikloje vadovaujasi </w:t>
      </w:r>
      <w:r>
        <w:rPr>
          <w:rFonts w:ascii="Times New Roman" w:hAnsi="Times New Roman" w:cs="Times New Roman"/>
          <w:sz w:val="24"/>
          <w:szCs w:val="24"/>
        </w:rPr>
        <w:t xml:space="preserve">Lietuvos Respublikos Konstitucija, Civiliniu kodeksu, Sveikatos priežiūros įstaigų, Sveikatos sistemos, Viešųjų įstaigų, Sveikatos draudimo ir kitais įstatymais, Vyriausybės nutarimais, galiojančiais norminiais aktais, steigėjo sprendimais, vadovo įsakymais ir Molėtų </w:t>
      </w:r>
      <w:r w:rsidR="00E42FEB">
        <w:rPr>
          <w:rFonts w:ascii="Times New Roman" w:hAnsi="Times New Roman" w:cs="Times New Roman"/>
          <w:sz w:val="24"/>
          <w:szCs w:val="24"/>
        </w:rPr>
        <w:t>rajono savivaldybės tarybos 2015</w:t>
      </w:r>
      <w:r>
        <w:rPr>
          <w:rFonts w:ascii="Times New Roman" w:hAnsi="Times New Roman" w:cs="Times New Roman"/>
          <w:sz w:val="24"/>
          <w:szCs w:val="24"/>
        </w:rPr>
        <w:t xml:space="preserve"> m. </w:t>
      </w:r>
      <w:r w:rsidR="00E42FEB">
        <w:rPr>
          <w:rFonts w:ascii="Times New Roman" w:hAnsi="Times New Roman" w:cs="Times New Roman"/>
          <w:sz w:val="24"/>
          <w:szCs w:val="24"/>
        </w:rPr>
        <w:t>gruodžio 28</w:t>
      </w:r>
      <w:r>
        <w:rPr>
          <w:rFonts w:ascii="Times New Roman" w:hAnsi="Times New Roman" w:cs="Times New Roman"/>
          <w:sz w:val="24"/>
          <w:szCs w:val="24"/>
        </w:rPr>
        <w:t xml:space="preserve"> d. sprendimu Nr. B1 – </w:t>
      </w:r>
      <w:r w:rsidR="00E42FEB">
        <w:rPr>
          <w:rFonts w:ascii="Times New Roman" w:hAnsi="Times New Roman" w:cs="Times New Roman"/>
          <w:sz w:val="24"/>
          <w:szCs w:val="24"/>
        </w:rPr>
        <w:t>237</w:t>
      </w:r>
      <w:r>
        <w:rPr>
          <w:rFonts w:ascii="Times New Roman" w:hAnsi="Times New Roman" w:cs="Times New Roman"/>
          <w:sz w:val="24"/>
          <w:szCs w:val="24"/>
        </w:rPr>
        <w:t xml:space="preserve"> patvirtintais VšĮ Molėtų ligoninės įstatais. </w:t>
      </w:r>
      <w:r w:rsidRPr="004A325E">
        <w:rPr>
          <w:rFonts w:ascii="Times New Roman" w:hAnsi="Times New Roman" w:cs="Times New Roman"/>
          <w:sz w:val="24"/>
          <w:szCs w:val="24"/>
        </w:rPr>
        <w:t xml:space="preserve"> </w:t>
      </w:r>
    </w:p>
    <w:p w:rsidR="00B03F23" w:rsidRDefault="00B03F23" w:rsidP="00B03F2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Įstaiga yra juridinis asmuo, ne pelno siekianti viešoji įstaiga, turinti ūkinį, finansinį, organizacinį ir teisinį savarankiškumą, savo antspaudą, savo, sąskaitas bankuose. Įstaigos buveinė yra </w:t>
      </w:r>
      <w:r w:rsidR="00E42FEB">
        <w:rPr>
          <w:rFonts w:ascii="Times New Roman" w:hAnsi="Times New Roman" w:cs="Times New Roman"/>
          <w:sz w:val="24"/>
          <w:szCs w:val="24"/>
        </w:rPr>
        <w:t>Graužinių</w:t>
      </w:r>
      <w:r>
        <w:rPr>
          <w:rFonts w:ascii="Times New Roman" w:hAnsi="Times New Roman" w:cs="Times New Roman"/>
          <w:sz w:val="24"/>
          <w:szCs w:val="24"/>
        </w:rPr>
        <w:t xml:space="preserve"> g. </w:t>
      </w:r>
      <w:r w:rsidR="00E42FEB">
        <w:rPr>
          <w:rFonts w:ascii="Times New Roman" w:hAnsi="Times New Roman" w:cs="Times New Roman"/>
          <w:sz w:val="24"/>
          <w:szCs w:val="24"/>
        </w:rPr>
        <w:t>3</w:t>
      </w:r>
      <w:r>
        <w:rPr>
          <w:rFonts w:ascii="Times New Roman" w:hAnsi="Times New Roman" w:cs="Times New Roman"/>
          <w:sz w:val="24"/>
          <w:szCs w:val="24"/>
        </w:rPr>
        <w:t xml:space="preserve">, Molėtuose. Įstaiga yra ribotos turtinės atsakomybės. Pagal savo prievoles atsako savo turtu. Įstaigos metai sutampa su kalendoriniais metais. Įstaigos veikla neterminuota. Įregistruota juridinių asmenų registre 2009 m. lapkričio 19 d. </w:t>
      </w:r>
    </w:p>
    <w:p w:rsidR="00BB4AAB" w:rsidRDefault="00BB4AAB" w:rsidP="00B03F23">
      <w:pPr>
        <w:spacing w:after="0" w:line="360" w:lineRule="auto"/>
        <w:jc w:val="both"/>
        <w:rPr>
          <w:color w:val="000000"/>
          <w:sz w:val="27"/>
          <w:szCs w:val="27"/>
          <w:lang w:val="en-US"/>
        </w:rPr>
      </w:pPr>
      <w:r>
        <w:rPr>
          <w:rFonts w:ascii="Times New Roman" w:hAnsi="Times New Roman" w:cs="Times New Roman"/>
          <w:sz w:val="24"/>
          <w:szCs w:val="24"/>
        </w:rPr>
        <w:tab/>
        <w:t>L</w:t>
      </w:r>
      <w:r w:rsidR="00B03F23">
        <w:rPr>
          <w:rFonts w:ascii="Times New Roman" w:hAnsi="Times New Roman" w:cs="Times New Roman"/>
          <w:sz w:val="24"/>
          <w:szCs w:val="24"/>
        </w:rPr>
        <w:t xml:space="preserve">igoninės </w:t>
      </w:r>
      <w:r w:rsidR="00B03F23" w:rsidRPr="005B05E7">
        <w:rPr>
          <w:rFonts w:ascii="Times New Roman" w:hAnsi="Times New Roman" w:cs="Times New Roman"/>
          <w:b/>
          <w:sz w:val="24"/>
          <w:szCs w:val="24"/>
        </w:rPr>
        <w:t xml:space="preserve">vizija </w:t>
      </w:r>
      <w:r w:rsidR="00B03F23">
        <w:rPr>
          <w:rFonts w:ascii="Times New Roman" w:hAnsi="Times New Roman" w:cs="Times New Roman"/>
          <w:sz w:val="24"/>
          <w:szCs w:val="24"/>
        </w:rPr>
        <w:t>–</w:t>
      </w:r>
      <w:r>
        <w:rPr>
          <w:rFonts w:ascii="Times New Roman" w:hAnsi="Times New Roman" w:cs="Times New Roman"/>
          <w:sz w:val="24"/>
          <w:szCs w:val="24"/>
        </w:rPr>
        <w:t xml:space="preserve"> </w:t>
      </w:r>
      <w:r w:rsidRPr="00BB4AAB">
        <w:rPr>
          <w:rFonts w:ascii="Times New Roman" w:hAnsi="Times New Roman" w:cs="Times New Roman"/>
          <w:color w:val="000000"/>
          <w:sz w:val="24"/>
          <w:szCs w:val="24"/>
        </w:rPr>
        <w:t>saugi, kvalifikuota, moderni, patraukli ligoninė tiek darbuotojams, tiek pacientams, teikianti savalaikes ir kokybiškas planines bei skubias asmens sveikatos priežiūros paslaugas. Saugi ligoninė</w:t>
      </w:r>
      <w:r>
        <w:rPr>
          <w:rFonts w:ascii="Times New Roman" w:hAnsi="Times New Roman" w:cs="Times New Roman"/>
          <w:color w:val="000000"/>
          <w:sz w:val="24"/>
          <w:szCs w:val="24"/>
        </w:rPr>
        <w:t xml:space="preserve"> –</w:t>
      </w:r>
      <w:r w:rsidRPr="00BB4AAB">
        <w:rPr>
          <w:rFonts w:ascii="Times New Roman" w:hAnsi="Times New Roman" w:cs="Times New Roman"/>
          <w:color w:val="000000"/>
          <w:sz w:val="24"/>
          <w:szCs w:val="24"/>
        </w:rPr>
        <w:t xml:space="preserve"> saugus pacientas</w:t>
      </w:r>
      <w:r>
        <w:rPr>
          <w:color w:val="000000"/>
          <w:sz w:val="27"/>
          <w:szCs w:val="27"/>
        </w:rPr>
        <w:t>.</w:t>
      </w:r>
      <w:r w:rsidRPr="00BB4AAB">
        <w:rPr>
          <w:color w:val="000000"/>
          <w:sz w:val="27"/>
          <w:szCs w:val="27"/>
          <w:lang w:val="en-US"/>
        </w:rPr>
        <w:t xml:space="preserve"> </w:t>
      </w:r>
    </w:p>
    <w:p w:rsidR="00BB4AAB" w:rsidRPr="00E42FEB" w:rsidRDefault="00BB4AAB" w:rsidP="00BB4AAB">
      <w:pPr>
        <w:spacing w:after="0" w:line="360" w:lineRule="auto"/>
        <w:ind w:firstLine="1296"/>
        <w:jc w:val="both"/>
        <w:rPr>
          <w:rFonts w:ascii="Times New Roman" w:hAnsi="Times New Roman" w:cs="Times New Roman"/>
          <w:noProof/>
          <w:color w:val="000000"/>
          <w:sz w:val="24"/>
          <w:szCs w:val="24"/>
        </w:rPr>
      </w:pPr>
      <w:r w:rsidRPr="00E42FEB">
        <w:rPr>
          <w:rStyle w:val="Grietas"/>
          <w:rFonts w:ascii="Times New Roman" w:hAnsi="Times New Roman" w:cs="Times New Roman"/>
          <w:b w:val="0"/>
          <w:noProof/>
          <w:color w:val="000000"/>
          <w:sz w:val="24"/>
          <w:szCs w:val="24"/>
        </w:rPr>
        <w:t>Ligoninės</w:t>
      </w:r>
      <w:r w:rsidRPr="00E42FEB">
        <w:rPr>
          <w:rStyle w:val="Grietas"/>
          <w:rFonts w:ascii="Times New Roman" w:hAnsi="Times New Roman" w:cs="Times New Roman"/>
          <w:noProof/>
          <w:color w:val="000000"/>
          <w:sz w:val="24"/>
          <w:szCs w:val="24"/>
        </w:rPr>
        <w:t xml:space="preserve"> misija –</w:t>
      </w:r>
      <w:r w:rsidRPr="00E42FEB">
        <w:rPr>
          <w:rFonts w:ascii="Times New Roman" w:hAnsi="Times New Roman" w:cs="Times New Roman"/>
          <w:noProof/>
          <w:color w:val="000000"/>
          <w:sz w:val="24"/>
          <w:szCs w:val="24"/>
        </w:rPr>
        <w:t xml:space="preserve"> efektyviai ir racionaliai panaudojant turimus išteklius, bei keliant darbuotojų kvalifikaciją, teikti aukštos kokybės , kvalifikuotas ir saugias asmens sveikatos priežiūros paslaugas, tenkinti pacientų teisėtus poreikius ir lūkesčius gerinant paslaugų kokybę ir prieinamumą.</w:t>
      </w:r>
    </w:p>
    <w:p w:rsidR="00B03F23" w:rsidRDefault="00B03F23" w:rsidP="00B03F2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Pagrindiniai įstaigos veiklos </w:t>
      </w:r>
      <w:r w:rsidRPr="00B03F23">
        <w:rPr>
          <w:rFonts w:ascii="Times New Roman" w:hAnsi="Times New Roman" w:cs="Times New Roman"/>
          <w:b/>
          <w:sz w:val="24"/>
          <w:szCs w:val="24"/>
        </w:rPr>
        <w:t>tikslai</w:t>
      </w:r>
      <w:r>
        <w:rPr>
          <w:rFonts w:ascii="Times New Roman" w:hAnsi="Times New Roman" w:cs="Times New Roman"/>
          <w:sz w:val="24"/>
          <w:szCs w:val="24"/>
        </w:rPr>
        <w:t>:</w:t>
      </w:r>
    </w:p>
    <w:p w:rsidR="00B03F23" w:rsidRDefault="00B03F23" w:rsidP="00E42FEB">
      <w:pPr>
        <w:pStyle w:val="Sraopastraipa"/>
        <w:numPr>
          <w:ilvl w:val="0"/>
          <w:numId w:val="2"/>
        </w:numPr>
        <w:tabs>
          <w:tab w:val="left" w:pos="360"/>
          <w:tab w:val="left" w:pos="1560"/>
        </w:tabs>
        <w:spacing w:after="0" w:line="360" w:lineRule="auto"/>
        <w:ind w:left="0" w:firstLine="1276"/>
        <w:jc w:val="both"/>
        <w:rPr>
          <w:rFonts w:ascii="Times New Roman" w:hAnsi="Times New Roman" w:cs="Times New Roman"/>
          <w:sz w:val="24"/>
          <w:szCs w:val="24"/>
        </w:rPr>
      </w:pPr>
      <w:r>
        <w:rPr>
          <w:rFonts w:ascii="Times New Roman" w:hAnsi="Times New Roman" w:cs="Times New Roman"/>
          <w:sz w:val="24"/>
          <w:szCs w:val="24"/>
        </w:rPr>
        <w:t>Sergamumo ir mirtingumo rajone mažinimas, naudojant naujausius mokslo pasiekimus ir technologijas.</w:t>
      </w:r>
    </w:p>
    <w:p w:rsidR="00045B3B" w:rsidRDefault="00B03F23" w:rsidP="00E42FEB">
      <w:pPr>
        <w:pStyle w:val="Sraopastraipa"/>
        <w:numPr>
          <w:ilvl w:val="0"/>
          <w:numId w:val="2"/>
        </w:numPr>
        <w:tabs>
          <w:tab w:val="left" w:pos="1560"/>
        </w:tabs>
        <w:spacing w:after="0" w:line="360" w:lineRule="auto"/>
        <w:ind w:firstLine="556"/>
        <w:jc w:val="both"/>
        <w:rPr>
          <w:rFonts w:ascii="Times New Roman" w:hAnsi="Times New Roman" w:cs="Times New Roman"/>
          <w:sz w:val="24"/>
          <w:szCs w:val="24"/>
        </w:rPr>
      </w:pPr>
      <w:r w:rsidRPr="00045B3B">
        <w:rPr>
          <w:rFonts w:ascii="Times New Roman" w:hAnsi="Times New Roman" w:cs="Times New Roman"/>
          <w:sz w:val="24"/>
          <w:szCs w:val="24"/>
        </w:rPr>
        <w:t>Kokybiškų sveikatos priežiūros paslaugų teikimo užtikrinimas.</w:t>
      </w:r>
    </w:p>
    <w:p w:rsidR="00B03F23" w:rsidRPr="00045B3B" w:rsidRDefault="00B03F23" w:rsidP="00517840">
      <w:pPr>
        <w:pStyle w:val="Sraopastraipa"/>
        <w:numPr>
          <w:ilvl w:val="0"/>
          <w:numId w:val="2"/>
        </w:numPr>
        <w:tabs>
          <w:tab w:val="left" w:pos="1560"/>
        </w:tabs>
        <w:spacing w:after="0" w:line="360" w:lineRule="auto"/>
        <w:ind w:left="0" w:firstLine="1276"/>
        <w:jc w:val="both"/>
        <w:rPr>
          <w:rFonts w:ascii="Times New Roman" w:hAnsi="Times New Roman" w:cs="Times New Roman"/>
          <w:sz w:val="24"/>
          <w:szCs w:val="24"/>
        </w:rPr>
      </w:pPr>
      <w:r w:rsidRPr="00045B3B">
        <w:rPr>
          <w:rFonts w:ascii="Times New Roman" w:hAnsi="Times New Roman" w:cs="Times New Roman"/>
          <w:sz w:val="24"/>
          <w:szCs w:val="24"/>
        </w:rPr>
        <w:lastRenderedPageBreak/>
        <w:t>Stacionarinių paslaugų apimties mažinimas, plečiant alternatyvias veiklos formas: dienos stacionarą, pacientų stebėjimo priėmimo – skubios pagalbos skyriuje paslaugas, II lygio ambulatorinių paslaugų</w:t>
      </w:r>
      <w:r w:rsidR="00517840">
        <w:rPr>
          <w:rFonts w:ascii="Times New Roman" w:hAnsi="Times New Roman" w:cs="Times New Roman"/>
          <w:sz w:val="24"/>
          <w:szCs w:val="24"/>
        </w:rPr>
        <w:t xml:space="preserve"> </w:t>
      </w:r>
      <w:r w:rsidRPr="00045B3B">
        <w:rPr>
          <w:rFonts w:ascii="Times New Roman" w:hAnsi="Times New Roman" w:cs="Times New Roman"/>
          <w:sz w:val="24"/>
          <w:szCs w:val="24"/>
        </w:rPr>
        <w:t>plėtra.</w:t>
      </w:r>
    </w:p>
    <w:p w:rsidR="00B03F23" w:rsidRPr="005339BA" w:rsidRDefault="00B03F23" w:rsidP="00676095">
      <w:pPr>
        <w:spacing w:after="0" w:line="360" w:lineRule="auto"/>
        <w:ind w:firstLine="1296"/>
        <w:jc w:val="both"/>
        <w:rPr>
          <w:rFonts w:ascii="Times New Roman" w:hAnsi="Times New Roman" w:cs="Times New Roman"/>
          <w:color w:val="FF0000"/>
          <w:sz w:val="24"/>
          <w:szCs w:val="24"/>
        </w:rPr>
      </w:pPr>
      <w:r>
        <w:rPr>
          <w:rFonts w:ascii="Times New Roman" w:hAnsi="Times New Roman" w:cs="Times New Roman"/>
          <w:sz w:val="24"/>
          <w:szCs w:val="24"/>
        </w:rPr>
        <w:t xml:space="preserve">Įstaigos steigėjas ir vienintelis dalininkas yra Molėtų rajono savivaldybė pagal Molėtų </w:t>
      </w:r>
      <w:r w:rsidRPr="00460952">
        <w:rPr>
          <w:rFonts w:ascii="Times New Roman" w:hAnsi="Times New Roman" w:cs="Times New Roman"/>
          <w:sz w:val="24"/>
          <w:szCs w:val="24"/>
        </w:rPr>
        <w:t>rajono savivaldybės tarybos 2010 m.</w:t>
      </w:r>
      <w:r w:rsidR="00CA1385" w:rsidRPr="00460952">
        <w:rPr>
          <w:rFonts w:ascii="Times New Roman" w:hAnsi="Times New Roman" w:cs="Times New Roman"/>
          <w:sz w:val="24"/>
          <w:szCs w:val="24"/>
        </w:rPr>
        <w:t xml:space="preserve"> lapkričio 25 d. sprendimą N</w:t>
      </w:r>
      <w:r w:rsidRPr="00460952">
        <w:rPr>
          <w:rFonts w:ascii="Times New Roman" w:hAnsi="Times New Roman" w:cs="Times New Roman"/>
          <w:sz w:val="24"/>
          <w:szCs w:val="24"/>
        </w:rPr>
        <w:t>r. B1-212 „Dėl savivaldybės turto investavimo“</w:t>
      </w:r>
      <w:r w:rsidR="00CA1385" w:rsidRPr="00460952">
        <w:rPr>
          <w:rFonts w:ascii="Times New Roman" w:hAnsi="Times New Roman" w:cs="Times New Roman"/>
          <w:sz w:val="24"/>
          <w:szCs w:val="24"/>
        </w:rPr>
        <w:t xml:space="preserve">. Dalininkų kapitalas metų pradžioje sudarė – </w:t>
      </w:r>
      <w:r w:rsidR="00460952" w:rsidRPr="00460952">
        <w:rPr>
          <w:rFonts w:ascii="Times New Roman" w:hAnsi="Times New Roman"/>
          <w:sz w:val="24"/>
          <w:szCs w:val="24"/>
        </w:rPr>
        <w:t>57 924 Eur</w:t>
      </w:r>
      <w:r w:rsidR="00CA1385" w:rsidRPr="00460952">
        <w:rPr>
          <w:rFonts w:ascii="Times New Roman" w:hAnsi="Times New Roman" w:cs="Times New Roman"/>
          <w:sz w:val="24"/>
          <w:szCs w:val="24"/>
        </w:rPr>
        <w:t xml:space="preserve">., metų pabaigoje </w:t>
      </w:r>
      <w:r w:rsidR="00460952" w:rsidRPr="00460952">
        <w:rPr>
          <w:rFonts w:ascii="Times New Roman" w:hAnsi="Times New Roman"/>
          <w:sz w:val="24"/>
          <w:szCs w:val="24"/>
        </w:rPr>
        <w:t>57 924 Eur</w:t>
      </w:r>
      <w:r w:rsidR="00460952" w:rsidRPr="00460952">
        <w:rPr>
          <w:rFonts w:ascii="Times New Roman" w:hAnsi="Times New Roman" w:cs="Times New Roman"/>
          <w:sz w:val="24"/>
          <w:szCs w:val="24"/>
        </w:rPr>
        <w:t xml:space="preserve"> </w:t>
      </w:r>
      <w:r w:rsidR="00CA1385" w:rsidRPr="00460952">
        <w:rPr>
          <w:rFonts w:ascii="Times New Roman" w:hAnsi="Times New Roman" w:cs="Times New Roman"/>
          <w:sz w:val="24"/>
          <w:szCs w:val="24"/>
        </w:rPr>
        <w:t>. Dalininkų įnašų per finansinius metus nebuvo.</w:t>
      </w:r>
    </w:p>
    <w:p w:rsidR="00DD39AD" w:rsidRDefault="00DD39AD" w:rsidP="00676095">
      <w:pPr>
        <w:spacing w:after="0" w:line="360" w:lineRule="auto"/>
        <w:ind w:firstLine="1296"/>
        <w:jc w:val="both"/>
        <w:rPr>
          <w:rFonts w:ascii="Times New Roman" w:hAnsi="Times New Roman" w:cs="Times New Roman"/>
          <w:sz w:val="24"/>
          <w:szCs w:val="24"/>
        </w:rPr>
      </w:pPr>
    </w:p>
    <w:p w:rsidR="00CB6D6A" w:rsidRPr="00DD39AD" w:rsidRDefault="005339BA" w:rsidP="00676095">
      <w:pPr>
        <w:pStyle w:val="Sraopastraipa"/>
        <w:numPr>
          <w:ilvl w:val="0"/>
          <w:numId w:val="4"/>
        </w:num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2015</w:t>
      </w:r>
      <w:r w:rsidR="00DD39AD" w:rsidRPr="00DD39AD">
        <w:rPr>
          <w:rFonts w:ascii="Times New Roman" w:hAnsi="Times New Roman" w:cs="Times New Roman"/>
          <w:b/>
          <w:sz w:val="24"/>
          <w:szCs w:val="24"/>
        </w:rPr>
        <w:t xml:space="preserve"> M. SUTEIKTOS SVEIKATOS PRIEŽIŪROS PASLAUGOS</w:t>
      </w:r>
    </w:p>
    <w:p w:rsidR="00BD42C6" w:rsidRPr="004A325E" w:rsidRDefault="005B05E7" w:rsidP="00676095">
      <w:pPr>
        <w:spacing w:after="0"/>
        <w:jc w:val="both"/>
        <w:rPr>
          <w:rFonts w:ascii="Times New Roman" w:hAnsi="Times New Roman" w:cs="Times New Roman"/>
          <w:sz w:val="24"/>
          <w:szCs w:val="24"/>
        </w:rPr>
      </w:pPr>
      <w:r>
        <w:rPr>
          <w:rFonts w:ascii="Times New Roman" w:hAnsi="Times New Roman" w:cs="Times New Roman"/>
          <w:sz w:val="24"/>
          <w:szCs w:val="24"/>
        </w:rPr>
        <w:tab/>
      </w:r>
      <w:r w:rsidR="00BD42C6">
        <w:rPr>
          <w:rFonts w:ascii="Times New Roman" w:hAnsi="Times New Roman" w:cs="Times New Roman"/>
          <w:sz w:val="24"/>
          <w:szCs w:val="24"/>
        </w:rPr>
        <w:t xml:space="preserve"> </w:t>
      </w:r>
    </w:p>
    <w:p w:rsidR="009C1A53" w:rsidRDefault="005339BA" w:rsidP="00676095">
      <w:pPr>
        <w:spacing w:line="360" w:lineRule="auto"/>
        <w:ind w:firstLine="1276"/>
        <w:jc w:val="both"/>
        <w:rPr>
          <w:rFonts w:ascii="Times New Roman" w:hAnsi="Times New Roman" w:cs="Times New Roman"/>
          <w:sz w:val="24"/>
          <w:szCs w:val="24"/>
        </w:rPr>
      </w:pPr>
      <w:r>
        <w:rPr>
          <w:rFonts w:ascii="Times New Roman" w:hAnsi="Times New Roman" w:cs="Times New Roman"/>
          <w:sz w:val="24"/>
          <w:szCs w:val="24"/>
        </w:rPr>
        <w:t>2015</w:t>
      </w:r>
      <w:r w:rsidR="00DD39AD">
        <w:rPr>
          <w:rFonts w:ascii="Times New Roman" w:hAnsi="Times New Roman" w:cs="Times New Roman"/>
          <w:sz w:val="24"/>
          <w:szCs w:val="24"/>
        </w:rPr>
        <w:t xml:space="preserve"> m. Viešoji įstaiga Molėtų ligoninė teikė antrinio lygio stacionarinės asmens sveikatos priežiūros paslaugas (vidaus ligų, </w:t>
      </w:r>
      <w:r>
        <w:rPr>
          <w:rFonts w:ascii="Times New Roman" w:hAnsi="Times New Roman" w:cs="Times New Roman"/>
          <w:sz w:val="24"/>
          <w:szCs w:val="24"/>
        </w:rPr>
        <w:t xml:space="preserve">geriatrijos, </w:t>
      </w:r>
      <w:r w:rsidR="00DD39AD">
        <w:rPr>
          <w:rFonts w:ascii="Times New Roman" w:hAnsi="Times New Roman" w:cs="Times New Roman"/>
          <w:sz w:val="24"/>
          <w:szCs w:val="24"/>
        </w:rPr>
        <w:t>reanimacijos ir intensyvios terapijos I–II (suaugusiųjų))</w:t>
      </w:r>
      <w:r w:rsidR="00257190">
        <w:rPr>
          <w:rFonts w:ascii="Times New Roman" w:hAnsi="Times New Roman" w:cs="Times New Roman"/>
          <w:sz w:val="24"/>
          <w:szCs w:val="24"/>
        </w:rPr>
        <w:t>,</w:t>
      </w:r>
      <w:r w:rsidR="00DD39AD">
        <w:rPr>
          <w:rFonts w:ascii="Times New Roman" w:hAnsi="Times New Roman" w:cs="Times New Roman"/>
          <w:sz w:val="24"/>
          <w:szCs w:val="24"/>
        </w:rPr>
        <w:t xml:space="preserve"> </w:t>
      </w:r>
      <w:r w:rsidR="00257190">
        <w:rPr>
          <w:rFonts w:ascii="Times New Roman" w:hAnsi="Times New Roman" w:cs="Times New Roman"/>
          <w:sz w:val="24"/>
          <w:szCs w:val="24"/>
        </w:rPr>
        <w:t xml:space="preserve">antrinio lygio </w:t>
      </w:r>
      <w:r w:rsidR="00DD39AD">
        <w:rPr>
          <w:rFonts w:ascii="Times New Roman" w:hAnsi="Times New Roman" w:cs="Times New Roman"/>
          <w:sz w:val="24"/>
          <w:szCs w:val="24"/>
        </w:rPr>
        <w:t>ambulat</w:t>
      </w:r>
      <w:r w:rsidR="00257190">
        <w:rPr>
          <w:rFonts w:ascii="Times New Roman" w:hAnsi="Times New Roman" w:cs="Times New Roman"/>
          <w:sz w:val="24"/>
          <w:szCs w:val="24"/>
        </w:rPr>
        <w:t>o</w:t>
      </w:r>
      <w:r w:rsidR="00DD39AD">
        <w:rPr>
          <w:rFonts w:ascii="Times New Roman" w:hAnsi="Times New Roman" w:cs="Times New Roman"/>
          <w:sz w:val="24"/>
          <w:szCs w:val="24"/>
        </w:rPr>
        <w:t xml:space="preserve">rines </w:t>
      </w:r>
      <w:r w:rsidR="00257190">
        <w:rPr>
          <w:rFonts w:ascii="Times New Roman" w:hAnsi="Times New Roman" w:cs="Times New Roman"/>
          <w:sz w:val="24"/>
          <w:szCs w:val="24"/>
        </w:rPr>
        <w:t>paslaugas (neurologijos,</w:t>
      </w:r>
      <w:r w:rsidR="00676095">
        <w:rPr>
          <w:rFonts w:ascii="Times New Roman" w:hAnsi="Times New Roman" w:cs="Times New Roman"/>
          <w:sz w:val="24"/>
          <w:szCs w:val="24"/>
        </w:rPr>
        <w:t xml:space="preserve"> kardiologijos, endokrinologijos, pulmonologijos, dermatovenerologijos, oftalmologijos, otorinolarongologijos, ortopedijos ir traumatologijos, fizinės medicinos ir reabilitacijos, anesteziologijos ir reanimatologijos, akušerijos ir ginekologijos, urologijos, chirurgijos, radiologijos, echoskopijos, endoskopijos)</w:t>
      </w:r>
      <w:r w:rsidR="00DD39AD">
        <w:rPr>
          <w:rFonts w:ascii="Times New Roman" w:hAnsi="Times New Roman" w:cs="Times New Roman"/>
          <w:sz w:val="24"/>
          <w:szCs w:val="24"/>
        </w:rPr>
        <w:t xml:space="preserve">, </w:t>
      </w:r>
      <w:r w:rsidR="00257190">
        <w:rPr>
          <w:rFonts w:ascii="Times New Roman" w:hAnsi="Times New Roman" w:cs="Times New Roman"/>
          <w:sz w:val="24"/>
          <w:szCs w:val="24"/>
        </w:rPr>
        <w:t>pirminio lygio stacionarines asmens sveikatos priežiūros paslaugas (slaugos ir palaikomojo gydymo)</w:t>
      </w:r>
      <w:r w:rsidR="00676095">
        <w:rPr>
          <w:rFonts w:ascii="Times New Roman" w:hAnsi="Times New Roman" w:cs="Times New Roman"/>
          <w:sz w:val="24"/>
          <w:szCs w:val="24"/>
        </w:rPr>
        <w:t>, bendrąsias asmens sveikatos priežiūros paslaugas (</w:t>
      </w:r>
      <w:r w:rsidR="00DD39AD">
        <w:rPr>
          <w:rFonts w:ascii="Times New Roman" w:hAnsi="Times New Roman" w:cs="Times New Roman"/>
          <w:sz w:val="24"/>
          <w:szCs w:val="24"/>
        </w:rPr>
        <w:t xml:space="preserve">dienos chirurgijos, </w:t>
      </w:r>
      <w:r w:rsidR="00676095">
        <w:rPr>
          <w:rFonts w:ascii="Times New Roman" w:hAnsi="Times New Roman" w:cs="Times New Roman"/>
          <w:sz w:val="24"/>
          <w:szCs w:val="24"/>
        </w:rPr>
        <w:t>laboratorinės diagnostikos</w:t>
      </w:r>
      <w:r w:rsidR="00196958">
        <w:rPr>
          <w:rFonts w:ascii="Times New Roman" w:hAnsi="Times New Roman" w:cs="Times New Roman"/>
          <w:sz w:val="24"/>
          <w:szCs w:val="24"/>
        </w:rPr>
        <w:t xml:space="preserve">, </w:t>
      </w:r>
      <w:r w:rsidR="00196958" w:rsidRPr="00544D1B">
        <w:rPr>
          <w:rFonts w:ascii="Times New Roman" w:hAnsi="Times New Roman" w:cs="Times New Roman"/>
          <w:sz w:val="24"/>
          <w:szCs w:val="24"/>
        </w:rPr>
        <w:t>dienos stacionaro</w:t>
      </w:r>
      <w:r w:rsidR="00676095" w:rsidRPr="00544D1B">
        <w:rPr>
          <w:rFonts w:ascii="Times New Roman" w:hAnsi="Times New Roman" w:cs="Times New Roman"/>
          <w:sz w:val="24"/>
          <w:szCs w:val="24"/>
        </w:rPr>
        <w:t>)</w:t>
      </w:r>
      <w:r w:rsidR="00196958" w:rsidRPr="00544D1B">
        <w:rPr>
          <w:rFonts w:ascii="Times New Roman" w:hAnsi="Times New Roman" w:cs="Times New Roman"/>
          <w:sz w:val="24"/>
          <w:szCs w:val="24"/>
        </w:rPr>
        <w:t>, priėmimo-skubios pagalbos</w:t>
      </w:r>
      <w:r w:rsidR="00DD39AD">
        <w:rPr>
          <w:rFonts w:ascii="Times New Roman" w:hAnsi="Times New Roman" w:cs="Times New Roman"/>
          <w:sz w:val="24"/>
          <w:szCs w:val="24"/>
        </w:rPr>
        <w:t xml:space="preserve"> ir dantų protezavimo paslaugas Molėtų rajono ir kitiems Lietuvos Respublikos gyventojams.</w:t>
      </w:r>
    </w:p>
    <w:p w:rsidR="00676095" w:rsidRDefault="00676095" w:rsidP="00676095">
      <w:pPr>
        <w:spacing w:line="360" w:lineRule="auto"/>
        <w:ind w:firstLine="1276"/>
        <w:jc w:val="both"/>
        <w:rPr>
          <w:rFonts w:ascii="Times New Roman" w:hAnsi="Times New Roman" w:cs="Times New Roman"/>
          <w:sz w:val="24"/>
          <w:szCs w:val="24"/>
        </w:rPr>
      </w:pPr>
      <w:r>
        <w:rPr>
          <w:rFonts w:ascii="Times New Roman" w:hAnsi="Times New Roman" w:cs="Times New Roman"/>
          <w:sz w:val="24"/>
          <w:szCs w:val="24"/>
        </w:rPr>
        <w:t>Įstaiga paslaugas teikė pagal sudarytas asmens sveikatos priežiūros paslaugų teikimo ir apmokėjimo iš privalomojo sveikatos draudimo fondo biudžeto</w:t>
      </w:r>
      <w:r w:rsidR="002B1975">
        <w:rPr>
          <w:rFonts w:ascii="Times New Roman" w:hAnsi="Times New Roman" w:cs="Times New Roman"/>
          <w:sz w:val="24"/>
          <w:szCs w:val="24"/>
        </w:rPr>
        <w:t xml:space="preserve"> (PSDF) sutartis su Panevėžio, Vilniaus, Klaipėdos, Kauno, Šiaulių teritorinėmis kasomis.</w:t>
      </w:r>
    </w:p>
    <w:p w:rsidR="002B1975" w:rsidRPr="00772E78" w:rsidRDefault="005339BA" w:rsidP="005339BA">
      <w:pPr>
        <w:pStyle w:val="Sraopastraipa"/>
        <w:spacing w:line="360" w:lineRule="auto"/>
        <w:ind w:left="1756" w:hanging="480"/>
        <w:jc w:val="both"/>
        <w:rPr>
          <w:rFonts w:ascii="Times New Roman" w:hAnsi="Times New Roman" w:cs="Times New Roman"/>
          <w:sz w:val="24"/>
          <w:szCs w:val="24"/>
        </w:rPr>
      </w:pPr>
      <w:r>
        <w:rPr>
          <w:rFonts w:ascii="Times New Roman" w:hAnsi="Times New Roman" w:cs="Times New Roman"/>
          <w:sz w:val="24"/>
          <w:szCs w:val="24"/>
        </w:rPr>
        <w:t>2015 metais</w:t>
      </w:r>
      <w:r w:rsidR="002B1975" w:rsidRPr="00772E78">
        <w:rPr>
          <w:rFonts w:ascii="Times New Roman" w:hAnsi="Times New Roman" w:cs="Times New Roman"/>
          <w:sz w:val="24"/>
          <w:szCs w:val="24"/>
        </w:rPr>
        <w:t xml:space="preserve"> suteikėme asmens sveikatos priežiūros paslaugų, apmokamų iš PSDF už:</w:t>
      </w:r>
    </w:p>
    <w:p w:rsidR="002B1975" w:rsidRPr="007E4CDA" w:rsidRDefault="00772E78" w:rsidP="007E4CDA">
      <w:pPr>
        <w:pStyle w:val="Sraopastraipa"/>
        <w:numPr>
          <w:ilvl w:val="0"/>
          <w:numId w:val="5"/>
        </w:numPr>
        <w:spacing w:line="360" w:lineRule="auto"/>
        <w:jc w:val="both"/>
        <w:rPr>
          <w:rFonts w:ascii="Times New Roman" w:hAnsi="Times New Roman"/>
          <w:sz w:val="24"/>
          <w:szCs w:val="24"/>
        </w:rPr>
      </w:pPr>
      <w:r w:rsidRPr="00CF28EB">
        <w:rPr>
          <w:rFonts w:ascii="Times New Roman" w:hAnsi="Times New Roman" w:cs="Times New Roman"/>
          <w:sz w:val="24"/>
          <w:szCs w:val="24"/>
        </w:rPr>
        <w:t>A</w:t>
      </w:r>
      <w:r w:rsidR="002B1975" w:rsidRPr="00CF28EB">
        <w:rPr>
          <w:rFonts w:ascii="Times New Roman" w:hAnsi="Times New Roman" w:cs="Times New Roman"/>
          <w:sz w:val="24"/>
          <w:szCs w:val="24"/>
        </w:rPr>
        <w:t xml:space="preserve">mbulatorinės </w:t>
      </w:r>
      <w:r w:rsidRPr="00CF28EB">
        <w:rPr>
          <w:rFonts w:ascii="Times New Roman" w:hAnsi="Times New Roman" w:cs="Times New Roman"/>
          <w:sz w:val="24"/>
          <w:szCs w:val="24"/>
        </w:rPr>
        <w:t xml:space="preserve">specializuotos asmens sveikatos priežiūros </w:t>
      </w:r>
      <w:r w:rsidR="002B1975" w:rsidRPr="00CF28EB">
        <w:rPr>
          <w:rFonts w:ascii="Times New Roman" w:hAnsi="Times New Roman" w:cs="Times New Roman"/>
          <w:sz w:val="24"/>
          <w:szCs w:val="24"/>
        </w:rPr>
        <w:t xml:space="preserve">paslaugos – </w:t>
      </w:r>
      <w:r w:rsidR="007E4CDA" w:rsidRPr="004F3966">
        <w:rPr>
          <w:rFonts w:ascii="Times New Roman" w:hAnsi="Times New Roman"/>
          <w:sz w:val="24"/>
          <w:szCs w:val="24"/>
        </w:rPr>
        <w:t>457 307 Eur</w:t>
      </w:r>
      <w:r w:rsidR="007E4CDA">
        <w:rPr>
          <w:rFonts w:ascii="Times New Roman" w:hAnsi="Times New Roman"/>
          <w:sz w:val="24"/>
          <w:szCs w:val="24"/>
        </w:rPr>
        <w:t>.</w:t>
      </w:r>
    </w:p>
    <w:p w:rsidR="007E4CDA" w:rsidRPr="004F3966" w:rsidRDefault="007E4CDA" w:rsidP="007E4CDA">
      <w:pPr>
        <w:pStyle w:val="Sraopastraipa"/>
        <w:numPr>
          <w:ilvl w:val="0"/>
          <w:numId w:val="5"/>
        </w:numPr>
        <w:spacing w:line="360" w:lineRule="auto"/>
        <w:jc w:val="both"/>
        <w:rPr>
          <w:rFonts w:ascii="Times New Roman" w:hAnsi="Times New Roman"/>
          <w:sz w:val="24"/>
          <w:szCs w:val="24"/>
        </w:rPr>
      </w:pPr>
      <w:r w:rsidRPr="004F3966">
        <w:rPr>
          <w:rFonts w:ascii="Times New Roman" w:hAnsi="Times New Roman"/>
          <w:sz w:val="24"/>
          <w:szCs w:val="24"/>
        </w:rPr>
        <w:t>Dienos stacionaro paslaugos – 14 578 Eur</w:t>
      </w:r>
    </w:p>
    <w:p w:rsidR="007E4CDA" w:rsidRPr="004F3966" w:rsidRDefault="007E4CDA" w:rsidP="007E4CDA">
      <w:pPr>
        <w:pStyle w:val="Sraopastraipa"/>
        <w:numPr>
          <w:ilvl w:val="0"/>
          <w:numId w:val="5"/>
        </w:numPr>
        <w:spacing w:line="360" w:lineRule="auto"/>
        <w:jc w:val="both"/>
        <w:rPr>
          <w:rFonts w:ascii="Times New Roman" w:hAnsi="Times New Roman"/>
          <w:sz w:val="24"/>
          <w:szCs w:val="24"/>
        </w:rPr>
      </w:pPr>
      <w:r w:rsidRPr="004F3966">
        <w:rPr>
          <w:rFonts w:ascii="Times New Roman" w:hAnsi="Times New Roman"/>
          <w:sz w:val="24"/>
          <w:szCs w:val="24"/>
        </w:rPr>
        <w:t>Stebėjimo paslaugos – 54 951 Eur</w:t>
      </w:r>
    </w:p>
    <w:p w:rsidR="007E4CDA" w:rsidRPr="004F3966" w:rsidRDefault="007E4CDA" w:rsidP="007E4CDA">
      <w:pPr>
        <w:pStyle w:val="Sraopastraipa"/>
        <w:numPr>
          <w:ilvl w:val="0"/>
          <w:numId w:val="5"/>
        </w:numPr>
        <w:spacing w:line="360" w:lineRule="auto"/>
        <w:jc w:val="both"/>
        <w:rPr>
          <w:rFonts w:ascii="Times New Roman" w:hAnsi="Times New Roman"/>
          <w:sz w:val="24"/>
          <w:szCs w:val="24"/>
        </w:rPr>
      </w:pPr>
      <w:r w:rsidRPr="004F3966">
        <w:rPr>
          <w:rFonts w:ascii="Times New Roman" w:hAnsi="Times New Roman"/>
          <w:sz w:val="24"/>
          <w:szCs w:val="24"/>
        </w:rPr>
        <w:t>Dienos chirurgijos paslaugos – 9 610 Eur</w:t>
      </w:r>
    </w:p>
    <w:p w:rsidR="007E4CDA" w:rsidRPr="004F3966" w:rsidRDefault="007E4CDA" w:rsidP="007E4CDA">
      <w:pPr>
        <w:pStyle w:val="Sraopastraipa"/>
        <w:numPr>
          <w:ilvl w:val="0"/>
          <w:numId w:val="5"/>
        </w:numPr>
        <w:spacing w:line="360" w:lineRule="auto"/>
        <w:jc w:val="both"/>
        <w:rPr>
          <w:rFonts w:ascii="Times New Roman" w:hAnsi="Times New Roman"/>
          <w:sz w:val="24"/>
          <w:szCs w:val="24"/>
        </w:rPr>
      </w:pPr>
      <w:r w:rsidRPr="004F3966">
        <w:rPr>
          <w:rFonts w:ascii="Times New Roman" w:hAnsi="Times New Roman"/>
          <w:sz w:val="24"/>
          <w:szCs w:val="24"/>
        </w:rPr>
        <w:t>Priėmimo skubios pagalbos ir specializuotų ambulatorinių chirurgijos paslaugos (finansavimas pagal sąmatas) – 60 000 Eur</w:t>
      </w:r>
    </w:p>
    <w:p w:rsidR="007E4CDA" w:rsidRPr="004F3966" w:rsidRDefault="007E4CDA" w:rsidP="007E4CDA">
      <w:pPr>
        <w:pStyle w:val="Sraopastraipa"/>
        <w:numPr>
          <w:ilvl w:val="0"/>
          <w:numId w:val="5"/>
        </w:numPr>
        <w:spacing w:line="360" w:lineRule="auto"/>
        <w:jc w:val="both"/>
        <w:rPr>
          <w:rFonts w:ascii="Times New Roman" w:hAnsi="Times New Roman"/>
          <w:sz w:val="24"/>
          <w:szCs w:val="24"/>
        </w:rPr>
      </w:pPr>
      <w:r w:rsidRPr="004F3966">
        <w:rPr>
          <w:rFonts w:ascii="Times New Roman" w:hAnsi="Times New Roman"/>
          <w:sz w:val="24"/>
          <w:szCs w:val="24"/>
        </w:rPr>
        <w:t>Ambulatorinės chirurgijos paslaugos – 4 289 Eur</w:t>
      </w:r>
    </w:p>
    <w:p w:rsidR="007E4CDA" w:rsidRPr="004F3966" w:rsidRDefault="007E4CDA" w:rsidP="007E4CDA">
      <w:pPr>
        <w:pStyle w:val="Sraopastraipa"/>
        <w:numPr>
          <w:ilvl w:val="0"/>
          <w:numId w:val="5"/>
        </w:numPr>
        <w:spacing w:line="360" w:lineRule="auto"/>
        <w:jc w:val="both"/>
        <w:rPr>
          <w:rFonts w:ascii="Times New Roman" w:hAnsi="Times New Roman"/>
          <w:sz w:val="24"/>
          <w:szCs w:val="24"/>
        </w:rPr>
      </w:pPr>
      <w:r w:rsidRPr="004F3966">
        <w:rPr>
          <w:rFonts w:ascii="Times New Roman" w:hAnsi="Times New Roman"/>
          <w:sz w:val="24"/>
          <w:szCs w:val="24"/>
        </w:rPr>
        <w:t>Stacionarinės asmens sveikatos priežiūros paslaugos –  585 718 Eur</w:t>
      </w:r>
    </w:p>
    <w:p w:rsidR="007E4CDA" w:rsidRPr="004F3966" w:rsidRDefault="007E4CDA" w:rsidP="007E4CDA">
      <w:pPr>
        <w:pStyle w:val="Sraopastraipa"/>
        <w:numPr>
          <w:ilvl w:val="0"/>
          <w:numId w:val="5"/>
        </w:numPr>
        <w:spacing w:line="360" w:lineRule="auto"/>
        <w:jc w:val="both"/>
        <w:rPr>
          <w:rFonts w:ascii="Times New Roman" w:hAnsi="Times New Roman"/>
          <w:sz w:val="24"/>
          <w:szCs w:val="24"/>
        </w:rPr>
      </w:pPr>
      <w:r w:rsidRPr="004F3966">
        <w:rPr>
          <w:rFonts w:ascii="Times New Roman" w:hAnsi="Times New Roman"/>
          <w:sz w:val="24"/>
          <w:szCs w:val="24"/>
        </w:rPr>
        <w:t>Slaugos ir palaikomojo gydymo paslaugos – 334 876 Eur</w:t>
      </w:r>
    </w:p>
    <w:p w:rsidR="007E4CDA" w:rsidRPr="004F3966" w:rsidRDefault="007E4CDA" w:rsidP="007E4CDA">
      <w:pPr>
        <w:pStyle w:val="Sraopastraipa"/>
        <w:numPr>
          <w:ilvl w:val="0"/>
          <w:numId w:val="5"/>
        </w:numPr>
        <w:spacing w:line="360" w:lineRule="auto"/>
        <w:jc w:val="both"/>
        <w:rPr>
          <w:rFonts w:ascii="Times New Roman" w:hAnsi="Times New Roman"/>
          <w:sz w:val="24"/>
          <w:szCs w:val="24"/>
        </w:rPr>
      </w:pPr>
      <w:r w:rsidRPr="004F3966">
        <w:rPr>
          <w:rFonts w:ascii="Times New Roman" w:hAnsi="Times New Roman"/>
          <w:sz w:val="24"/>
          <w:szCs w:val="24"/>
        </w:rPr>
        <w:t>Dantų protezavimo paslaugos – 19 020 Eur</w:t>
      </w:r>
    </w:p>
    <w:p w:rsidR="007E4CDA" w:rsidRDefault="007E4CDA" w:rsidP="007E4CDA">
      <w:pPr>
        <w:spacing w:line="360" w:lineRule="auto"/>
        <w:ind w:left="1276"/>
        <w:jc w:val="both"/>
        <w:rPr>
          <w:rFonts w:ascii="Times New Roman" w:hAnsi="Times New Roman"/>
          <w:b/>
          <w:sz w:val="24"/>
          <w:szCs w:val="24"/>
          <w:u w:val="single"/>
        </w:rPr>
      </w:pPr>
      <w:r w:rsidRPr="00A82B4D">
        <w:rPr>
          <w:rFonts w:ascii="Times New Roman" w:hAnsi="Times New Roman"/>
          <w:b/>
          <w:sz w:val="24"/>
          <w:szCs w:val="24"/>
          <w:u w:val="single"/>
        </w:rPr>
        <w:lastRenderedPageBreak/>
        <w:t>Iš</w:t>
      </w:r>
      <w:r>
        <w:rPr>
          <w:rFonts w:ascii="Times New Roman" w:hAnsi="Times New Roman"/>
          <w:b/>
          <w:sz w:val="24"/>
          <w:szCs w:val="24"/>
          <w:u w:val="single"/>
        </w:rPr>
        <w:t xml:space="preserve"> </w:t>
      </w:r>
      <w:r w:rsidRPr="00A82B4D">
        <w:rPr>
          <w:rFonts w:ascii="Times New Roman" w:hAnsi="Times New Roman"/>
          <w:b/>
          <w:sz w:val="24"/>
          <w:szCs w:val="24"/>
          <w:u w:val="single"/>
        </w:rPr>
        <w:t xml:space="preserve">viso </w:t>
      </w:r>
      <w:r>
        <w:rPr>
          <w:rFonts w:ascii="Times New Roman" w:hAnsi="Times New Roman"/>
          <w:b/>
          <w:sz w:val="24"/>
          <w:szCs w:val="24"/>
          <w:u w:val="single"/>
        </w:rPr>
        <w:t>už paslaugas</w:t>
      </w:r>
      <w:r w:rsidRPr="00A82B4D">
        <w:rPr>
          <w:rFonts w:ascii="Times New Roman" w:hAnsi="Times New Roman"/>
          <w:b/>
          <w:sz w:val="24"/>
          <w:szCs w:val="24"/>
          <w:u w:val="single"/>
        </w:rPr>
        <w:t xml:space="preserve"> iš PSDF biudžeto – </w:t>
      </w:r>
      <w:r w:rsidRPr="004F3966">
        <w:rPr>
          <w:rFonts w:ascii="Times New Roman" w:hAnsi="Times New Roman"/>
          <w:b/>
          <w:sz w:val="24"/>
          <w:szCs w:val="24"/>
          <w:u w:val="single"/>
        </w:rPr>
        <w:t>1 540 349 Eur</w:t>
      </w:r>
      <w:r>
        <w:rPr>
          <w:rFonts w:ascii="Times New Roman" w:hAnsi="Times New Roman"/>
          <w:b/>
          <w:sz w:val="24"/>
          <w:szCs w:val="24"/>
          <w:u w:val="single"/>
        </w:rPr>
        <w:t>.</w:t>
      </w:r>
    </w:p>
    <w:p w:rsidR="007E4CDA" w:rsidRPr="007E4CDA" w:rsidRDefault="007E4CDA" w:rsidP="007E4CDA">
      <w:pPr>
        <w:spacing w:line="360" w:lineRule="auto"/>
        <w:ind w:firstLine="1276"/>
        <w:jc w:val="both"/>
        <w:rPr>
          <w:rFonts w:ascii="Times New Roman" w:hAnsi="Times New Roman"/>
          <w:sz w:val="24"/>
          <w:szCs w:val="24"/>
        </w:rPr>
      </w:pPr>
      <w:r w:rsidRPr="007E4CDA">
        <w:rPr>
          <w:rFonts w:ascii="Times New Roman" w:hAnsi="Times New Roman"/>
          <w:sz w:val="24"/>
          <w:szCs w:val="24"/>
        </w:rPr>
        <w:t>2015 m. asmens sveikatos priežiūros paslaugų finansuojamų iš PSDF biudžeto  suteikta  (apmokėta) 47 399 Eur daugiau negu 2014 m.</w:t>
      </w:r>
    </w:p>
    <w:p w:rsidR="002B1975" w:rsidRPr="0015671F" w:rsidRDefault="0015671F" w:rsidP="002B1975">
      <w:pPr>
        <w:spacing w:line="360" w:lineRule="auto"/>
        <w:ind w:firstLine="1276"/>
        <w:jc w:val="both"/>
        <w:rPr>
          <w:rFonts w:ascii="Times New Roman" w:hAnsi="Times New Roman" w:cs="Times New Roman"/>
          <w:color w:val="FF0000"/>
          <w:sz w:val="24"/>
          <w:szCs w:val="24"/>
        </w:rPr>
      </w:pPr>
      <w:r>
        <w:rPr>
          <w:rFonts w:ascii="Times New Roman" w:hAnsi="Times New Roman" w:cs="Times New Roman"/>
          <w:sz w:val="24"/>
          <w:szCs w:val="24"/>
        </w:rPr>
        <w:t>VšĮ Molėtų ligoninė 2015</w:t>
      </w:r>
      <w:r w:rsidR="002B1975" w:rsidRPr="00CF28EB">
        <w:rPr>
          <w:rFonts w:ascii="Times New Roman" w:hAnsi="Times New Roman" w:cs="Times New Roman"/>
          <w:sz w:val="24"/>
          <w:szCs w:val="24"/>
        </w:rPr>
        <w:t xml:space="preserve"> m. suteikė reglamentuotų mokamų paslaugų už</w:t>
      </w:r>
      <w:r w:rsidR="00C1785F" w:rsidRPr="00CF28EB">
        <w:rPr>
          <w:rFonts w:ascii="Times New Roman" w:hAnsi="Times New Roman" w:cs="Times New Roman"/>
          <w:sz w:val="24"/>
          <w:szCs w:val="24"/>
        </w:rPr>
        <w:t xml:space="preserve"> </w:t>
      </w:r>
      <w:r w:rsidR="007E4CDA" w:rsidRPr="00402994">
        <w:rPr>
          <w:rFonts w:ascii="Times New Roman" w:hAnsi="Times New Roman"/>
          <w:sz w:val="24"/>
          <w:szCs w:val="24"/>
        </w:rPr>
        <w:t>54 806 Eur</w:t>
      </w:r>
      <w:r w:rsidR="007E4CDA">
        <w:rPr>
          <w:rFonts w:ascii="Times New Roman" w:hAnsi="Times New Roman"/>
          <w:sz w:val="24"/>
          <w:szCs w:val="24"/>
        </w:rPr>
        <w:t xml:space="preserve">, iš kurių </w:t>
      </w:r>
      <w:r w:rsidR="007E4CDA" w:rsidRPr="00CF28EB">
        <w:rPr>
          <w:rFonts w:ascii="Times New Roman" w:hAnsi="Times New Roman"/>
          <w:sz w:val="24"/>
          <w:szCs w:val="24"/>
        </w:rPr>
        <w:t xml:space="preserve">didžiausią dalį mokamų paslaugų sudaro </w:t>
      </w:r>
      <w:r w:rsidR="007E4CDA" w:rsidRPr="00402994">
        <w:rPr>
          <w:rFonts w:ascii="Times New Roman" w:hAnsi="Times New Roman"/>
          <w:sz w:val="24"/>
          <w:szCs w:val="24"/>
        </w:rPr>
        <w:t>dantų protezavimo paslaugos – 44</w:t>
      </w:r>
      <w:r w:rsidR="007E4CDA">
        <w:rPr>
          <w:rFonts w:ascii="Times New Roman" w:hAnsi="Times New Roman"/>
          <w:sz w:val="24"/>
          <w:szCs w:val="24"/>
        </w:rPr>
        <w:t> </w:t>
      </w:r>
      <w:r w:rsidR="007E4CDA" w:rsidRPr="00402994">
        <w:rPr>
          <w:rFonts w:ascii="Times New Roman" w:hAnsi="Times New Roman"/>
          <w:sz w:val="24"/>
          <w:szCs w:val="24"/>
        </w:rPr>
        <w:t>691</w:t>
      </w:r>
      <w:r w:rsidR="007E4CDA">
        <w:rPr>
          <w:rFonts w:ascii="Times New Roman" w:hAnsi="Times New Roman"/>
          <w:sz w:val="24"/>
          <w:szCs w:val="24"/>
        </w:rPr>
        <w:t xml:space="preserve"> </w:t>
      </w:r>
      <w:r w:rsidR="007E4CDA" w:rsidRPr="00402994">
        <w:rPr>
          <w:rFonts w:ascii="Times New Roman" w:hAnsi="Times New Roman"/>
          <w:sz w:val="24"/>
          <w:szCs w:val="24"/>
        </w:rPr>
        <w:t>Eur.</w:t>
      </w:r>
    </w:p>
    <w:p w:rsidR="007E4CDA" w:rsidRPr="00402994" w:rsidRDefault="007E4CDA" w:rsidP="007E4CDA">
      <w:pPr>
        <w:spacing w:after="0" w:line="360" w:lineRule="auto"/>
        <w:ind w:firstLine="1276"/>
        <w:jc w:val="both"/>
        <w:rPr>
          <w:rFonts w:ascii="Times New Roman" w:hAnsi="Times New Roman"/>
          <w:sz w:val="24"/>
          <w:szCs w:val="24"/>
        </w:rPr>
      </w:pPr>
      <w:r w:rsidRPr="00402994">
        <w:rPr>
          <w:rFonts w:ascii="Times New Roman" w:hAnsi="Times New Roman"/>
          <w:sz w:val="24"/>
          <w:szCs w:val="24"/>
        </w:rPr>
        <w:t>Kitos mokamos asmens sveikatos priežiūros paslaugos sudaro 7 479 Eur.</w:t>
      </w:r>
      <w:r w:rsidRPr="0015671F">
        <w:rPr>
          <w:rFonts w:ascii="Times New Roman" w:hAnsi="Times New Roman"/>
          <w:color w:val="FF0000"/>
          <w:sz w:val="24"/>
          <w:szCs w:val="24"/>
        </w:rPr>
        <w:t xml:space="preserve"> </w:t>
      </w:r>
      <w:r w:rsidRPr="00402994">
        <w:rPr>
          <w:rFonts w:ascii="Times New Roman" w:hAnsi="Times New Roman"/>
          <w:sz w:val="24"/>
          <w:szCs w:val="24"/>
        </w:rPr>
        <w:t>Tai pajamos už rentgeno paslaugas, priėmimo – skubios pagalbos mokamas paslaugas, laboratorinių tyrimų paslaugos, fizioterapijos ir masažo teikiamos paslaugos, ginekologinės paslaugos, profilaktinių tikrinimų paslaugos ir kitos mokamos paslaugos. 2015 m. lyginant su 2014 m. mokamų paslaugų  sumažėjo 11 %.</w:t>
      </w:r>
    </w:p>
    <w:p w:rsidR="006646D4" w:rsidRDefault="002D296E" w:rsidP="005A33D0">
      <w:pPr>
        <w:pStyle w:val="Sraopastraipa"/>
        <w:numPr>
          <w:ilvl w:val="0"/>
          <w:numId w:val="4"/>
        </w:numPr>
        <w:spacing w:after="0" w:line="360" w:lineRule="auto"/>
        <w:jc w:val="center"/>
        <w:rPr>
          <w:rFonts w:ascii="Times New Roman" w:hAnsi="Times New Roman" w:cs="Times New Roman"/>
          <w:b/>
          <w:sz w:val="24"/>
          <w:szCs w:val="24"/>
        </w:rPr>
      </w:pPr>
      <w:r w:rsidRPr="002D296E">
        <w:rPr>
          <w:rFonts w:ascii="Times New Roman" w:hAnsi="Times New Roman" w:cs="Times New Roman"/>
          <w:b/>
          <w:sz w:val="24"/>
          <w:szCs w:val="24"/>
        </w:rPr>
        <w:t>VYKDYTI PROJEKTAI</w:t>
      </w:r>
    </w:p>
    <w:p w:rsidR="00337A13" w:rsidRDefault="00337A13" w:rsidP="00724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iCs/>
          <w:color w:val="FF0000"/>
          <w:sz w:val="24"/>
          <w:szCs w:val="24"/>
        </w:rPr>
      </w:pPr>
    </w:p>
    <w:p w:rsidR="00724221" w:rsidRPr="005A33D0" w:rsidRDefault="00724221" w:rsidP="00724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iCs/>
          <w:sz w:val="24"/>
          <w:szCs w:val="24"/>
        </w:rPr>
      </w:pPr>
      <w:r>
        <w:rPr>
          <w:rFonts w:ascii="Times New Roman" w:hAnsi="Times New Roman"/>
          <w:iCs/>
          <w:color w:val="FF0000"/>
          <w:sz w:val="24"/>
          <w:szCs w:val="24"/>
        </w:rPr>
        <w:tab/>
      </w:r>
      <w:r w:rsidRPr="005A33D0">
        <w:rPr>
          <w:rFonts w:ascii="Times New Roman" w:hAnsi="Times New Roman"/>
          <w:iCs/>
          <w:sz w:val="24"/>
          <w:szCs w:val="24"/>
        </w:rPr>
        <w:t>Valstybės investicijų 2014-2017 metų programai</w:t>
      </w:r>
      <w:r w:rsidRPr="005A33D0">
        <w:rPr>
          <w:rFonts w:ascii="Times New Roman" w:eastAsia="Times New Roman" w:hAnsi="Times New Roman"/>
          <w:sz w:val="24"/>
          <w:szCs w:val="24"/>
          <w:lang w:eastAsia="lt-LT"/>
        </w:rPr>
        <w:t xml:space="preserve"> (valstybės kapitalo investicijų paskirstymui) VšĮ Molėtų ligoninė pateikė projektą </w:t>
      </w:r>
      <w:r w:rsidRPr="005A33D0">
        <w:rPr>
          <w:rFonts w:ascii="Times New Roman" w:hAnsi="Times New Roman"/>
          <w:iCs/>
          <w:sz w:val="24"/>
          <w:szCs w:val="24"/>
        </w:rPr>
        <w:t xml:space="preserve">„Paslaugų kokybės ir prieinamumo gerinimas VšĮ Molėtų ligoninė Vidaus ligų bei Fizinės medicinos ir reabilitacijos skyriuose“, kuris buvo patvirtintas ir jau per 2014 m. ir 2015 m. atlikta rangos darbų už 219245,00 eurų bei įsigyta įrangos už 38998,30 eurų (2015 m.).  </w:t>
      </w:r>
    </w:p>
    <w:p w:rsidR="00724221" w:rsidRDefault="00724221" w:rsidP="00724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iCs/>
          <w:sz w:val="24"/>
          <w:szCs w:val="24"/>
        </w:rPr>
      </w:pPr>
      <w:r w:rsidRPr="005A33D0">
        <w:rPr>
          <w:rFonts w:ascii="Times New Roman" w:hAnsi="Times New Roman"/>
          <w:iCs/>
          <w:sz w:val="24"/>
          <w:szCs w:val="24"/>
        </w:rPr>
        <w:tab/>
        <w:t>Projekto įgyvendinimo metu bus įsisavinta 1 100 000 Eur, iš jų 180 000 Eur skirta medicininei įrangai įsigyti, likusios lėšos – rangos darbams. Įgyvendinus šį projektą bus suremontuotos Vidaus ligų skyriaus bei visos kitos II aukšte esančios patalpos, iš viso – 1462</w:t>
      </w:r>
      <w:r w:rsidRPr="005A33D0">
        <w:rPr>
          <w:rFonts w:ascii="Times New Roman" w:hAnsi="Times New Roman"/>
          <w:sz w:val="24"/>
          <w:szCs w:val="24"/>
        </w:rPr>
        <w:t xml:space="preserve"> </w:t>
      </w:r>
      <w:r w:rsidRPr="005A33D0">
        <w:rPr>
          <w:rFonts w:ascii="Times New Roman" w:hAnsi="Times New Roman"/>
          <w:iCs/>
          <w:sz w:val="24"/>
          <w:szCs w:val="24"/>
        </w:rPr>
        <w:t>m</w:t>
      </w:r>
      <w:r w:rsidRPr="005A33D0">
        <w:rPr>
          <w:rFonts w:ascii="Times New Roman" w:hAnsi="Times New Roman"/>
          <w:iCs/>
          <w:sz w:val="24"/>
          <w:szCs w:val="24"/>
          <w:vertAlign w:val="superscript"/>
        </w:rPr>
        <w:t>2</w:t>
      </w:r>
      <w:r w:rsidRPr="005A33D0">
        <w:rPr>
          <w:rFonts w:ascii="Times New Roman" w:hAnsi="Times New Roman"/>
          <w:iCs/>
          <w:sz w:val="24"/>
          <w:szCs w:val="24"/>
        </w:rPr>
        <w:t xml:space="preserve">. </w:t>
      </w:r>
    </w:p>
    <w:p w:rsidR="005A33D0" w:rsidRPr="005A33D0" w:rsidRDefault="005A33D0" w:rsidP="00724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sz w:val="24"/>
          <w:szCs w:val="24"/>
          <w:lang w:eastAsia="lt-LT"/>
        </w:rPr>
      </w:pPr>
    </w:p>
    <w:p w:rsidR="00DE1D47" w:rsidRPr="005A33D0" w:rsidRDefault="00DE1D47" w:rsidP="005A33D0">
      <w:pPr>
        <w:pStyle w:val="Sraopastraip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sz w:val="24"/>
          <w:szCs w:val="24"/>
        </w:rPr>
      </w:pPr>
      <w:r w:rsidRPr="005A33D0">
        <w:rPr>
          <w:rFonts w:ascii="Times New Roman" w:hAnsi="Times New Roman" w:cs="Times New Roman"/>
          <w:b/>
          <w:sz w:val="24"/>
          <w:szCs w:val="24"/>
        </w:rPr>
        <w:t>KIEKYBINIAI VEIKLOS VERTINIMO REZULTATAI</w:t>
      </w:r>
    </w:p>
    <w:p w:rsidR="00CF28EB" w:rsidRDefault="00CF28EB" w:rsidP="00CF28EB">
      <w:pPr>
        <w:pStyle w:val="Sraopastraipa"/>
        <w:spacing w:line="360" w:lineRule="auto"/>
        <w:ind w:left="1080"/>
        <w:rPr>
          <w:rFonts w:ascii="Times New Roman" w:hAnsi="Times New Roman" w:cs="Times New Roman"/>
          <w:b/>
          <w:sz w:val="24"/>
          <w:szCs w:val="24"/>
        </w:rPr>
      </w:pPr>
    </w:p>
    <w:p w:rsidR="00FA5A5C" w:rsidRDefault="00832A64" w:rsidP="00FA5A5C">
      <w:pPr>
        <w:pStyle w:val="Sraopastraipa"/>
        <w:spacing w:line="360" w:lineRule="auto"/>
        <w:ind w:left="1211"/>
        <w:rPr>
          <w:rFonts w:ascii="Times New Roman" w:hAnsi="Times New Roman" w:cs="Times New Roman"/>
          <w:b/>
          <w:sz w:val="24"/>
          <w:szCs w:val="24"/>
        </w:rPr>
      </w:pPr>
      <w:r w:rsidRPr="00E1134C">
        <w:rPr>
          <w:rFonts w:ascii="Times New Roman" w:hAnsi="Times New Roman" w:cs="Times New Roman"/>
          <w:b/>
          <w:sz w:val="24"/>
          <w:szCs w:val="24"/>
        </w:rPr>
        <w:t xml:space="preserve">IV.I. </w:t>
      </w:r>
      <w:r w:rsidR="00DE1D47" w:rsidRPr="00E1134C">
        <w:rPr>
          <w:rFonts w:ascii="Times New Roman" w:hAnsi="Times New Roman" w:cs="Times New Roman"/>
          <w:b/>
          <w:sz w:val="24"/>
          <w:szCs w:val="24"/>
        </w:rPr>
        <w:t>Finansinis įstaigos veiklos rezultatas.</w:t>
      </w:r>
    </w:p>
    <w:p w:rsidR="007E4CDA" w:rsidRPr="007E4CDA" w:rsidRDefault="007E4CDA" w:rsidP="007E4CDA">
      <w:pPr>
        <w:pStyle w:val="Sraopastraipa"/>
        <w:spacing w:line="360" w:lineRule="auto"/>
        <w:ind w:left="0" w:firstLine="1211"/>
        <w:jc w:val="both"/>
        <w:rPr>
          <w:rFonts w:ascii="Times New Roman" w:hAnsi="Times New Roman"/>
          <w:sz w:val="24"/>
          <w:szCs w:val="24"/>
        </w:rPr>
      </w:pPr>
      <w:r w:rsidRPr="007E4CDA">
        <w:rPr>
          <w:rFonts w:ascii="Times New Roman" w:hAnsi="Times New Roman"/>
          <w:sz w:val="24"/>
          <w:szCs w:val="24"/>
        </w:rPr>
        <w:t xml:space="preserve">VšĮ Molėtų ligoninės 2015 metų finansinis veiklos rezultatas teigiamas – 19 954 Eur. </w:t>
      </w:r>
    </w:p>
    <w:p w:rsidR="007E4CDA" w:rsidRPr="007E4CDA" w:rsidRDefault="007E4CDA" w:rsidP="007E4CDA">
      <w:pPr>
        <w:pStyle w:val="Sraopastraipa"/>
        <w:spacing w:line="360" w:lineRule="auto"/>
        <w:ind w:left="0" w:firstLine="1211"/>
        <w:jc w:val="both"/>
        <w:rPr>
          <w:rFonts w:ascii="Times New Roman" w:hAnsi="Times New Roman"/>
          <w:sz w:val="24"/>
          <w:szCs w:val="24"/>
        </w:rPr>
      </w:pPr>
      <w:r w:rsidRPr="007E4CDA">
        <w:rPr>
          <w:rFonts w:ascii="Times New Roman" w:hAnsi="Times New Roman"/>
          <w:sz w:val="24"/>
          <w:szCs w:val="24"/>
        </w:rPr>
        <w:t xml:space="preserve">Teigiamą rezultatą įtakojo suteiktų asmens sveikatos priežiūros paslaugų didėjimas, gautas finansavimas už priėmimo </w:t>
      </w:r>
      <w:r>
        <w:rPr>
          <w:rFonts w:ascii="Times New Roman" w:hAnsi="Times New Roman"/>
          <w:sz w:val="24"/>
          <w:szCs w:val="24"/>
        </w:rPr>
        <w:t>–</w:t>
      </w:r>
      <w:r w:rsidRPr="007E4CDA">
        <w:rPr>
          <w:rFonts w:ascii="Times New Roman" w:hAnsi="Times New Roman"/>
          <w:sz w:val="24"/>
          <w:szCs w:val="24"/>
        </w:rPr>
        <w:t xml:space="preserve"> skubios pagalbos ir specializuotas ambulatorines chirurgijos paslaugas, racionalus lėšų skirstymas įstaigos išlaidoms. </w:t>
      </w:r>
    </w:p>
    <w:p w:rsidR="00832A64" w:rsidRPr="005B408B" w:rsidRDefault="00B5564B" w:rsidP="00832A64">
      <w:pPr>
        <w:pStyle w:val="Sraopastraipa"/>
        <w:spacing w:line="360" w:lineRule="auto"/>
        <w:ind w:left="0" w:firstLine="1211"/>
        <w:rPr>
          <w:rFonts w:ascii="Times New Roman" w:hAnsi="Times New Roman" w:cs="Times New Roman"/>
          <w:b/>
          <w:color w:val="000000" w:themeColor="text1"/>
          <w:sz w:val="24"/>
          <w:szCs w:val="24"/>
        </w:rPr>
      </w:pPr>
      <w:r w:rsidRPr="005B408B">
        <w:rPr>
          <w:rFonts w:ascii="Times New Roman" w:hAnsi="Times New Roman" w:cs="Times New Roman"/>
          <w:b/>
          <w:color w:val="000000" w:themeColor="text1"/>
          <w:sz w:val="24"/>
          <w:szCs w:val="24"/>
        </w:rPr>
        <w:t>IV.II. Į</w:t>
      </w:r>
      <w:r w:rsidR="00832A64" w:rsidRPr="005B408B">
        <w:rPr>
          <w:rFonts w:ascii="Times New Roman" w:hAnsi="Times New Roman" w:cs="Times New Roman"/>
          <w:b/>
          <w:color w:val="000000" w:themeColor="text1"/>
          <w:sz w:val="24"/>
          <w:szCs w:val="24"/>
        </w:rPr>
        <w:t>staigos sąnaudų darbo užmokesčio dalis.</w:t>
      </w:r>
    </w:p>
    <w:p w:rsidR="00746733" w:rsidRPr="009C3B59" w:rsidRDefault="007E4CDA" w:rsidP="004F4047">
      <w:pPr>
        <w:pStyle w:val="Sraopastraipa"/>
        <w:spacing w:line="360" w:lineRule="auto"/>
        <w:ind w:left="0" w:firstLine="1211"/>
        <w:jc w:val="both"/>
        <w:rPr>
          <w:rFonts w:ascii="Times New Roman" w:hAnsi="Times New Roman" w:cs="Times New Roman"/>
          <w:color w:val="FF0000"/>
          <w:sz w:val="24"/>
          <w:szCs w:val="24"/>
        </w:rPr>
      </w:pPr>
      <w:r w:rsidRPr="007E4CDA">
        <w:rPr>
          <w:rFonts w:ascii="Times New Roman" w:hAnsi="Times New Roman"/>
          <w:sz w:val="24"/>
          <w:szCs w:val="24"/>
        </w:rPr>
        <w:t>VšĮ Molėtų ligoninės 2015 metams nustatytas darbo užmokesčio su valstybinio socialinio draudimo įmokomis fondas 76% nuo bendrų pajamų. Faktiškai darbo užmokesčio ir socialinio draudimo įmokos sudaro 74%.</w:t>
      </w:r>
    </w:p>
    <w:p w:rsidR="007A1DB5" w:rsidRPr="00E1134C" w:rsidRDefault="007A1DB5" w:rsidP="00832A64">
      <w:pPr>
        <w:pStyle w:val="Sraopastraipa"/>
        <w:spacing w:line="360" w:lineRule="auto"/>
        <w:ind w:left="0" w:firstLine="1211"/>
        <w:rPr>
          <w:rFonts w:ascii="Times New Roman" w:hAnsi="Times New Roman" w:cs="Times New Roman"/>
          <w:b/>
          <w:sz w:val="24"/>
          <w:szCs w:val="24"/>
        </w:rPr>
      </w:pPr>
      <w:r w:rsidRPr="00E1134C">
        <w:rPr>
          <w:rFonts w:ascii="Times New Roman" w:hAnsi="Times New Roman" w:cs="Times New Roman"/>
          <w:b/>
          <w:sz w:val="24"/>
          <w:szCs w:val="24"/>
        </w:rPr>
        <w:t xml:space="preserve">IV.III. </w:t>
      </w:r>
      <w:r w:rsidR="00E1134C">
        <w:rPr>
          <w:rFonts w:ascii="Times New Roman" w:hAnsi="Times New Roman" w:cs="Times New Roman"/>
          <w:b/>
          <w:sz w:val="24"/>
          <w:szCs w:val="24"/>
        </w:rPr>
        <w:t>Į</w:t>
      </w:r>
      <w:r w:rsidRPr="00E1134C">
        <w:rPr>
          <w:rFonts w:ascii="Times New Roman" w:hAnsi="Times New Roman" w:cs="Times New Roman"/>
          <w:b/>
          <w:sz w:val="24"/>
          <w:szCs w:val="24"/>
        </w:rPr>
        <w:t>staigos valdymo išlaidos.</w:t>
      </w:r>
    </w:p>
    <w:p w:rsidR="009B1FA6" w:rsidRPr="009B1FA6" w:rsidRDefault="009B1FA6" w:rsidP="009B1FA6">
      <w:pPr>
        <w:pStyle w:val="Sraopastraipa"/>
        <w:spacing w:line="360" w:lineRule="auto"/>
        <w:ind w:left="0" w:firstLine="1211"/>
        <w:jc w:val="both"/>
        <w:rPr>
          <w:rFonts w:ascii="Times New Roman" w:hAnsi="Times New Roman"/>
          <w:sz w:val="24"/>
          <w:szCs w:val="24"/>
        </w:rPr>
      </w:pPr>
      <w:r w:rsidRPr="009B1FA6">
        <w:rPr>
          <w:rFonts w:ascii="Times New Roman" w:hAnsi="Times New Roman"/>
          <w:sz w:val="24"/>
          <w:szCs w:val="24"/>
        </w:rPr>
        <w:lastRenderedPageBreak/>
        <w:t>Remiantis VšĮ Molėtų ligoninės įstatais valdymo organas yra administracija. Jos darbo užmokesčio fondas sudaro 3,63% visų darbo užmokesčio ir socialinio draudimo išlaidų. Kolegialių organų nariams darbo užmokestis nemokamas. Išmokų su viešosios įstaigos dalininkais susijusiems asmenims, nurodytais LR viešųjų įstaigų įstatymo 3 straipsnio 3 dalyje, nebuvo.</w:t>
      </w:r>
    </w:p>
    <w:p w:rsidR="005A33D0" w:rsidRPr="00D13708" w:rsidRDefault="005A33D0" w:rsidP="00D13708">
      <w:pPr>
        <w:pStyle w:val="Sraopastraipa"/>
        <w:spacing w:line="360" w:lineRule="auto"/>
        <w:ind w:left="0" w:firstLine="1211"/>
        <w:jc w:val="both"/>
        <w:rPr>
          <w:rFonts w:ascii="Times New Roman" w:hAnsi="Times New Roman" w:cs="Times New Roman"/>
          <w:sz w:val="24"/>
          <w:szCs w:val="24"/>
        </w:rPr>
      </w:pPr>
    </w:p>
    <w:p w:rsidR="004F4047" w:rsidRPr="00FD17AB" w:rsidRDefault="004F4047" w:rsidP="00FD17AB">
      <w:pPr>
        <w:pStyle w:val="Sraopastraipa"/>
        <w:numPr>
          <w:ilvl w:val="0"/>
          <w:numId w:val="4"/>
        </w:numPr>
        <w:spacing w:line="360" w:lineRule="auto"/>
        <w:jc w:val="center"/>
        <w:rPr>
          <w:rFonts w:ascii="Times New Roman" w:hAnsi="Times New Roman" w:cs="Times New Roman"/>
          <w:b/>
          <w:sz w:val="24"/>
          <w:szCs w:val="24"/>
        </w:rPr>
      </w:pPr>
      <w:r w:rsidRPr="00FD17AB">
        <w:rPr>
          <w:rFonts w:ascii="Times New Roman" w:hAnsi="Times New Roman" w:cs="Times New Roman"/>
          <w:b/>
          <w:sz w:val="24"/>
          <w:szCs w:val="24"/>
        </w:rPr>
        <w:t>KOKYBINIAI RODIKLIAI</w:t>
      </w:r>
    </w:p>
    <w:p w:rsidR="004F4047" w:rsidRPr="00E1134C" w:rsidRDefault="004F4047" w:rsidP="009061C6">
      <w:pPr>
        <w:spacing w:after="0" w:line="360" w:lineRule="auto"/>
        <w:ind w:firstLine="1080"/>
        <w:rPr>
          <w:rFonts w:ascii="Times New Roman" w:hAnsi="Times New Roman" w:cs="Times New Roman"/>
          <w:b/>
          <w:sz w:val="24"/>
          <w:szCs w:val="24"/>
        </w:rPr>
      </w:pPr>
      <w:r w:rsidRPr="00E1134C">
        <w:rPr>
          <w:rFonts w:ascii="Times New Roman" w:hAnsi="Times New Roman" w:cs="Times New Roman"/>
          <w:b/>
          <w:sz w:val="24"/>
          <w:szCs w:val="24"/>
        </w:rPr>
        <w:t>V.I. Pacientų pasitenkinimo lygis bei pacientų skundų tendencijos.</w:t>
      </w:r>
    </w:p>
    <w:p w:rsidR="00251513" w:rsidRDefault="00D15C69" w:rsidP="009061C6">
      <w:pPr>
        <w:spacing w:after="0" w:line="360" w:lineRule="auto"/>
        <w:ind w:firstLine="1080"/>
        <w:jc w:val="both"/>
        <w:rPr>
          <w:rFonts w:ascii="Times New Roman" w:hAnsi="Times New Roman" w:cs="Times New Roman"/>
          <w:sz w:val="24"/>
          <w:szCs w:val="24"/>
        </w:rPr>
      </w:pPr>
      <w:r>
        <w:rPr>
          <w:rFonts w:ascii="Times New Roman" w:hAnsi="Times New Roman" w:cs="Times New Roman"/>
          <w:sz w:val="24"/>
          <w:szCs w:val="24"/>
        </w:rPr>
        <w:t>VšĮ Molėtų ligoninė per 2015</w:t>
      </w:r>
      <w:r w:rsidR="009061C6" w:rsidRPr="00582099">
        <w:rPr>
          <w:rFonts w:ascii="Times New Roman" w:hAnsi="Times New Roman" w:cs="Times New Roman"/>
          <w:sz w:val="24"/>
          <w:szCs w:val="24"/>
        </w:rPr>
        <w:t xml:space="preserve"> m. </w:t>
      </w:r>
      <w:r>
        <w:rPr>
          <w:rFonts w:ascii="Times New Roman" w:hAnsi="Times New Roman" w:cs="Times New Roman"/>
          <w:sz w:val="24"/>
          <w:szCs w:val="24"/>
        </w:rPr>
        <w:t>negavo skundų</w:t>
      </w:r>
      <w:r w:rsidR="00582099" w:rsidRPr="00582099">
        <w:rPr>
          <w:rFonts w:ascii="Times New Roman" w:hAnsi="Times New Roman" w:cs="Times New Roman"/>
          <w:sz w:val="24"/>
          <w:szCs w:val="24"/>
        </w:rPr>
        <w:t xml:space="preserve"> dėl medicininės pagalbos nesuteikimo</w:t>
      </w:r>
      <w:r w:rsidR="009061C6">
        <w:rPr>
          <w:rFonts w:ascii="Times New Roman" w:hAnsi="Times New Roman" w:cs="Times New Roman"/>
          <w:sz w:val="24"/>
          <w:szCs w:val="24"/>
        </w:rPr>
        <w:t>. Atliktų pacientų pasitenkinimus apklausos anoniminiu anket</w:t>
      </w:r>
      <w:r w:rsidR="005E4F17">
        <w:rPr>
          <w:rFonts w:ascii="Times New Roman" w:hAnsi="Times New Roman" w:cs="Times New Roman"/>
          <w:sz w:val="24"/>
          <w:szCs w:val="24"/>
        </w:rPr>
        <w:t>ų</w:t>
      </w:r>
      <w:r>
        <w:rPr>
          <w:rFonts w:ascii="Times New Roman" w:hAnsi="Times New Roman" w:cs="Times New Roman"/>
          <w:sz w:val="24"/>
          <w:szCs w:val="24"/>
        </w:rPr>
        <w:t xml:space="preserve"> pagalba duomenys rodo, kad 201</w:t>
      </w:r>
      <w:r w:rsidR="00093DE9">
        <w:rPr>
          <w:rFonts w:ascii="Times New Roman" w:hAnsi="Times New Roman" w:cs="Times New Roman"/>
          <w:sz w:val="24"/>
          <w:szCs w:val="24"/>
        </w:rPr>
        <w:t>5</w:t>
      </w:r>
      <w:r w:rsidR="005E4F17">
        <w:rPr>
          <w:rFonts w:ascii="Times New Roman" w:hAnsi="Times New Roman" w:cs="Times New Roman"/>
          <w:sz w:val="24"/>
          <w:szCs w:val="24"/>
        </w:rPr>
        <w:t xml:space="preserve"> metais </w:t>
      </w:r>
      <w:r w:rsidR="00093DE9" w:rsidRPr="00251513">
        <w:rPr>
          <w:rFonts w:ascii="Times New Roman" w:hAnsi="Times New Roman" w:cs="Times New Roman"/>
          <w:sz w:val="24"/>
          <w:szCs w:val="24"/>
        </w:rPr>
        <w:t>91</w:t>
      </w:r>
      <w:r w:rsidR="005E4F17" w:rsidRPr="00251513">
        <w:rPr>
          <w:rFonts w:ascii="Times New Roman" w:hAnsi="Times New Roman" w:cs="Times New Roman"/>
          <w:sz w:val="24"/>
          <w:szCs w:val="24"/>
        </w:rPr>
        <w:t xml:space="preserve">,5% </w:t>
      </w:r>
      <w:r w:rsidR="005E4F17">
        <w:rPr>
          <w:rFonts w:ascii="Times New Roman" w:hAnsi="Times New Roman" w:cs="Times New Roman"/>
          <w:sz w:val="24"/>
          <w:szCs w:val="24"/>
        </w:rPr>
        <w:t>pacient</w:t>
      </w:r>
      <w:r w:rsidR="00FB0264">
        <w:rPr>
          <w:rFonts w:ascii="Times New Roman" w:hAnsi="Times New Roman" w:cs="Times New Roman"/>
          <w:sz w:val="24"/>
          <w:szCs w:val="24"/>
        </w:rPr>
        <w:t>ų buvo patenkinti įstaig</w:t>
      </w:r>
      <w:r>
        <w:rPr>
          <w:rFonts w:ascii="Times New Roman" w:hAnsi="Times New Roman" w:cs="Times New Roman"/>
          <w:sz w:val="24"/>
          <w:szCs w:val="24"/>
        </w:rPr>
        <w:t xml:space="preserve">os teikiamomis paslaugomis. </w:t>
      </w:r>
    </w:p>
    <w:p w:rsidR="009061C6" w:rsidRDefault="00E1134C" w:rsidP="009061C6">
      <w:pPr>
        <w:spacing w:after="0" w:line="360" w:lineRule="auto"/>
        <w:ind w:firstLine="1080"/>
        <w:jc w:val="both"/>
        <w:rPr>
          <w:rFonts w:ascii="Times New Roman" w:hAnsi="Times New Roman" w:cs="Times New Roman"/>
          <w:sz w:val="24"/>
          <w:szCs w:val="24"/>
        </w:rPr>
      </w:pPr>
      <w:r>
        <w:rPr>
          <w:rFonts w:ascii="Times New Roman" w:hAnsi="Times New Roman" w:cs="Times New Roman"/>
          <w:b/>
          <w:sz w:val="24"/>
          <w:szCs w:val="24"/>
        </w:rPr>
        <w:t>V.II. K</w:t>
      </w:r>
      <w:r w:rsidR="009061C6" w:rsidRPr="00E1134C">
        <w:rPr>
          <w:rFonts w:ascii="Times New Roman" w:hAnsi="Times New Roman" w:cs="Times New Roman"/>
          <w:b/>
          <w:sz w:val="24"/>
          <w:szCs w:val="24"/>
        </w:rPr>
        <w:t>okybės vadybos sistemos diegimas ir vystymo laipsnis</w:t>
      </w:r>
      <w:r w:rsidR="009061C6" w:rsidRPr="009061C6">
        <w:rPr>
          <w:rFonts w:ascii="Times New Roman" w:hAnsi="Times New Roman" w:cs="Times New Roman"/>
          <w:sz w:val="24"/>
          <w:szCs w:val="24"/>
        </w:rPr>
        <w:t>.</w:t>
      </w:r>
    </w:p>
    <w:p w:rsidR="009061C6" w:rsidRDefault="009061C6" w:rsidP="009061C6">
      <w:pPr>
        <w:spacing w:after="0" w:line="360" w:lineRule="auto"/>
        <w:ind w:firstLine="1080"/>
        <w:jc w:val="both"/>
        <w:rPr>
          <w:rFonts w:ascii="Times New Roman" w:hAnsi="Times New Roman" w:cs="Times New Roman"/>
          <w:sz w:val="24"/>
          <w:szCs w:val="24"/>
        </w:rPr>
      </w:pPr>
      <w:r>
        <w:rPr>
          <w:rFonts w:ascii="Times New Roman" w:hAnsi="Times New Roman" w:cs="Times New Roman"/>
          <w:sz w:val="24"/>
          <w:szCs w:val="24"/>
        </w:rPr>
        <w:t>VšĮ Molėtų ligoninė savo veikloje vadovaujasi aprašytu procedūrų kompleksu ir gydymo metodikomis. Minėti doku</w:t>
      </w:r>
      <w:r w:rsidR="00C34E2E">
        <w:rPr>
          <w:rFonts w:ascii="Times New Roman" w:hAnsi="Times New Roman" w:cs="Times New Roman"/>
          <w:sz w:val="24"/>
          <w:szCs w:val="24"/>
        </w:rPr>
        <w:t>mentai nuolat tobulinami.</w:t>
      </w:r>
    </w:p>
    <w:p w:rsidR="00C34E2E" w:rsidRDefault="00C34E2E" w:rsidP="009061C6">
      <w:pPr>
        <w:spacing w:after="0" w:line="360" w:lineRule="auto"/>
        <w:ind w:firstLine="1080"/>
        <w:jc w:val="both"/>
        <w:rPr>
          <w:rFonts w:ascii="Times New Roman" w:hAnsi="Times New Roman" w:cs="Times New Roman"/>
          <w:sz w:val="24"/>
          <w:szCs w:val="24"/>
        </w:rPr>
      </w:pPr>
      <w:r>
        <w:rPr>
          <w:rFonts w:ascii="Times New Roman" w:hAnsi="Times New Roman" w:cs="Times New Roman"/>
          <w:sz w:val="24"/>
          <w:szCs w:val="24"/>
        </w:rPr>
        <w:t>Atliekami periodiniai ir neplaniniai paslaugų ir procedūrų auditavimai ir, remiantis gautomis išvadomis, tobulinamos veiklos sritys.</w:t>
      </w:r>
    </w:p>
    <w:p w:rsidR="00C34E2E" w:rsidRPr="00C34E2E" w:rsidRDefault="00C34E2E" w:rsidP="009061C6">
      <w:pPr>
        <w:spacing w:after="0" w:line="360" w:lineRule="auto"/>
        <w:ind w:firstLine="1080"/>
        <w:jc w:val="both"/>
        <w:rPr>
          <w:rFonts w:ascii="Times New Roman" w:hAnsi="Times New Roman" w:cs="Times New Roman"/>
          <w:b/>
          <w:sz w:val="24"/>
          <w:szCs w:val="24"/>
        </w:rPr>
      </w:pPr>
      <w:r w:rsidRPr="00C34E2E">
        <w:rPr>
          <w:rFonts w:ascii="Times New Roman" w:hAnsi="Times New Roman" w:cs="Times New Roman"/>
          <w:b/>
          <w:sz w:val="24"/>
          <w:szCs w:val="24"/>
        </w:rPr>
        <w:t>V.III</w:t>
      </w:r>
      <w:r>
        <w:rPr>
          <w:rFonts w:ascii="Times New Roman" w:hAnsi="Times New Roman" w:cs="Times New Roman"/>
          <w:b/>
          <w:sz w:val="24"/>
          <w:szCs w:val="24"/>
        </w:rPr>
        <w:t>. Darbuotojų kaitos įstaigoje rodiklis.</w:t>
      </w:r>
    </w:p>
    <w:p w:rsidR="009B1FA6" w:rsidRPr="009B1FA6" w:rsidRDefault="009B1FA6" w:rsidP="009B1FA6">
      <w:pPr>
        <w:spacing w:after="0" w:line="360" w:lineRule="auto"/>
        <w:ind w:firstLine="1080"/>
        <w:jc w:val="both"/>
        <w:rPr>
          <w:rFonts w:ascii="Times New Roman" w:hAnsi="Times New Roman"/>
          <w:sz w:val="24"/>
          <w:szCs w:val="24"/>
        </w:rPr>
      </w:pPr>
      <w:r w:rsidRPr="009B1FA6">
        <w:rPr>
          <w:rFonts w:ascii="Times New Roman" w:hAnsi="Times New Roman"/>
          <w:sz w:val="24"/>
          <w:szCs w:val="24"/>
        </w:rPr>
        <w:t>VšĮ Molėtų ligoninėje darbuotojų skaičius 2015-01-01 buvo 161, iš jų: 45 gydytojai, 75 slaugytojos, ir  kt. med. personalas, 41 kitas aptarnaujantis personalas. Per 2015 m. atleista 20 darbuotojas: 13 gydytojų, 2 slaugytojos, 5 kitų pareigybių darbuotojai. Į darbą priimta 18 darbuotojų: 14 gydytojų, 1 kt. med. personalas, 3 kitų pareigybių darbuotojai. Darbuotojų skaičius 2015-12-31 yra 159, iš jų: 41 gydytojai, 51 slaugytoja,  67 kt. medicinos ir aptarnaujantis personalas.</w:t>
      </w:r>
    </w:p>
    <w:p w:rsidR="004026F6" w:rsidRDefault="004026F6" w:rsidP="009061C6">
      <w:pPr>
        <w:spacing w:after="0" w:line="360" w:lineRule="auto"/>
        <w:ind w:firstLine="1080"/>
        <w:jc w:val="both"/>
        <w:rPr>
          <w:rFonts w:ascii="Times New Roman" w:hAnsi="Times New Roman" w:cs="Times New Roman"/>
          <w:b/>
          <w:color w:val="000000" w:themeColor="text1"/>
          <w:sz w:val="24"/>
          <w:szCs w:val="24"/>
        </w:rPr>
      </w:pPr>
      <w:r w:rsidRPr="004026F6">
        <w:rPr>
          <w:rFonts w:ascii="Times New Roman" w:hAnsi="Times New Roman" w:cs="Times New Roman"/>
          <w:b/>
          <w:color w:val="000000" w:themeColor="text1"/>
          <w:sz w:val="24"/>
          <w:szCs w:val="24"/>
        </w:rPr>
        <w:t>V</w:t>
      </w:r>
      <w:r w:rsidR="00673E69">
        <w:rPr>
          <w:rFonts w:ascii="Times New Roman" w:hAnsi="Times New Roman" w:cs="Times New Roman"/>
          <w:b/>
          <w:color w:val="000000" w:themeColor="text1"/>
          <w:sz w:val="24"/>
          <w:szCs w:val="24"/>
        </w:rPr>
        <w:t>.</w:t>
      </w:r>
      <w:r w:rsidRPr="004026F6">
        <w:rPr>
          <w:rFonts w:ascii="Times New Roman" w:hAnsi="Times New Roman" w:cs="Times New Roman"/>
          <w:b/>
          <w:color w:val="000000" w:themeColor="text1"/>
          <w:sz w:val="24"/>
          <w:szCs w:val="24"/>
        </w:rPr>
        <w:t>IV</w:t>
      </w:r>
      <w:r>
        <w:rPr>
          <w:rFonts w:ascii="Times New Roman" w:hAnsi="Times New Roman" w:cs="Times New Roman"/>
          <w:b/>
          <w:color w:val="000000" w:themeColor="text1"/>
          <w:sz w:val="24"/>
          <w:szCs w:val="24"/>
        </w:rPr>
        <w:t>. Prioritetinių paslaugų dinamika.</w:t>
      </w:r>
    </w:p>
    <w:p w:rsidR="006C56D5" w:rsidRPr="00417D20" w:rsidRDefault="00251513" w:rsidP="006C56D5">
      <w:pPr>
        <w:spacing w:after="0" w:line="360" w:lineRule="auto"/>
        <w:ind w:firstLine="1080"/>
        <w:jc w:val="both"/>
        <w:rPr>
          <w:rFonts w:ascii="Times New Roman" w:hAnsi="Times New Roman" w:cs="Times New Roman"/>
          <w:sz w:val="24"/>
          <w:szCs w:val="24"/>
        </w:rPr>
      </w:pPr>
      <w:r w:rsidRPr="00417D20">
        <w:rPr>
          <w:rFonts w:ascii="Times New Roman" w:hAnsi="Times New Roman" w:cs="Times New Roman"/>
          <w:sz w:val="24"/>
          <w:szCs w:val="24"/>
        </w:rPr>
        <w:t>Siekiant sumažinti hospitalizaciją, 2015 m. ryškiai padidinome prioritetus Dienos stacionaro ir stebėjimo paslaugų kiekį: Dienos stacionaras padidėjo 514 atvejų, stebėjimo paslaugos – 429 atvejais. Padidėjo ambulatorinių konsultacijų pas gydytojus specialistus 765 atvejais.</w:t>
      </w:r>
      <w:r w:rsidR="00417D20">
        <w:rPr>
          <w:rFonts w:ascii="Times New Roman" w:hAnsi="Times New Roman" w:cs="Times New Roman"/>
          <w:sz w:val="24"/>
          <w:szCs w:val="24"/>
        </w:rPr>
        <w:t xml:space="preserve"> </w:t>
      </w:r>
      <w:r w:rsidRPr="00417D20">
        <w:rPr>
          <w:rFonts w:ascii="Times New Roman" w:hAnsi="Times New Roman" w:cs="Times New Roman"/>
          <w:sz w:val="24"/>
          <w:szCs w:val="24"/>
        </w:rPr>
        <w:t xml:space="preserve">Dienos chirurgijos ir ambulatorinės chirurgijos padidėjimo nebuvo. Tai nulėmė, kad pirminio lygio gydytojai pacientus chirurginėms operacijoms siuntė į kitas gydymo įstaigas. </w:t>
      </w:r>
      <w:r w:rsidR="006C56D5" w:rsidRPr="00417D20">
        <w:rPr>
          <w:rFonts w:ascii="Times New Roman" w:hAnsi="Times New Roman" w:cs="Times New Roman"/>
          <w:sz w:val="24"/>
          <w:szCs w:val="24"/>
        </w:rPr>
        <w:t>Naujai pradėjome teikti endoskopines operacijas. Per 2015 m.</w:t>
      </w:r>
      <w:r w:rsidR="00196958">
        <w:rPr>
          <w:rFonts w:ascii="Times New Roman" w:hAnsi="Times New Roman" w:cs="Times New Roman"/>
          <w:sz w:val="24"/>
          <w:szCs w:val="24"/>
        </w:rPr>
        <w:t xml:space="preserve"> atlikome 13 kolonoskopijų su po</w:t>
      </w:r>
      <w:r w:rsidR="006C56D5" w:rsidRPr="00417D20">
        <w:rPr>
          <w:rFonts w:ascii="Times New Roman" w:hAnsi="Times New Roman" w:cs="Times New Roman"/>
          <w:sz w:val="24"/>
          <w:szCs w:val="24"/>
        </w:rPr>
        <w:t>lipekt</w:t>
      </w:r>
      <w:r w:rsidR="00196958">
        <w:rPr>
          <w:rFonts w:ascii="Times New Roman" w:hAnsi="Times New Roman" w:cs="Times New Roman"/>
          <w:sz w:val="24"/>
          <w:szCs w:val="24"/>
        </w:rPr>
        <w:t>omija ir 6 panendoskopijos su po</w:t>
      </w:r>
      <w:r w:rsidR="006C56D5" w:rsidRPr="00417D20">
        <w:rPr>
          <w:rFonts w:ascii="Times New Roman" w:hAnsi="Times New Roman" w:cs="Times New Roman"/>
          <w:sz w:val="24"/>
          <w:szCs w:val="24"/>
        </w:rPr>
        <w:t>lipektomija (žarnyno ir sk</w:t>
      </w:r>
      <w:r w:rsidR="00417D20">
        <w:rPr>
          <w:rFonts w:ascii="Times New Roman" w:hAnsi="Times New Roman" w:cs="Times New Roman"/>
          <w:sz w:val="24"/>
          <w:szCs w:val="24"/>
        </w:rPr>
        <w:t>randžio polipų šalinimo operacijos).</w:t>
      </w:r>
    </w:p>
    <w:p w:rsidR="00724221" w:rsidRDefault="00724221" w:rsidP="00724221">
      <w:pPr>
        <w:spacing w:after="0" w:line="360" w:lineRule="auto"/>
        <w:ind w:firstLine="1080"/>
        <w:jc w:val="both"/>
        <w:rPr>
          <w:rFonts w:ascii="Times New Roman" w:hAnsi="Times New Roman"/>
          <w:b/>
          <w:sz w:val="24"/>
          <w:szCs w:val="24"/>
        </w:rPr>
      </w:pPr>
      <w:r>
        <w:rPr>
          <w:rFonts w:ascii="Times New Roman" w:hAnsi="Times New Roman"/>
          <w:b/>
          <w:sz w:val="24"/>
          <w:szCs w:val="24"/>
        </w:rPr>
        <w:t>V.V.</w:t>
      </w:r>
      <w:r>
        <w:rPr>
          <w:rFonts w:ascii="Times New Roman" w:hAnsi="Times New Roman"/>
          <w:b/>
          <w:color w:val="FF0000"/>
          <w:sz w:val="24"/>
          <w:szCs w:val="24"/>
        </w:rPr>
        <w:t xml:space="preserve"> </w:t>
      </w:r>
      <w:r>
        <w:rPr>
          <w:rFonts w:ascii="Times New Roman" w:hAnsi="Times New Roman"/>
          <w:b/>
          <w:sz w:val="24"/>
          <w:szCs w:val="24"/>
        </w:rPr>
        <w:t xml:space="preserve">Informacinių technologijų diegimas ir vystymo lygis. </w:t>
      </w:r>
    </w:p>
    <w:p w:rsidR="00724221" w:rsidRPr="008F2D53" w:rsidRDefault="00724221" w:rsidP="00724221">
      <w:pPr>
        <w:spacing w:after="0" w:line="360" w:lineRule="auto"/>
        <w:ind w:firstLine="1080"/>
        <w:jc w:val="both"/>
        <w:rPr>
          <w:rFonts w:ascii="Times New Roman" w:hAnsi="Times New Roman"/>
          <w:sz w:val="24"/>
          <w:szCs w:val="24"/>
        </w:rPr>
      </w:pPr>
      <w:r>
        <w:rPr>
          <w:rFonts w:ascii="Times New Roman" w:hAnsi="Times New Roman"/>
          <w:sz w:val="24"/>
          <w:szCs w:val="24"/>
        </w:rPr>
        <w:t xml:space="preserve">VšĮ Molėtų ligoninė 2015 metais </w:t>
      </w:r>
      <w:r w:rsidRPr="00417D20">
        <w:rPr>
          <w:rFonts w:ascii="Times New Roman" w:hAnsi="Times New Roman"/>
          <w:sz w:val="24"/>
          <w:szCs w:val="24"/>
        </w:rPr>
        <w:t xml:space="preserve">kompiuterizuotos 5 darbo </w:t>
      </w:r>
      <w:r>
        <w:rPr>
          <w:rFonts w:ascii="Times New Roman" w:hAnsi="Times New Roman"/>
          <w:sz w:val="24"/>
          <w:szCs w:val="24"/>
        </w:rPr>
        <w:t>vietos. Trims</w:t>
      </w:r>
      <w:r>
        <w:rPr>
          <w:rFonts w:ascii="Times New Roman" w:hAnsi="Times New Roman"/>
          <w:color w:val="FF0000"/>
          <w:sz w:val="24"/>
          <w:szCs w:val="24"/>
        </w:rPr>
        <w:t xml:space="preserve"> </w:t>
      </w:r>
      <w:r>
        <w:rPr>
          <w:rFonts w:ascii="Times New Roman" w:hAnsi="Times New Roman"/>
          <w:sz w:val="24"/>
          <w:szCs w:val="24"/>
        </w:rPr>
        <w:t>darbo vietoms atnaujinta kompiuterinė įranga</w:t>
      </w:r>
      <w:r w:rsidRPr="008F2D53">
        <w:rPr>
          <w:rFonts w:ascii="Times New Roman" w:hAnsi="Times New Roman"/>
          <w:sz w:val="24"/>
          <w:szCs w:val="24"/>
        </w:rPr>
        <w:t xml:space="preserve">. </w:t>
      </w:r>
      <w:r w:rsidR="00D71CF8" w:rsidRPr="008F2D53">
        <w:rPr>
          <w:rFonts w:ascii="Times New Roman" w:hAnsi="Times New Roman"/>
          <w:sz w:val="24"/>
          <w:szCs w:val="24"/>
        </w:rPr>
        <w:t xml:space="preserve">Įdiegta nauja buhalterinės apskaitos sistema. </w:t>
      </w:r>
      <w:r w:rsidRPr="008F2D53">
        <w:rPr>
          <w:rFonts w:ascii="Times New Roman" w:hAnsi="Times New Roman"/>
          <w:sz w:val="24"/>
          <w:szCs w:val="24"/>
        </w:rPr>
        <w:t xml:space="preserve">Pastoviai prižiūrima ir atnaujinama VšĮ Molėtų ligoninė internetinė svetainė </w:t>
      </w:r>
      <w:hyperlink r:id="rId8" w:history="1">
        <w:r w:rsidRPr="008F2D53">
          <w:rPr>
            <w:rStyle w:val="Hipersaitas"/>
            <w:rFonts w:ascii="Times New Roman" w:hAnsi="Times New Roman"/>
            <w:color w:val="auto"/>
            <w:sz w:val="24"/>
            <w:szCs w:val="24"/>
          </w:rPr>
          <w:t>www.moletuligonine.lt</w:t>
        </w:r>
      </w:hyperlink>
      <w:r w:rsidR="009B1FA6" w:rsidRPr="008F2D53">
        <w:rPr>
          <w:rFonts w:ascii="Times New Roman" w:hAnsi="Times New Roman"/>
          <w:sz w:val="24"/>
          <w:szCs w:val="24"/>
        </w:rPr>
        <w:t>.</w:t>
      </w:r>
      <w:r w:rsidR="00D71CF8" w:rsidRPr="008F2D53">
        <w:rPr>
          <w:rFonts w:ascii="Times New Roman" w:hAnsi="Times New Roman"/>
          <w:sz w:val="24"/>
          <w:szCs w:val="24"/>
        </w:rPr>
        <w:t xml:space="preserve"> Sukurta ligoninės paskyra socialiniame tinkle. Atnaujinti įstaigo</w:t>
      </w:r>
      <w:r w:rsidR="00544D1B">
        <w:rPr>
          <w:rFonts w:ascii="Times New Roman" w:hAnsi="Times New Roman"/>
          <w:sz w:val="24"/>
          <w:szCs w:val="24"/>
        </w:rPr>
        <w:t>s laidinio telefono ir internet</w:t>
      </w:r>
      <w:r w:rsidR="00D71CF8" w:rsidRPr="008F2D53">
        <w:rPr>
          <w:rFonts w:ascii="Times New Roman" w:hAnsi="Times New Roman"/>
          <w:sz w:val="24"/>
          <w:szCs w:val="24"/>
        </w:rPr>
        <w:t xml:space="preserve">o tinklai. Įdiegta teleradiologija. </w:t>
      </w:r>
    </w:p>
    <w:p w:rsidR="00673E69" w:rsidRPr="008D52D1" w:rsidRDefault="00673E69" w:rsidP="009061C6">
      <w:pPr>
        <w:spacing w:after="0" w:line="360" w:lineRule="auto"/>
        <w:ind w:firstLine="1080"/>
        <w:jc w:val="both"/>
        <w:rPr>
          <w:rFonts w:ascii="Times New Roman" w:hAnsi="Times New Roman" w:cs="Times New Roman"/>
          <w:b/>
          <w:sz w:val="24"/>
          <w:szCs w:val="24"/>
        </w:rPr>
      </w:pPr>
      <w:r w:rsidRPr="008D52D1">
        <w:rPr>
          <w:rFonts w:ascii="Times New Roman" w:hAnsi="Times New Roman" w:cs="Times New Roman"/>
          <w:b/>
          <w:sz w:val="24"/>
          <w:szCs w:val="24"/>
        </w:rPr>
        <w:lastRenderedPageBreak/>
        <w:t xml:space="preserve">V.VI. </w:t>
      </w:r>
      <w:r w:rsidR="008D52D1" w:rsidRPr="008D52D1">
        <w:rPr>
          <w:rFonts w:ascii="Times New Roman" w:hAnsi="Times New Roman" w:cs="Times New Roman"/>
          <w:b/>
          <w:sz w:val="24"/>
          <w:szCs w:val="24"/>
        </w:rPr>
        <w:t>D</w:t>
      </w:r>
      <w:r w:rsidRPr="008D52D1">
        <w:rPr>
          <w:rFonts w:ascii="Times New Roman" w:hAnsi="Times New Roman" w:cs="Times New Roman"/>
          <w:b/>
          <w:sz w:val="24"/>
          <w:szCs w:val="24"/>
        </w:rPr>
        <w:t>arbuotojų profesionalumo didinimas.</w:t>
      </w:r>
    </w:p>
    <w:p w:rsidR="009B1FA6" w:rsidRPr="009B1FA6" w:rsidRDefault="008D52D1" w:rsidP="00D13708">
      <w:pPr>
        <w:spacing w:after="0" w:line="360" w:lineRule="auto"/>
        <w:ind w:firstLine="1080"/>
        <w:jc w:val="both"/>
        <w:rPr>
          <w:rFonts w:ascii="Times New Roman" w:hAnsi="Times New Roman" w:cs="Times New Roman"/>
          <w:sz w:val="24"/>
          <w:szCs w:val="24"/>
        </w:rPr>
      </w:pPr>
      <w:r>
        <w:rPr>
          <w:rFonts w:ascii="Times New Roman" w:hAnsi="Times New Roman" w:cs="Times New Roman"/>
          <w:sz w:val="24"/>
          <w:szCs w:val="24"/>
        </w:rPr>
        <w:t>Įstaigoje dirbantys medikai kasmet privalo kelti savo kvalifikaciją įvairiuose tobulinimosi kursuose ir kas 5 metus Valstybinei akreditavimo sveikatos priežiūro</w:t>
      </w:r>
      <w:r w:rsidR="00242457">
        <w:rPr>
          <w:rFonts w:ascii="Times New Roman" w:hAnsi="Times New Roman" w:cs="Times New Roman"/>
          <w:sz w:val="24"/>
          <w:szCs w:val="24"/>
        </w:rPr>
        <w:t>s veiklai tarnybai prie Sveikato</w:t>
      </w:r>
      <w:r>
        <w:rPr>
          <w:rFonts w:ascii="Times New Roman" w:hAnsi="Times New Roman" w:cs="Times New Roman"/>
          <w:sz w:val="24"/>
          <w:szCs w:val="24"/>
        </w:rPr>
        <w:t>s pasaugos ministerijos pateiktus dokumentus</w:t>
      </w:r>
      <w:r w:rsidR="00242457">
        <w:rPr>
          <w:rFonts w:ascii="Times New Roman" w:hAnsi="Times New Roman" w:cs="Times New Roman"/>
          <w:sz w:val="24"/>
          <w:szCs w:val="24"/>
        </w:rPr>
        <w:t>, įrodančius kvalifikacijos tobulinimą. 201</w:t>
      </w:r>
      <w:r w:rsidR="003C610E">
        <w:rPr>
          <w:rFonts w:ascii="Times New Roman" w:hAnsi="Times New Roman" w:cs="Times New Roman"/>
          <w:sz w:val="24"/>
          <w:szCs w:val="24"/>
        </w:rPr>
        <w:t>5</w:t>
      </w:r>
      <w:r w:rsidR="00242457">
        <w:rPr>
          <w:rFonts w:ascii="Times New Roman" w:hAnsi="Times New Roman" w:cs="Times New Roman"/>
          <w:sz w:val="24"/>
          <w:szCs w:val="24"/>
        </w:rPr>
        <w:t xml:space="preserve"> </w:t>
      </w:r>
      <w:r w:rsidR="00242457" w:rsidRPr="009B1FA6">
        <w:rPr>
          <w:rFonts w:ascii="Times New Roman" w:hAnsi="Times New Roman" w:cs="Times New Roman"/>
          <w:sz w:val="24"/>
          <w:szCs w:val="24"/>
        </w:rPr>
        <w:t xml:space="preserve">metais </w:t>
      </w:r>
      <w:r w:rsidR="00B3514B" w:rsidRPr="009B1FA6">
        <w:rPr>
          <w:rFonts w:ascii="Times New Roman" w:hAnsi="Times New Roman" w:cs="Times New Roman"/>
          <w:sz w:val="24"/>
          <w:szCs w:val="24"/>
        </w:rPr>
        <w:t>tris</w:t>
      </w:r>
      <w:r w:rsidR="00242457" w:rsidRPr="009B1FA6">
        <w:rPr>
          <w:rFonts w:ascii="Times New Roman" w:hAnsi="Times New Roman" w:cs="Times New Roman"/>
          <w:sz w:val="24"/>
          <w:szCs w:val="24"/>
        </w:rPr>
        <w:t xml:space="preserve"> kartus pačioje Įstaigoje buvo organizuojami </w:t>
      </w:r>
      <w:r w:rsidR="00313D60" w:rsidRPr="009B1FA6">
        <w:rPr>
          <w:rFonts w:ascii="Times New Roman" w:hAnsi="Times New Roman" w:cs="Times New Roman"/>
          <w:sz w:val="24"/>
          <w:szCs w:val="24"/>
        </w:rPr>
        <w:t xml:space="preserve">seminarai </w:t>
      </w:r>
      <w:r w:rsidR="00B3514B" w:rsidRPr="009B1FA6">
        <w:rPr>
          <w:rFonts w:ascii="Times New Roman" w:hAnsi="Times New Roman" w:cs="Times New Roman"/>
          <w:sz w:val="24"/>
          <w:szCs w:val="24"/>
        </w:rPr>
        <w:t xml:space="preserve">bendrosios </w:t>
      </w:r>
      <w:r w:rsidR="00313D60" w:rsidRPr="009B1FA6">
        <w:rPr>
          <w:rFonts w:ascii="Times New Roman" w:hAnsi="Times New Roman" w:cs="Times New Roman"/>
          <w:sz w:val="24"/>
          <w:szCs w:val="24"/>
        </w:rPr>
        <w:t>praktikos slaugytojoms</w:t>
      </w:r>
      <w:r w:rsidR="00B3514B" w:rsidRPr="009B1FA6">
        <w:rPr>
          <w:rFonts w:ascii="Times New Roman" w:hAnsi="Times New Roman" w:cs="Times New Roman"/>
          <w:sz w:val="24"/>
          <w:szCs w:val="24"/>
        </w:rPr>
        <w:t xml:space="preserve"> dėl tobuli</w:t>
      </w:r>
      <w:r w:rsidR="009B1FA6" w:rsidRPr="009B1FA6">
        <w:rPr>
          <w:rFonts w:ascii="Times New Roman" w:hAnsi="Times New Roman" w:cs="Times New Roman"/>
          <w:sz w:val="24"/>
          <w:szCs w:val="24"/>
        </w:rPr>
        <w:t>nimosi ir kvalifikacijos kėlimo:</w:t>
      </w:r>
    </w:p>
    <w:p w:rsidR="009B1FA6" w:rsidRPr="009B1FA6" w:rsidRDefault="009B1FA6" w:rsidP="009B1FA6">
      <w:pPr>
        <w:pStyle w:val="Sraopastraipa"/>
        <w:numPr>
          <w:ilvl w:val="0"/>
          <w:numId w:val="14"/>
        </w:numPr>
        <w:spacing w:after="0" w:line="360" w:lineRule="auto"/>
        <w:jc w:val="both"/>
        <w:rPr>
          <w:rFonts w:ascii="Times New Roman" w:hAnsi="Times New Roman" w:cs="Times New Roman"/>
          <w:sz w:val="24"/>
          <w:szCs w:val="24"/>
        </w:rPr>
      </w:pPr>
      <w:r w:rsidRPr="009B1FA6">
        <w:rPr>
          <w:rFonts w:ascii="Times New Roman" w:hAnsi="Times New Roman" w:cs="Times New Roman"/>
          <w:sz w:val="24"/>
          <w:szCs w:val="24"/>
        </w:rPr>
        <w:t>„Pacientų sergančių depresija slauga“ – 16 val., dalyvavo 25 slaugytojos.</w:t>
      </w:r>
    </w:p>
    <w:p w:rsidR="009B1FA6" w:rsidRPr="009B1FA6" w:rsidRDefault="00242457" w:rsidP="009B1FA6">
      <w:pPr>
        <w:pStyle w:val="Sraopastraipa"/>
        <w:numPr>
          <w:ilvl w:val="0"/>
          <w:numId w:val="14"/>
        </w:numPr>
        <w:spacing w:after="0" w:line="360" w:lineRule="auto"/>
        <w:jc w:val="both"/>
        <w:rPr>
          <w:rFonts w:ascii="Times New Roman" w:hAnsi="Times New Roman" w:cs="Times New Roman"/>
          <w:sz w:val="24"/>
          <w:szCs w:val="24"/>
        </w:rPr>
      </w:pPr>
      <w:r w:rsidRPr="009B1FA6">
        <w:rPr>
          <w:rFonts w:ascii="Times New Roman" w:hAnsi="Times New Roman" w:cs="Times New Roman"/>
          <w:sz w:val="24"/>
          <w:szCs w:val="24"/>
        </w:rPr>
        <w:t xml:space="preserve"> </w:t>
      </w:r>
      <w:r w:rsidR="009B1FA6" w:rsidRPr="009B1FA6">
        <w:rPr>
          <w:rFonts w:ascii="Times New Roman" w:hAnsi="Times New Roman" w:cs="Times New Roman"/>
          <w:sz w:val="24"/>
          <w:szCs w:val="24"/>
        </w:rPr>
        <w:t>„Slaugytojai – pokyčių iniciatoriai. Investicija į slaugą – investicija į pacientų sveikatą“ – 8 val., dalyvavo 45 slaugytojos.</w:t>
      </w:r>
    </w:p>
    <w:p w:rsidR="009B1FA6" w:rsidRPr="009B1FA6" w:rsidRDefault="009B1FA6" w:rsidP="009B1FA6">
      <w:pPr>
        <w:pStyle w:val="Sraopastraipa"/>
        <w:numPr>
          <w:ilvl w:val="0"/>
          <w:numId w:val="14"/>
        </w:numPr>
        <w:spacing w:after="0" w:line="360" w:lineRule="auto"/>
        <w:jc w:val="both"/>
        <w:rPr>
          <w:rFonts w:ascii="Times New Roman" w:hAnsi="Times New Roman" w:cs="Times New Roman"/>
          <w:sz w:val="24"/>
          <w:szCs w:val="24"/>
        </w:rPr>
      </w:pPr>
      <w:r w:rsidRPr="009B1FA6">
        <w:rPr>
          <w:rFonts w:ascii="Times New Roman" w:hAnsi="Times New Roman" w:cs="Times New Roman"/>
          <w:sz w:val="24"/>
          <w:szCs w:val="24"/>
        </w:rPr>
        <w:t>„Medicinos prietaisų valdymo proceso sukūrimas įgyvendinimas asmens sveikatos priežiūros paslaugas teikiančiose įstaigose“ – 8 val., dalyvavo 12 slaugytojų.</w:t>
      </w:r>
    </w:p>
    <w:p w:rsidR="00972DCE" w:rsidRDefault="00242457" w:rsidP="009B1FA6">
      <w:pPr>
        <w:pStyle w:val="Sraopastraipa"/>
        <w:spacing w:after="0" w:line="360" w:lineRule="auto"/>
        <w:ind w:left="1440"/>
        <w:jc w:val="both"/>
        <w:rPr>
          <w:rFonts w:ascii="Times New Roman" w:hAnsi="Times New Roman" w:cs="Times New Roman"/>
          <w:sz w:val="24"/>
          <w:szCs w:val="24"/>
        </w:rPr>
      </w:pPr>
      <w:r w:rsidRPr="009B1FA6">
        <w:rPr>
          <w:rFonts w:ascii="Times New Roman" w:hAnsi="Times New Roman" w:cs="Times New Roman"/>
          <w:sz w:val="24"/>
          <w:szCs w:val="24"/>
        </w:rPr>
        <w:t xml:space="preserve">Iš viso dalyvavo </w:t>
      </w:r>
      <w:r w:rsidR="00B3514B" w:rsidRPr="009B1FA6">
        <w:rPr>
          <w:rFonts w:ascii="Times New Roman" w:hAnsi="Times New Roman" w:cs="Times New Roman"/>
          <w:sz w:val="24"/>
          <w:szCs w:val="24"/>
        </w:rPr>
        <w:t>137 b</w:t>
      </w:r>
      <w:r w:rsidR="00D13708" w:rsidRPr="009B1FA6">
        <w:rPr>
          <w:rFonts w:ascii="Times New Roman" w:hAnsi="Times New Roman" w:cs="Times New Roman"/>
          <w:sz w:val="24"/>
          <w:szCs w:val="24"/>
        </w:rPr>
        <w:t>endrosios praktikos slaugytoj</w:t>
      </w:r>
      <w:r w:rsidR="00313D60" w:rsidRPr="009B1FA6">
        <w:rPr>
          <w:rFonts w:ascii="Times New Roman" w:hAnsi="Times New Roman" w:cs="Times New Roman"/>
          <w:sz w:val="24"/>
          <w:szCs w:val="24"/>
        </w:rPr>
        <w:t xml:space="preserve">os. </w:t>
      </w:r>
    </w:p>
    <w:p w:rsidR="009B1FA6" w:rsidRPr="009B1FA6" w:rsidRDefault="0046278F" w:rsidP="0046278F">
      <w:pPr>
        <w:pStyle w:val="Sraopastraipa"/>
        <w:spacing w:after="0" w:line="360" w:lineRule="auto"/>
        <w:ind w:left="0" w:firstLine="993"/>
        <w:jc w:val="both"/>
        <w:rPr>
          <w:rFonts w:ascii="Times New Roman" w:hAnsi="Times New Roman" w:cs="Times New Roman"/>
          <w:sz w:val="24"/>
          <w:szCs w:val="24"/>
        </w:rPr>
      </w:pPr>
      <w:r>
        <w:rPr>
          <w:rFonts w:ascii="Times New Roman" w:hAnsi="Times New Roman" w:cs="Times New Roman"/>
          <w:sz w:val="24"/>
          <w:szCs w:val="24"/>
        </w:rPr>
        <w:t>2015 metais VšĮ Molėtų ligoninėje buvo perkvalifikuotos 8 valytojos į slaugytojų padėjėjas. Keturios bendrosios praktikos slaugytojos ir du gydytojai išklausė paliatyviosios  slaugos kursus. Viena bendrosios praktikos slaugytoja baigė rentgeno laborantės kursus.</w:t>
      </w:r>
    </w:p>
    <w:p w:rsidR="006A5C17" w:rsidRDefault="006A5C17" w:rsidP="009061C6">
      <w:pPr>
        <w:spacing w:after="0" w:line="360" w:lineRule="auto"/>
        <w:ind w:firstLine="1080"/>
        <w:jc w:val="both"/>
        <w:rPr>
          <w:rFonts w:ascii="Times New Roman" w:hAnsi="Times New Roman" w:cs="Times New Roman"/>
          <w:sz w:val="24"/>
          <w:szCs w:val="24"/>
        </w:rPr>
      </w:pPr>
    </w:p>
    <w:p w:rsidR="00242457" w:rsidRDefault="00242457" w:rsidP="00242457">
      <w:pPr>
        <w:pStyle w:val="Sraopastraipa"/>
        <w:numPr>
          <w:ilvl w:val="0"/>
          <w:numId w:val="4"/>
        </w:numPr>
        <w:spacing w:after="0" w:line="360" w:lineRule="auto"/>
        <w:jc w:val="center"/>
        <w:rPr>
          <w:rFonts w:ascii="Times New Roman" w:hAnsi="Times New Roman" w:cs="Times New Roman"/>
          <w:b/>
          <w:sz w:val="24"/>
          <w:szCs w:val="24"/>
        </w:rPr>
      </w:pPr>
      <w:r w:rsidRPr="00242457">
        <w:rPr>
          <w:rFonts w:ascii="Times New Roman" w:hAnsi="Times New Roman" w:cs="Times New Roman"/>
          <w:b/>
          <w:sz w:val="24"/>
          <w:szCs w:val="24"/>
        </w:rPr>
        <w:t>GAUTŲ PAJAMŲ IR SĄNAUDŲ STRUKTŪRA 201</w:t>
      </w:r>
      <w:r w:rsidR="00337A13">
        <w:rPr>
          <w:rFonts w:ascii="Times New Roman" w:hAnsi="Times New Roman" w:cs="Times New Roman"/>
          <w:b/>
          <w:sz w:val="24"/>
          <w:szCs w:val="24"/>
        </w:rPr>
        <w:t>5</w:t>
      </w:r>
      <w:r w:rsidRPr="00242457">
        <w:rPr>
          <w:rFonts w:ascii="Times New Roman" w:hAnsi="Times New Roman" w:cs="Times New Roman"/>
          <w:b/>
          <w:sz w:val="24"/>
          <w:szCs w:val="24"/>
        </w:rPr>
        <w:t xml:space="preserve"> M. </w:t>
      </w:r>
    </w:p>
    <w:p w:rsidR="00972DCE" w:rsidRDefault="00972DCE" w:rsidP="00972DCE">
      <w:pPr>
        <w:pStyle w:val="Sraopastraipa"/>
        <w:spacing w:after="0" w:line="360" w:lineRule="auto"/>
        <w:ind w:left="1080"/>
        <w:rPr>
          <w:rFonts w:ascii="Times New Roman" w:hAnsi="Times New Roman" w:cs="Times New Roman"/>
          <w:b/>
          <w:sz w:val="24"/>
          <w:szCs w:val="24"/>
        </w:rPr>
      </w:pPr>
    </w:p>
    <w:p w:rsidR="00045B3B" w:rsidRDefault="00242457" w:rsidP="00045B3B">
      <w:pPr>
        <w:spacing w:after="0"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Viešosios </w:t>
      </w:r>
      <w:r w:rsidR="00B937E0">
        <w:rPr>
          <w:rFonts w:ascii="Times New Roman" w:hAnsi="Times New Roman" w:cs="Times New Roman"/>
          <w:sz w:val="24"/>
          <w:szCs w:val="24"/>
        </w:rPr>
        <w:t>įstaigos M</w:t>
      </w:r>
      <w:r w:rsidR="003C610E">
        <w:rPr>
          <w:rFonts w:ascii="Times New Roman" w:hAnsi="Times New Roman" w:cs="Times New Roman"/>
          <w:sz w:val="24"/>
          <w:szCs w:val="24"/>
        </w:rPr>
        <w:t xml:space="preserve">olėtų ligoninės pajamos </w:t>
      </w:r>
      <w:r w:rsidR="00337A13">
        <w:rPr>
          <w:rFonts w:ascii="Times New Roman" w:hAnsi="Times New Roman" w:cs="Times New Roman"/>
          <w:sz w:val="24"/>
          <w:szCs w:val="24"/>
        </w:rPr>
        <w:t xml:space="preserve">iš viso </w:t>
      </w:r>
      <w:r w:rsidR="003C610E">
        <w:rPr>
          <w:rFonts w:ascii="Times New Roman" w:hAnsi="Times New Roman" w:cs="Times New Roman"/>
          <w:sz w:val="24"/>
          <w:szCs w:val="24"/>
        </w:rPr>
        <w:t>per 2015</w:t>
      </w:r>
      <w:r w:rsidR="00B937E0">
        <w:rPr>
          <w:rFonts w:ascii="Times New Roman" w:hAnsi="Times New Roman" w:cs="Times New Roman"/>
          <w:sz w:val="24"/>
          <w:szCs w:val="24"/>
        </w:rPr>
        <w:t xml:space="preserve"> metus sudarė </w:t>
      </w:r>
      <w:r w:rsidR="00337A13">
        <w:rPr>
          <w:rFonts w:ascii="Times New Roman" w:hAnsi="Times New Roman" w:cs="Times New Roman"/>
          <w:sz w:val="24"/>
          <w:szCs w:val="24"/>
        </w:rPr>
        <w:t>1703940 Eur.</w:t>
      </w:r>
    </w:p>
    <w:p w:rsidR="006A5C17" w:rsidRDefault="006A5C17" w:rsidP="006A5C17">
      <w:pPr>
        <w:spacing w:after="0" w:line="240" w:lineRule="auto"/>
        <w:ind w:left="360" w:firstLine="720"/>
        <w:jc w:val="right"/>
        <w:rPr>
          <w:rFonts w:ascii="Times New Roman" w:hAnsi="Times New Roman" w:cs="Times New Roman"/>
          <w:sz w:val="20"/>
          <w:szCs w:val="20"/>
        </w:rPr>
      </w:pPr>
      <w:r>
        <w:rPr>
          <w:rFonts w:ascii="Times New Roman" w:hAnsi="Times New Roman" w:cs="Times New Roman"/>
          <w:sz w:val="20"/>
          <w:szCs w:val="20"/>
        </w:rPr>
        <w:t>1 diagrama</w:t>
      </w:r>
    </w:p>
    <w:p w:rsidR="00337A13" w:rsidRPr="006A5C17" w:rsidRDefault="00337A13" w:rsidP="00337A13">
      <w:pPr>
        <w:spacing w:after="0" w:line="240" w:lineRule="auto"/>
        <w:ind w:left="360" w:hanging="360"/>
        <w:rPr>
          <w:rFonts w:ascii="Times New Roman" w:hAnsi="Times New Roman" w:cs="Times New Roman"/>
          <w:color w:val="FF0000"/>
          <w:sz w:val="20"/>
          <w:szCs w:val="20"/>
        </w:rPr>
      </w:pPr>
      <w:r w:rsidRPr="00337A13">
        <w:rPr>
          <w:noProof/>
          <w:color w:val="FF0000"/>
          <w:lang w:eastAsia="lt-LT"/>
        </w:rPr>
        <w:drawing>
          <wp:inline distT="0" distB="0" distL="0" distR="0">
            <wp:extent cx="607695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2346C" w:rsidRDefault="0002346C" w:rsidP="00B937E0">
      <w:pPr>
        <w:spacing w:after="0" w:line="360" w:lineRule="auto"/>
        <w:ind w:left="360" w:firstLine="720"/>
        <w:jc w:val="both"/>
        <w:rPr>
          <w:rFonts w:ascii="Times New Roman" w:hAnsi="Times New Roman" w:cs="Times New Roman"/>
          <w:color w:val="FF0000"/>
          <w:sz w:val="24"/>
          <w:szCs w:val="24"/>
        </w:rPr>
      </w:pPr>
    </w:p>
    <w:p w:rsidR="00BC0D7B" w:rsidRDefault="00BC0D7B" w:rsidP="0048753D">
      <w:pPr>
        <w:spacing w:after="0" w:line="360" w:lineRule="auto"/>
        <w:ind w:left="360" w:firstLine="633"/>
        <w:jc w:val="center"/>
        <w:rPr>
          <w:rFonts w:ascii="Times New Roman" w:hAnsi="Times New Roman" w:cs="Times New Roman"/>
          <w:color w:val="FF0000"/>
          <w:sz w:val="24"/>
          <w:szCs w:val="24"/>
        </w:rPr>
      </w:pPr>
    </w:p>
    <w:p w:rsidR="00544D1B" w:rsidRDefault="00544D1B" w:rsidP="0048753D">
      <w:pPr>
        <w:spacing w:after="0" w:line="360" w:lineRule="auto"/>
        <w:ind w:left="360" w:firstLine="633"/>
        <w:jc w:val="center"/>
        <w:rPr>
          <w:rFonts w:ascii="Times New Roman" w:hAnsi="Times New Roman" w:cs="Times New Roman"/>
          <w:color w:val="FF0000"/>
          <w:sz w:val="24"/>
          <w:szCs w:val="24"/>
        </w:rPr>
      </w:pPr>
    </w:p>
    <w:p w:rsidR="00413829" w:rsidRDefault="00413829" w:rsidP="0048753D">
      <w:pPr>
        <w:spacing w:after="0" w:line="360" w:lineRule="auto"/>
        <w:ind w:left="360" w:firstLine="633"/>
        <w:jc w:val="center"/>
        <w:rPr>
          <w:rFonts w:ascii="Times New Roman" w:hAnsi="Times New Roman" w:cs="Times New Roman"/>
          <w:sz w:val="24"/>
          <w:szCs w:val="24"/>
        </w:rPr>
      </w:pPr>
    </w:p>
    <w:p w:rsidR="00413829" w:rsidRDefault="00413829" w:rsidP="0048753D">
      <w:pPr>
        <w:spacing w:after="0" w:line="360" w:lineRule="auto"/>
        <w:ind w:left="360" w:firstLine="633"/>
        <w:jc w:val="center"/>
        <w:rPr>
          <w:rFonts w:ascii="Times New Roman" w:hAnsi="Times New Roman" w:cs="Times New Roman"/>
          <w:sz w:val="24"/>
          <w:szCs w:val="24"/>
        </w:rPr>
      </w:pPr>
    </w:p>
    <w:p w:rsidR="00B937E0" w:rsidRPr="00BC0D7B" w:rsidRDefault="0048753D" w:rsidP="0048753D">
      <w:pPr>
        <w:spacing w:after="0" w:line="360" w:lineRule="auto"/>
        <w:ind w:left="360" w:firstLine="633"/>
        <w:jc w:val="center"/>
        <w:rPr>
          <w:rFonts w:ascii="Times New Roman" w:hAnsi="Times New Roman" w:cs="Times New Roman"/>
          <w:sz w:val="24"/>
          <w:szCs w:val="24"/>
        </w:rPr>
      </w:pPr>
      <w:r w:rsidRPr="00BC0D7B">
        <w:rPr>
          <w:rFonts w:ascii="Times New Roman" w:hAnsi="Times New Roman" w:cs="Times New Roman"/>
          <w:sz w:val="24"/>
          <w:szCs w:val="24"/>
        </w:rPr>
        <w:lastRenderedPageBreak/>
        <w:t>VšĮ Molėtų</w:t>
      </w:r>
      <w:r w:rsidR="00BC0D7B">
        <w:rPr>
          <w:rFonts w:ascii="Times New Roman" w:hAnsi="Times New Roman" w:cs="Times New Roman"/>
          <w:sz w:val="24"/>
          <w:szCs w:val="24"/>
        </w:rPr>
        <w:t xml:space="preserve"> ligoninės pajamų struktūra 2013</w:t>
      </w:r>
      <w:r w:rsidRPr="00BC0D7B">
        <w:rPr>
          <w:rFonts w:ascii="Times New Roman" w:hAnsi="Times New Roman" w:cs="Times New Roman"/>
          <w:sz w:val="24"/>
          <w:szCs w:val="24"/>
        </w:rPr>
        <w:t xml:space="preserve"> – 201</w:t>
      </w:r>
      <w:r w:rsidR="003C610E" w:rsidRPr="00BC0D7B">
        <w:rPr>
          <w:rFonts w:ascii="Times New Roman" w:hAnsi="Times New Roman" w:cs="Times New Roman"/>
          <w:sz w:val="24"/>
          <w:szCs w:val="24"/>
        </w:rPr>
        <w:t>5</w:t>
      </w:r>
      <w:r w:rsidRPr="00BC0D7B">
        <w:rPr>
          <w:rFonts w:ascii="Times New Roman" w:hAnsi="Times New Roman" w:cs="Times New Roman"/>
          <w:sz w:val="24"/>
          <w:szCs w:val="24"/>
        </w:rPr>
        <w:t xml:space="preserve"> m.</w:t>
      </w:r>
    </w:p>
    <w:p w:rsidR="00BC0D7B" w:rsidRDefault="006A5C17" w:rsidP="006A5C17">
      <w:pPr>
        <w:spacing w:after="0" w:line="240" w:lineRule="auto"/>
        <w:jc w:val="right"/>
        <w:rPr>
          <w:rFonts w:ascii="Times New Roman" w:hAnsi="Times New Roman" w:cs="Times New Roman"/>
          <w:sz w:val="20"/>
          <w:szCs w:val="20"/>
        </w:rPr>
      </w:pPr>
      <w:r w:rsidRPr="006A5C17">
        <w:rPr>
          <w:rFonts w:ascii="Times New Roman" w:hAnsi="Times New Roman" w:cs="Times New Roman"/>
          <w:sz w:val="20"/>
          <w:szCs w:val="20"/>
        </w:rPr>
        <w:t>2 diagrama</w:t>
      </w:r>
    </w:p>
    <w:p w:rsidR="00EF4317" w:rsidRDefault="00EF4317" w:rsidP="006A5C17">
      <w:pPr>
        <w:spacing w:after="0" w:line="240" w:lineRule="auto"/>
        <w:jc w:val="right"/>
        <w:rPr>
          <w:rFonts w:ascii="Times New Roman" w:hAnsi="Times New Roman" w:cs="Times New Roman"/>
          <w:sz w:val="20"/>
          <w:szCs w:val="20"/>
        </w:rPr>
      </w:pPr>
      <w:r>
        <w:rPr>
          <w:noProof/>
          <w:lang w:eastAsia="lt-LT"/>
        </w:rPr>
        <w:drawing>
          <wp:inline distT="0" distB="0" distL="0" distR="0">
            <wp:extent cx="6124575" cy="4019550"/>
            <wp:effectExtent l="0" t="0" r="952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8753D" w:rsidRDefault="0048753D" w:rsidP="00EF4317">
      <w:pPr>
        <w:spacing w:after="0" w:line="240" w:lineRule="auto"/>
        <w:rPr>
          <w:rFonts w:ascii="Times New Roman" w:hAnsi="Times New Roman" w:cs="Times New Roman"/>
          <w:b/>
          <w:color w:val="FF0000"/>
          <w:sz w:val="24"/>
          <w:szCs w:val="24"/>
        </w:rPr>
      </w:pPr>
    </w:p>
    <w:p w:rsidR="00AB1D92" w:rsidRDefault="00AB1D92" w:rsidP="00AB1D92">
      <w:pPr>
        <w:spacing w:after="0" w:line="360" w:lineRule="auto"/>
        <w:ind w:left="360" w:firstLine="633"/>
        <w:jc w:val="both"/>
        <w:rPr>
          <w:rFonts w:ascii="Times New Roman" w:hAnsi="Times New Roman" w:cs="Times New Roman"/>
          <w:sz w:val="24"/>
          <w:szCs w:val="24"/>
        </w:rPr>
      </w:pPr>
      <w:r w:rsidRPr="0002346C">
        <w:rPr>
          <w:rFonts w:ascii="Times New Roman" w:hAnsi="Times New Roman" w:cs="Times New Roman"/>
          <w:sz w:val="24"/>
          <w:szCs w:val="24"/>
        </w:rPr>
        <w:t>Visos gautos lėšos ir jų panaudojimas pagal lėšų šaltinius apskaitomi pagal pinigų srautus.</w:t>
      </w:r>
    </w:p>
    <w:p w:rsidR="00EF4317" w:rsidRDefault="00EF4317" w:rsidP="008723E7">
      <w:pPr>
        <w:spacing w:after="0" w:line="360" w:lineRule="auto"/>
        <w:ind w:left="360" w:firstLine="720"/>
        <w:jc w:val="both"/>
        <w:rPr>
          <w:rFonts w:ascii="Times New Roman" w:hAnsi="Times New Roman" w:cs="Times New Roman"/>
          <w:sz w:val="24"/>
          <w:szCs w:val="24"/>
        </w:rPr>
      </w:pPr>
    </w:p>
    <w:p w:rsidR="008723E7" w:rsidRDefault="008723E7" w:rsidP="008723E7">
      <w:pPr>
        <w:spacing w:after="0"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Viešosios įstaigos Molėtų ligoninės </w:t>
      </w:r>
      <w:r w:rsidR="006A5C17">
        <w:rPr>
          <w:rFonts w:ascii="Times New Roman" w:hAnsi="Times New Roman" w:cs="Times New Roman"/>
          <w:sz w:val="24"/>
          <w:szCs w:val="24"/>
        </w:rPr>
        <w:t>sąnaudos</w:t>
      </w:r>
      <w:r>
        <w:rPr>
          <w:rFonts w:ascii="Times New Roman" w:hAnsi="Times New Roman" w:cs="Times New Roman"/>
          <w:sz w:val="24"/>
          <w:szCs w:val="24"/>
        </w:rPr>
        <w:t xml:space="preserve"> </w:t>
      </w:r>
      <w:r w:rsidR="00BC0D7B">
        <w:rPr>
          <w:rFonts w:ascii="Times New Roman" w:hAnsi="Times New Roman" w:cs="Times New Roman"/>
          <w:sz w:val="24"/>
          <w:szCs w:val="24"/>
        </w:rPr>
        <w:t xml:space="preserve">iš viso </w:t>
      </w:r>
      <w:r>
        <w:rPr>
          <w:rFonts w:ascii="Times New Roman" w:hAnsi="Times New Roman" w:cs="Times New Roman"/>
          <w:sz w:val="24"/>
          <w:szCs w:val="24"/>
        </w:rPr>
        <w:t>per 201</w:t>
      </w:r>
      <w:r w:rsidR="003C610E">
        <w:rPr>
          <w:rFonts w:ascii="Times New Roman" w:hAnsi="Times New Roman" w:cs="Times New Roman"/>
          <w:sz w:val="24"/>
          <w:szCs w:val="24"/>
        </w:rPr>
        <w:t>5</w:t>
      </w:r>
      <w:r>
        <w:rPr>
          <w:rFonts w:ascii="Times New Roman" w:hAnsi="Times New Roman" w:cs="Times New Roman"/>
          <w:sz w:val="24"/>
          <w:szCs w:val="24"/>
        </w:rPr>
        <w:t xml:space="preserve"> metus sudarė </w:t>
      </w:r>
      <w:r w:rsidR="00BC0D7B" w:rsidRPr="00BC0D7B">
        <w:rPr>
          <w:rFonts w:ascii="Times New Roman" w:hAnsi="Times New Roman" w:cs="Times New Roman"/>
          <w:b/>
          <w:sz w:val="24"/>
          <w:szCs w:val="24"/>
        </w:rPr>
        <w:t>1683986 Eur.</w:t>
      </w:r>
    </w:p>
    <w:p w:rsidR="00D711BF" w:rsidRDefault="006A5C17" w:rsidP="00544D1B">
      <w:pPr>
        <w:spacing w:after="0" w:line="240" w:lineRule="auto"/>
        <w:ind w:left="360" w:firstLine="720"/>
        <w:jc w:val="right"/>
        <w:rPr>
          <w:rFonts w:ascii="Times New Roman" w:hAnsi="Times New Roman" w:cs="Times New Roman"/>
          <w:sz w:val="20"/>
          <w:szCs w:val="20"/>
        </w:rPr>
      </w:pPr>
      <w:r>
        <w:rPr>
          <w:rFonts w:ascii="Times New Roman" w:hAnsi="Times New Roman" w:cs="Times New Roman"/>
          <w:sz w:val="20"/>
          <w:szCs w:val="20"/>
        </w:rPr>
        <w:t>3 diagrama</w:t>
      </w:r>
      <w:r w:rsidR="00D711BF">
        <w:rPr>
          <w:noProof/>
          <w:lang w:eastAsia="lt-LT"/>
        </w:rPr>
        <w:drawing>
          <wp:inline distT="0" distB="0" distL="0" distR="0">
            <wp:extent cx="6000750" cy="314325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E02DC" w:rsidRPr="006A5C17" w:rsidRDefault="001E02DC" w:rsidP="001E02DC">
      <w:pPr>
        <w:spacing w:after="0" w:line="240" w:lineRule="auto"/>
        <w:ind w:left="360" w:hanging="218"/>
        <w:rPr>
          <w:rFonts w:ascii="Times New Roman" w:hAnsi="Times New Roman" w:cs="Times New Roman"/>
          <w:color w:val="FF0000"/>
          <w:sz w:val="20"/>
          <w:szCs w:val="20"/>
        </w:rPr>
      </w:pPr>
    </w:p>
    <w:p w:rsidR="00413829" w:rsidRDefault="00413829" w:rsidP="00D13708">
      <w:pPr>
        <w:spacing w:after="0" w:line="360" w:lineRule="auto"/>
        <w:ind w:left="360" w:hanging="360"/>
        <w:jc w:val="center"/>
        <w:rPr>
          <w:rFonts w:ascii="Times New Roman" w:hAnsi="Times New Roman" w:cs="Times New Roman"/>
          <w:sz w:val="24"/>
          <w:szCs w:val="24"/>
        </w:rPr>
      </w:pPr>
    </w:p>
    <w:p w:rsidR="00D13708" w:rsidRPr="002B5975" w:rsidRDefault="00DB0DD6" w:rsidP="00D13708">
      <w:pPr>
        <w:spacing w:after="0" w:line="360" w:lineRule="auto"/>
        <w:ind w:left="360" w:hanging="360"/>
        <w:jc w:val="center"/>
        <w:rPr>
          <w:rFonts w:ascii="Times New Roman" w:hAnsi="Times New Roman" w:cs="Times New Roman"/>
          <w:sz w:val="24"/>
          <w:szCs w:val="24"/>
        </w:rPr>
      </w:pPr>
      <w:r w:rsidRPr="002B5975">
        <w:rPr>
          <w:rFonts w:ascii="Times New Roman" w:hAnsi="Times New Roman" w:cs="Times New Roman"/>
          <w:sz w:val="24"/>
          <w:szCs w:val="24"/>
        </w:rPr>
        <w:lastRenderedPageBreak/>
        <w:t xml:space="preserve">VšĮ Molėtų ligoninės </w:t>
      </w:r>
      <w:r w:rsidR="00AA30A4" w:rsidRPr="002B5975">
        <w:rPr>
          <w:rFonts w:ascii="Times New Roman" w:hAnsi="Times New Roman" w:cs="Times New Roman"/>
          <w:sz w:val="24"/>
          <w:szCs w:val="24"/>
        </w:rPr>
        <w:t>sąnaudų</w:t>
      </w:r>
      <w:r w:rsidR="00D711BF" w:rsidRPr="002B5975">
        <w:rPr>
          <w:rFonts w:ascii="Times New Roman" w:hAnsi="Times New Roman" w:cs="Times New Roman"/>
          <w:sz w:val="24"/>
          <w:szCs w:val="24"/>
        </w:rPr>
        <w:t xml:space="preserve"> struktūra 2013</w:t>
      </w:r>
      <w:r w:rsidR="003C610E" w:rsidRPr="002B5975">
        <w:rPr>
          <w:rFonts w:ascii="Times New Roman" w:hAnsi="Times New Roman" w:cs="Times New Roman"/>
          <w:sz w:val="24"/>
          <w:szCs w:val="24"/>
        </w:rPr>
        <w:t xml:space="preserve"> – 2015</w:t>
      </w:r>
      <w:r w:rsidRPr="002B5975">
        <w:rPr>
          <w:rFonts w:ascii="Times New Roman" w:hAnsi="Times New Roman" w:cs="Times New Roman"/>
          <w:sz w:val="24"/>
          <w:szCs w:val="24"/>
        </w:rPr>
        <w:t xml:space="preserve"> m.</w:t>
      </w:r>
    </w:p>
    <w:p w:rsidR="00721C73" w:rsidRDefault="00AA30A4" w:rsidP="00C5258D">
      <w:pPr>
        <w:spacing w:after="0" w:line="360" w:lineRule="auto"/>
        <w:jc w:val="right"/>
        <w:rPr>
          <w:rFonts w:ascii="Times New Roman" w:hAnsi="Times New Roman" w:cs="Times New Roman"/>
          <w:sz w:val="20"/>
          <w:szCs w:val="20"/>
        </w:rPr>
      </w:pPr>
      <w:r>
        <w:rPr>
          <w:rFonts w:ascii="Times New Roman" w:hAnsi="Times New Roman" w:cs="Times New Roman"/>
          <w:sz w:val="20"/>
          <w:szCs w:val="20"/>
        </w:rPr>
        <w:t>4 diagrama</w:t>
      </w:r>
    </w:p>
    <w:p w:rsidR="00721C73" w:rsidRDefault="00721C73" w:rsidP="00C5258D">
      <w:pPr>
        <w:spacing w:after="0" w:line="360" w:lineRule="auto"/>
        <w:jc w:val="right"/>
        <w:rPr>
          <w:rFonts w:ascii="Times New Roman" w:hAnsi="Times New Roman" w:cs="Times New Roman"/>
          <w:sz w:val="20"/>
          <w:szCs w:val="20"/>
        </w:rPr>
      </w:pPr>
      <w:r>
        <w:rPr>
          <w:noProof/>
          <w:lang w:eastAsia="lt-LT"/>
        </w:rPr>
        <w:drawing>
          <wp:inline distT="0" distB="0" distL="0" distR="0">
            <wp:extent cx="6038850" cy="27432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81A74" w:rsidRPr="00D81A74" w:rsidRDefault="00D81A74" w:rsidP="00D81A74">
      <w:pPr>
        <w:tabs>
          <w:tab w:val="left" w:pos="993"/>
        </w:tabs>
        <w:spacing w:after="0" w:line="360" w:lineRule="auto"/>
        <w:ind w:left="360"/>
        <w:jc w:val="center"/>
        <w:rPr>
          <w:rFonts w:ascii="Times New Roman" w:hAnsi="Times New Roman" w:cs="Times New Roman"/>
          <w:b/>
          <w:sz w:val="24"/>
          <w:szCs w:val="24"/>
        </w:rPr>
      </w:pPr>
    </w:p>
    <w:p w:rsidR="00AB1D92" w:rsidRDefault="00972DCE" w:rsidP="00C5258D">
      <w:pPr>
        <w:pStyle w:val="Sraopastraipa"/>
        <w:numPr>
          <w:ilvl w:val="0"/>
          <w:numId w:val="4"/>
        </w:numPr>
        <w:tabs>
          <w:tab w:val="left" w:pos="993"/>
        </w:tabs>
        <w:spacing w:after="0" w:line="360" w:lineRule="auto"/>
        <w:ind w:hanging="1080"/>
        <w:jc w:val="center"/>
        <w:rPr>
          <w:rFonts w:ascii="Times New Roman" w:hAnsi="Times New Roman" w:cs="Times New Roman"/>
          <w:b/>
          <w:sz w:val="24"/>
          <w:szCs w:val="24"/>
        </w:rPr>
      </w:pPr>
      <w:r w:rsidRPr="00972DCE">
        <w:rPr>
          <w:rFonts w:ascii="Times New Roman" w:hAnsi="Times New Roman" w:cs="Times New Roman"/>
          <w:b/>
          <w:sz w:val="24"/>
          <w:szCs w:val="24"/>
        </w:rPr>
        <w:t>VEIKLOS RODIKLIAI</w:t>
      </w:r>
    </w:p>
    <w:p w:rsidR="00F30CAB" w:rsidRDefault="00F30CAB" w:rsidP="00F30CAB">
      <w:pPr>
        <w:jc w:val="center"/>
        <w:rPr>
          <w:rFonts w:ascii="Times New Roman" w:hAnsi="Times New Roman" w:cs="Times New Roman"/>
          <w:b/>
          <w:sz w:val="24"/>
          <w:szCs w:val="24"/>
        </w:rPr>
      </w:pPr>
      <w:r>
        <w:rPr>
          <w:rFonts w:ascii="Times New Roman" w:hAnsi="Times New Roman" w:cs="Times New Roman"/>
          <w:b/>
          <w:sz w:val="24"/>
          <w:szCs w:val="24"/>
        </w:rPr>
        <w:t xml:space="preserve">VIDAUS LIGŲ SKYRIAUS DARBO </w:t>
      </w:r>
      <w:r w:rsidR="002825C9">
        <w:rPr>
          <w:rFonts w:ascii="Times New Roman" w:hAnsi="Times New Roman" w:cs="Times New Roman"/>
          <w:b/>
          <w:sz w:val="24"/>
          <w:szCs w:val="24"/>
        </w:rPr>
        <w:t>ATASKAITA</w:t>
      </w:r>
    </w:p>
    <w:p w:rsidR="00531FDB" w:rsidRDefault="00531FDB" w:rsidP="00531FDB">
      <w:pPr>
        <w:tabs>
          <w:tab w:val="left" w:pos="645"/>
        </w:tabs>
        <w:spacing w:line="360" w:lineRule="auto"/>
        <w:jc w:val="both"/>
        <w:rPr>
          <w:rFonts w:ascii="Times New Roman" w:hAnsi="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sz w:val="24"/>
          <w:szCs w:val="24"/>
        </w:rPr>
        <w:t>Vidaus ligų skyriuje yra 37 lovos. Skyriuje tiriami ir gydomi pacientai, sergantys įvairiomis vidaus organų ir nervų sistemos ligomis. Tai – kvėpavimo sistemos, virškinamojo trakto, širdies – kraujagyslių, jungiamojo audinio ir skeleto – raumenų sistemos, endokrininės, onkologinės, inkstų, stuburo ir periferinės nervų sistemos, galvos bei nugaros smegenų kraujagyslių ligos, Parkinsono liga, išsėtinė sklerozė, epilepsija, galvos skausminiai sindromai, vestibulinės funkcijos sutrikimai, galvos ir nugaros smegenų traumos ir kt.</w:t>
      </w:r>
    </w:p>
    <w:p w:rsidR="00D13708" w:rsidRPr="008B442F" w:rsidRDefault="00531FDB" w:rsidP="008B442F">
      <w:pPr>
        <w:spacing w:line="360" w:lineRule="auto"/>
        <w:ind w:firstLine="1296"/>
        <w:jc w:val="both"/>
        <w:rPr>
          <w:rFonts w:ascii="Times New Roman" w:hAnsi="Times New Roman"/>
          <w:sz w:val="24"/>
          <w:szCs w:val="24"/>
        </w:rPr>
      </w:pPr>
      <w:r>
        <w:rPr>
          <w:rFonts w:ascii="Times New Roman" w:hAnsi="Times New Roman"/>
          <w:sz w:val="24"/>
          <w:szCs w:val="24"/>
        </w:rPr>
        <w:t>Vidaus ligų skyriuje 2015 metais gydėsi 1126</w:t>
      </w:r>
      <w:r w:rsidR="008B442F">
        <w:rPr>
          <w:rFonts w:ascii="Times New Roman" w:hAnsi="Times New Roman"/>
          <w:sz w:val="24"/>
          <w:szCs w:val="24"/>
        </w:rPr>
        <w:t xml:space="preserve"> ligoniai, 255 ligoniais mažiau</w:t>
      </w:r>
      <w:r>
        <w:rPr>
          <w:rFonts w:ascii="Times New Roman" w:hAnsi="Times New Roman"/>
          <w:sz w:val="24"/>
          <w:szCs w:val="24"/>
        </w:rPr>
        <w:t>, nei 2014 metais, iš jų  300 neurologinių ligonių, tai sudaro 27 % visų gydytų ligonių. Sumažėjo lovadienių skaičius nuo 11702 (2014</w:t>
      </w:r>
      <w:r w:rsidR="008B442F">
        <w:rPr>
          <w:rFonts w:ascii="Times New Roman" w:hAnsi="Times New Roman"/>
          <w:sz w:val="24"/>
          <w:szCs w:val="24"/>
        </w:rPr>
        <w:t xml:space="preserve"> </w:t>
      </w:r>
      <w:r>
        <w:rPr>
          <w:rFonts w:ascii="Times New Roman" w:hAnsi="Times New Roman"/>
          <w:sz w:val="24"/>
          <w:szCs w:val="24"/>
        </w:rPr>
        <w:t>m.) iki 9550 (2015</w:t>
      </w:r>
      <w:r w:rsidR="008B442F">
        <w:rPr>
          <w:rFonts w:ascii="Times New Roman" w:hAnsi="Times New Roman"/>
          <w:sz w:val="24"/>
          <w:szCs w:val="24"/>
        </w:rPr>
        <w:t xml:space="preserve"> </w:t>
      </w:r>
      <w:r>
        <w:rPr>
          <w:rFonts w:ascii="Times New Roman" w:hAnsi="Times New Roman"/>
          <w:sz w:val="24"/>
          <w:szCs w:val="24"/>
        </w:rPr>
        <w:t>m.). Vidutinis gulėjimo laikas išlieka toks pats, kaip 2014</w:t>
      </w:r>
      <w:r w:rsidR="008B442F">
        <w:rPr>
          <w:rFonts w:ascii="Times New Roman" w:hAnsi="Times New Roman"/>
          <w:sz w:val="24"/>
          <w:szCs w:val="24"/>
        </w:rPr>
        <w:t xml:space="preserve"> </w:t>
      </w:r>
      <w:r>
        <w:rPr>
          <w:rFonts w:ascii="Times New Roman" w:hAnsi="Times New Roman"/>
          <w:sz w:val="24"/>
          <w:szCs w:val="24"/>
        </w:rPr>
        <w:t xml:space="preserve">m. </w:t>
      </w:r>
      <w:r w:rsidR="008B442F">
        <w:rPr>
          <w:rFonts w:ascii="Times New Roman" w:hAnsi="Times New Roman"/>
          <w:sz w:val="24"/>
          <w:szCs w:val="24"/>
        </w:rPr>
        <w:t xml:space="preserve">– </w:t>
      </w:r>
      <w:r>
        <w:rPr>
          <w:rFonts w:ascii="Times New Roman" w:hAnsi="Times New Roman"/>
          <w:sz w:val="24"/>
          <w:szCs w:val="24"/>
        </w:rPr>
        <w:t>8,5. Mirtingumas, lyginant su praeitais metais, be ženklios dinamikos.  Į kitus sta</w:t>
      </w:r>
      <w:r w:rsidR="008B442F">
        <w:rPr>
          <w:rFonts w:ascii="Times New Roman" w:hAnsi="Times New Roman"/>
          <w:sz w:val="24"/>
          <w:szCs w:val="24"/>
        </w:rPr>
        <w:t>cionarus perkelta 96 ligoniai (5 diagrama).</w:t>
      </w:r>
      <w:r>
        <w:rPr>
          <w:rFonts w:ascii="Times New Roman" w:hAnsi="Times New Roman"/>
          <w:sz w:val="24"/>
          <w:szCs w:val="24"/>
        </w:rPr>
        <w:t xml:space="preserve"> </w:t>
      </w:r>
    </w:p>
    <w:p w:rsidR="00544D1B" w:rsidRDefault="00544D1B" w:rsidP="00D13708">
      <w:pPr>
        <w:spacing w:line="360" w:lineRule="auto"/>
        <w:jc w:val="right"/>
        <w:rPr>
          <w:rFonts w:ascii="Times New Roman" w:hAnsi="Times New Roman" w:cs="Times New Roman"/>
          <w:sz w:val="20"/>
          <w:szCs w:val="20"/>
        </w:rPr>
      </w:pPr>
    </w:p>
    <w:p w:rsidR="00544D1B" w:rsidRDefault="00544D1B" w:rsidP="00D13708">
      <w:pPr>
        <w:spacing w:line="360" w:lineRule="auto"/>
        <w:jc w:val="right"/>
        <w:rPr>
          <w:rFonts w:ascii="Times New Roman" w:hAnsi="Times New Roman" w:cs="Times New Roman"/>
          <w:sz w:val="20"/>
          <w:szCs w:val="20"/>
        </w:rPr>
      </w:pPr>
    </w:p>
    <w:p w:rsidR="00544D1B" w:rsidRDefault="00544D1B" w:rsidP="00D13708">
      <w:pPr>
        <w:spacing w:line="360" w:lineRule="auto"/>
        <w:jc w:val="right"/>
        <w:rPr>
          <w:rFonts w:ascii="Times New Roman" w:hAnsi="Times New Roman" w:cs="Times New Roman"/>
          <w:sz w:val="20"/>
          <w:szCs w:val="20"/>
        </w:rPr>
      </w:pPr>
    </w:p>
    <w:p w:rsidR="00544D1B" w:rsidRDefault="00544D1B" w:rsidP="00D13708">
      <w:pPr>
        <w:spacing w:line="360" w:lineRule="auto"/>
        <w:jc w:val="right"/>
        <w:rPr>
          <w:rFonts w:ascii="Times New Roman" w:hAnsi="Times New Roman" w:cs="Times New Roman"/>
          <w:sz w:val="20"/>
          <w:szCs w:val="20"/>
        </w:rPr>
      </w:pPr>
    </w:p>
    <w:p w:rsidR="00544D1B" w:rsidRDefault="00544D1B" w:rsidP="00D13708">
      <w:pPr>
        <w:spacing w:line="360" w:lineRule="auto"/>
        <w:jc w:val="right"/>
        <w:rPr>
          <w:rFonts w:ascii="Times New Roman" w:hAnsi="Times New Roman" w:cs="Times New Roman"/>
          <w:sz w:val="20"/>
          <w:szCs w:val="20"/>
        </w:rPr>
      </w:pPr>
    </w:p>
    <w:p w:rsidR="00544D1B" w:rsidRDefault="00544D1B" w:rsidP="00D13708">
      <w:pPr>
        <w:spacing w:line="360" w:lineRule="auto"/>
        <w:jc w:val="right"/>
        <w:rPr>
          <w:rFonts w:ascii="Times New Roman" w:hAnsi="Times New Roman" w:cs="Times New Roman"/>
          <w:sz w:val="20"/>
          <w:szCs w:val="20"/>
        </w:rPr>
      </w:pPr>
    </w:p>
    <w:p w:rsidR="00F30CAB" w:rsidRDefault="00AA30A4" w:rsidP="00D13708">
      <w:pPr>
        <w:spacing w:line="360" w:lineRule="auto"/>
        <w:jc w:val="right"/>
        <w:rPr>
          <w:rFonts w:ascii="Times New Roman" w:hAnsi="Times New Roman" w:cs="Times New Roman"/>
          <w:sz w:val="20"/>
          <w:szCs w:val="20"/>
        </w:rPr>
      </w:pPr>
      <w:r>
        <w:rPr>
          <w:rFonts w:ascii="Times New Roman" w:hAnsi="Times New Roman" w:cs="Times New Roman"/>
          <w:sz w:val="20"/>
          <w:szCs w:val="20"/>
        </w:rPr>
        <w:lastRenderedPageBreak/>
        <w:t>5</w:t>
      </w:r>
      <w:r w:rsidR="00F30CAB">
        <w:rPr>
          <w:rFonts w:ascii="Times New Roman" w:hAnsi="Times New Roman" w:cs="Times New Roman"/>
          <w:sz w:val="20"/>
          <w:szCs w:val="20"/>
        </w:rPr>
        <w:t xml:space="preserve"> diagrama</w:t>
      </w:r>
    </w:p>
    <w:p w:rsidR="008B442F" w:rsidRPr="00DA5965" w:rsidRDefault="008B442F" w:rsidP="00D13708">
      <w:pPr>
        <w:spacing w:line="360" w:lineRule="auto"/>
        <w:jc w:val="right"/>
        <w:rPr>
          <w:rFonts w:ascii="Times New Roman" w:hAnsi="Times New Roman" w:cs="Times New Roman"/>
          <w:sz w:val="20"/>
          <w:szCs w:val="20"/>
        </w:rPr>
      </w:pPr>
      <w:r>
        <w:rPr>
          <w:noProof/>
          <w:lang w:eastAsia="lt-LT"/>
        </w:rPr>
        <w:drawing>
          <wp:inline distT="0" distB="0" distL="0" distR="0">
            <wp:extent cx="6191250" cy="3324225"/>
            <wp:effectExtent l="0" t="0" r="0"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30CAB" w:rsidRPr="00F13BCB" w:rsidRDefault="00F30CAB" w:rsidP="00F30CAB">
      <w:pPr>
        <w:spacing w:line="360" w:lineRule="auto"/>
        <w:jc w:val="both"/>
        <w:rPr>
          <w:rFonts w:ascii="Times New Roman" w:hAnsi="Times New Roman" w:cs="Times New Roman"/>
          <w:b/>
          <w:sz w:val="24"/>
          <w:szCs w:val="24"/>
        </w:rPr>
      </w:pPr>
    </w:p>
    <w:p w:rsidR="00A644D8" w:rsidRPr="00544D1B" w:rsidRDefault="00F30CAB" w:rsidP="00544D1B">
      <w:pPr>
        <w:rPr>
          <w:rFonts w:ascii="Times New Roman" w:hAnsi="Times New Roman"/>
          <w:sz w:val="24"/>
          <w:szCs w:val="24"/>
        </w:rPr>
      </w:pPr>
      <w:r>
        <w:rPr>
          <w:rFonts w:ascii="Times New Roman" w:hAnsi="Times New Roman" w:cs="Times New Roman"/>
          <w:sz w:val="24"/>
          <w:szCs w:val="24"/>
        </w:rPr>
        <w:tab/>
      </w:r>
      <w:r w:rsidR="008B442F">
        <w:rPr>
          <w:rFonts w:ascii="Times New Roman" w:hAnsi="Times New Roman"/>
          <w:sz w:val="24"/>
          <w:szCs w:val="24"/>
        </w:rPr>
        <w:t xml:space="preserve">Šeštoje diagramoje pateikiama informacija apie ligonių patekimo į Vidaus ligų skyrių kelio analizė. </w:t>
      </w:r>
    </w:p>
    <w:p w:rsidR="00D81A74" w:rsidRDefault="00AA30A4" w:rsidP="00A644D8">
      <w:pPr>
        <w:spacing w:line="360" w:lineRule="auto"/>
        <w:jc w:val="right"/>
        <w:rPr>
          <w:rFonts w:ascii="Times New Roman" w:hAnsi="Times New Roman" w:cs="Times New Roman"/>
          <w:sz w:val="24"/>
          <w:szCs w:val="24"/>
        </w:rPr>
      </w:pPr>
      <w:r>
        <w:rPr>
          <w:rFonts w:ascii="Times New Roman" w:hAnsi="Times New Roman" w:cs="Times New Roman"/>
          <w:sz w:val="20"/>
          <w:szCs w:val="20"/>
        </w:rPr>
        <w:t>6</w:t>
      </w:r>
      <w:r w:rsidR="00F30CAB">
        <w:rPr>
          <w:rFonts w:ascii="Times New Roman" w:hAnsi="Times New Roman" w:cs="Times New Roman"/>
          <w:sz w:val="20"/>
          <w:szCs w:val="20"/>
        </w:rPr>
        <w:t xml:space="preserve"> diagrama</w:t>
      </w:r>
      <w:r w:rsidR="00F30CAB">
        <w:rPr>
          <w:rFonts w:ascii="Times New Roman" w:hAnsi="Times New Roman" w:cs="Times New Roman"/>
          <w:sz w:val="24"/>
          <w:szCs w:val="24"/>
        </w:rPr>
        <w:t xml:space="preserve"> </w:t>
      </w:r>
    </w:p>
    <w:p w:rsidR="00D81A74" w:rsidRDefault="001C6C4F" w:rsidP="00D81A74">
      <w:pPr>
        <w:spacing w:line="360" w:lineRule="auto"/>
        <w:rPr>
          <w:rFonts w:ascii="Times New Roman" w:hAnsi="Times New Roman" w:cs="Times New Roman"/>
          <w:sz w:val="24"/>
          <w:szCs w:val="24"/>
        </w:rPr>
      </w:pPr>
      <w:r>
        <w:rPr>
          <w:noProof/>
          <w:lang w:eastAsia="lt-LT"/>
        </w:rPr>
        <w:drawing>
          <wp:inline distT="0" distB="0" distL="0" distR="0">
            <wp:extent cx="6048375" cy="2743200"/>
            <wp:effectExtent l="0" t="0" r="952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81A74" w:rsidRDefault="00D81A74" w:rsidP="00D81A74">
      <w:pPr>
        <w:spacing w:line="360" w:lineRule="auto"/>
        <w:ind w:firstLine="1296"/>
        <w:jc w:val="both"/>
        <w:rPr>
          <w:rFonts w:ascii="Times New Roman" w:hAnsi="Times New Roman"/>
          <w:sz w:val="24"/>
          <w:szCs w:val="24"/>
        </w:rPr>
      </w:pPr>
      <w:r>
        <w:rPr>
          <w:rFonts w:ascii="Times New Roman" w:hAnsi="Times New Roman"/>
          <w:sz w:val="24"/>
          <w:szCs w:val="24"/>
        </w:rPr>
        <w:t>Daugiausiai guldyta ligonių sergančiųjų širdies ir kraujagyslių ligomis, mažiausiai ligonių sergančiųjų kvėpavimo ligomis. Išlieka sezoniškumas sergant lėtinėmis plaučių ligomis – sergamumas didėja šaltuoju metų laiku.</w:t>
      </w:r>
    </w:p>
    <w:p w:rsidR="00544D1B" w:rsidRDefault="00544D1B" w:rsidP="00233668">
      <w:pPr>
        <w:spacing w:line="360" w:lineRule="auto"/>
        <w:ind w:firstLine="1296"/>
        <w:jc w:val="right"/>
        <w:rPr>
          <w:rFonts w:ascii="Times New Roman" w:hAnsi="Times New Roman"/>
          <w:sz w:val="20"/>
          <w:szCs w:val="20"/>
        </w:rPr>
      </w:pPr>
    </w:p>
    <w:p w:rsidR="00233668" w:rsidRPr="00233668" w:rsidRDefault="00233668" w:rsidP="00233668">
      <w:pPr>
        <w:spacing w:line="360" w:lineRule="auto"/>
        <w:ind w:firstLine="1296"/>
        <w:jc w:val="right"/>
        <w:rPr>
          <w:rFonts w:ascii="Times New Roman" w:hAnsi="Times New Roman"/>
          <w:sz w:val="20"/>
          <w:szCs w:val="20"/>
        </w:rPr>
      </w:pPr>
      <w:r>
        <w:rPr>
          <w:rFonts w:ascii="Times New Roman" w:hAnsi="Times New Roman"/>
          <w:sz w:val="20"/>
          <w:szCs w:val="20"/>
        </w:rPr>
        <w:lastRenderedPageBreak/>
        <w:t>7 diagrama</w:t>
      </w:r>
    </w:p>
    <w:p w:rsidR="00D81A74" w:rsidRPr="00233668" w:rsidRDefault="00233668" w:rsidP="00D81A74">
      <w:pPr>
        <w:spacing w:line="360" w:lineRule="auto"/>
        <w:rPr>
          <w:rFonts w:ascii="Times New Roman" w:hAnsi="Times New Roman" w:cs="Times New Roman"/>
          <w:color w:val="5B9BD5" w:themeColor="accent1"/>
          <w:sz w:val="24"/>
          <w:szCs w:val="24"/>
        </w:rPr>
      </w:pPr>
      <w:r>
        <w:rPr>
          <w:noProof/>
          <w:lang w:eastAsia="lt-LT"/>
        </w:rPr>
        <w:drawing>
          <wp:inline distT="0" distB="0" distL="0" distR="0">
            <wp:extent cx="6143625" cy="4010025"/>
            <wp:effectExtent l="0" t="0" r="9525" b="9525"/>
            <wp:docPr id="43"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Chart 4"/>
                    <pic:cNvPicPr>
                      <a:picLocks noChangeArrowheads="1"/>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143625" cy="4010025"/>
                    </a:xfrm>
                    <a:prstGeom prst="rect">
                      <a:avLst/>
                    </a:prstGeom>
                    <a:noFill/>
                    <a:extLst/>
                  </pic:spPr>
                </pic:pic>
              </a:graphicData>
            </a:graphic>
          </wp:inline>
        </w:drawing>
      </w:r>
    </w:p>
    <w:p w:rsidR="00F30CAB" w:rsidRDefault="00F30CAB" w:rsidP="00F30CAB">
      <w:pPr>
        <w:spacing w:line="360" w:lineRule="auto"/>
        <w:ind w:firstLine="1296"/>
        <w:jc w:val="both"/>
        <w:rPr>
          <w:rFonts w:ascii="Times New Roman" w:hAnsi="Times New Roman" w:cs="Times New Roman"/>
          <w:sz w:val="24"/>
          <w:szCs w:val="24"/>
        </w:rPr>
      </w:pPr>
      <w:r w:rsidRPr="00B64118">
        <w:rPr>
          <w:rFonts w:ascii="Times New Roman" w:hAnsi="Times New Roman" w:cs="Times New Roman"/>
          <w:sz w:val="24"/>
          <w:szCs w:val="24"/>
        </w:rPr>
        <w:t>Molėtų ligoninės</w:t>
      </w:r>
      <w:r w:rsidRPr="00B64118">
        <w:rPr>
          <w:rFonts w:ascii="Times New Roman" w:hAnsi="Times New Roman" w:cs="Times New Roman"/>
          <w:b/>
          <w:bCs/>
          <w:sz w:val="24"/>
          <w:szCs w:val="24"/>
        </w:rPr>
        <w:t xml:space="preserve"> intensyviosios </w:t>
      </w:r>
      <w:r>
        <w:rPr>
          <w:rFonts w:ascii="Times New Roman" w:hAnsi="Times New Roman" w:cs="Times New Roman"/>
          <w:b/>
          <w:bCs/>
          <w:sz w:val="24"/>
          <w:szCs w:val="24"/>
        </w:rPr>
        <w:t>terapijos palatoje</w:t>
      </w:r>
      <w:r w:rsidRPr="00B64118">
        <w:rPr>
          <w:rFonts w:ascii="Times New Roman" w:hAnsi="Times New Roman" w:cs="Times New Roman"/>
          <w:sz w:val="24"/>
          <w:szCs w:val="24"/>
        </w:rPr>
        <w:t xml:space="preserve"> visą parą teikiama intensyvios terapijos ir reanimacinė pagalba. Intensyvioje </w:t>
      </w:r>
      <w:r>
        <w:rPr>
          <w:rFonts w:ascii="Times New Roman" w:hAnsi="Times New Roman" w:cs="Times New Roman"/>
          <w:sz w:val="24"/>
          <w:szCs w:val="24"/>
        </w:rPr>
        <w:t xml:space="preserve">terapijos </w:t>
      </w:r>
      <w:r w:rsidRPr="00B64118">
        <w:rPr>
          <w:rFonts w:ascii="Times New Roman" w:hAnsi="Times New Roman" w:cs="Times New Roman"/>
          <w:sz w:val="24"/>
          <w:szCs w:val="24"/>
        </w:rPr>
        <w:t xml:space="preserve">palatoje </w:t>
      </w:r>
      <w:r>
        <w:rPr>
          <w:rFonts w:ascii="Times New Roman" w:hAnsi="Times New Roman" w:cs="Times New Roman"/>
          <w:sz w:val="24"/>
          <w:szCs w:val="24"/>
        </w:rPr>
        <w:t xml:space="preserve">(toliau ITP) </w:t>
      </w:r>
      <w:r w:rsidRPr="00B64118">
        <w:rPr>
          <w:rFonts w:ascii="Times New Roman" w:hAnsi="Times New Roman" w:cs="Times New Roman"/>
          <w:sz w:val="24"/>
          <w:szCs w:val="24"/>
        </w:rPr>
        <w:t>gydomi sunkiausi, sudėtingiausi pagal esamą būklę ir ūmių nestabilių gyvybinių funkcijų pacientai.</w:t>
      </w:r>
    </w:p>
    <w:p w:rsidR="00F30CAB" w:rsidRDefault="001C6C4F" w:rsidP="00F30CAB">
      <w:pPr>
        <w:spacing w:after="0" w:line="360" w:lineRule="auto"/>
        <w:ind w:firstLine="1296"/>
        <w:jc w:val="right"/>
        <w:rPr>
          <w:rFonts w:ascii="Times New Roman" w:hAnsi="Times New Roman" w:cs="Times New Roman"/>
          <w:sz w:val="20"/>
          <w:szCs w:val="20"/>
        </w:rPr>
      </w:pPr>
      <w:r>
        <w:rPr>
          <w:rFonts w:ascii="Times New Roman" w:hAnsi="Times New Roman" w:cs="Times New Roman"/>
          <w:sz w:val="20"/>
          <w:szCs w:val="20"/>
        </w:rPr>
        <w:t>8</w:t>
      </w:r>
      <w:r w:rsidR="00F30CAB">
        <w:rPr>
          <w:rFonts w:ascii="Times New Roman" w:hAnsi="Times New Roman" w:cs="Times New Roman"/>
          <w:sz w:val="20"/>
          <w:szCs w:val="20"/>
        </w:rPr>
        <w:t xml:space="preserve"> diagrama</w:t>
      </w:r>
    </w:p>
    <w:p w:rsidR="001C6C4F" w:rsidRPr="00B64118" w:rsidRDefault="001C6C4F" w:rsidP="001C6C4F">
      <w:pPr>
        <w:spacing w:after="0" w:line="360" w:lineRule="auto"/>
        <w:rPr>
          <w:rFonts w:ascii="Times New Roman" w:hAnsi="Times New Roman" w:cs="Times New Roman"/>
          <w:sz w:val="20"/>
          <w:szCs w:val="20"/>
        </w:rPr>
      </w:pPr>
      <w:r>
        <w:rPr>
          <w:noProof/>
          <w:lang w:eastAsia="lt-LT"/>
        </w:rPr>
        <w:drawing>
          <wp:inline distT="0" distB="0" distL="0" distR="0">
            <wp:extent cx="62103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C6C4F" w:rsidRDefault="00F30CAB" w:rsidP="001C6C4F">
      <w:pPr>
        <w:spacing w:line="360" w:lineRule="auto"/>
        <w:jc w:val="both"/>
        <w:rPr>
          <w:rFonts w:ascii="Times New Roman" w:hAnsi="Times New Roman"/>
          <w:sz w:val="24"/>
          <w:szCs w:val="24"/>
        </w:rPr>
      </w:pPr>
      <w:r>
        <w:rPr>
          <w:rFonts w:ascii="Helvetica" w:hAnsi="Helvetica" w:cs="Helvetica"/>
        </w:rPr>
        <w:br/>
      </w:r>
      <w:r>
        <w:rPr>
          <w:rFonts w:ascii="Times New Roman" w:hAnsi="Times New Roman" w:cs="Times New Roman"/>
          <w:sz w:val="24"/>
          <w:szCs w:val="24"/>
        </w:rPr>
        <w:tab/>
      </w:r>
      <w:r w:rsidR="001C6C4F">
        <w:rPr>
          <w:rFonts w:ascii="Times New Roman" w:hAnsi="Times New Roman"/>
          <w:sz w:val="24"/>
          <w:szCs w:val="24"/>
        </w:rPr>
        <w:t xml:space="preserve">Lyginant 2015 metus su 2014 ir 2013 metais guldytų ligonių skaičius sumažėjo. </w:t>
      </w:r>
    </w:p>
    <w:p w:rsidR="00544D1B" w:rsidRDefault="00544D1B" w:rsidP="001C6C4F">
      <w:pPr>
        <w:spacing w:line="360" w:lineRule="auto"/>
        <w:ind w:firstLine="360"/>
        <w:jc w:val="both"/>
        <w:rPr>
          <w:rFonts w:ascii="Times New Roman" w:hAnsi="Times New Roman"/>
          <w:sz w:val="24"/>
          <w:szCs w:val="24"/>
        </w:rPr>
      </w:pPr>
    </w:p>
    <w:p w:rsidR="001C6C4F" w:rsidRDefault="001C6C4F" w:rsidP="001C6C4F">
      <w:pPr>
        <w:spacing w:line="360" w:lineRule="auto"/>
        <w:ind w:firstLine="360"/>
        <w:jc w:val="both"/>
        <w:rPr>
          <w:rFonts w:ascii="Times New Roman" w:hAnsi="Times New Roman"/>
          <w:sz w:val="24"/>
          <w:szCs w:val="24"/>
        </w:rPr>
      </w:pPr>
      <w:r>
        <w:rPr>
          <w:rFonts w:ascii="Times New Roman" w:hAnsi="Times New Roman"/>
          <w:sz w:val="24"/>
          <w:szCs w:val="24"/>
        </w:rPr>
        <w:lastRenderedPageBreak/>
        <w:t xml:space="preserve">Vidaus ligų skyriuje, intensyvios terapijos palatoje ligonių sumažėjimo priežastys: </w:t>
      </w:r>
    </w:p>
    <w:p w:rsidR="001C6C4F" w:rsidRDefault="001C6C4F" w:rsidP="001C6C4F">
      <w:pPr>
        <w:numPr>
          <w:ilvl w:val="0"/>
          <w:numId w:val="13"/>
        </w:numPr>
        <w:spacing w:line="360" w:lineRule="auto"/>
        <w:jc w:val="both"/>
        <w:rPr>
          <w:rFonts w:ascii="Times New Roman" w:hAnsi="Times New Roman"/>
          <w:sz w:val="24"/>
          <w:szCs w:val="24"/>
        </w:rPr>
      </w:pPr>
      <w:r>
        <w:rPr>
          <w:rFonts w:ascii="Times New Roman" w:hAnsi="Times New Roman"/>
          <w:sz w:val="24"/>
          <w:szCs w:val="24"/>
        </w:rPr>
        <w:t>Gyventojų skaičiaus sumažėjimas;</w:t>
      </w:r>
    </w:p>
    <w:p w:rsidR="001C6C4F" w:rsidRDefault="001C6C4F" w:rsidP="001C6C4F">
      <w:pPr>
        <w:numPr>
          <w:ilvl w:val="0"/>
          <w:numId w:val="13"/>
        </w:numPr>
        <w:spacing w:line="360" w:lineRule="auto"/>
        <w:jc w:val="both"/>
        <w:rPr>
          <w:rFonts w:ascii="Times New Roman" w:hAnsi="Times New Roman"/>
          <w:sz w:val="24"/>
          <w:szCs w:val="24"/>
        </w:rPr>
      </w:pPr>
      <w:r>
        <w:rPr>
          <w:rFonts w:ascii="Times New Roman" w:hAnsi="Times New Roman"/>
          <w:sz w:val="24"/>
          <w:szCs w:val="24"/>
        </w:rPr>
        <w:t>Taikoma stebėjimo paslauga Priėmimo – skubios pagalbos skyriuje;</w:t>
      </w:r>
    </w:p>
    <w:p w:rsidR="001C6C4F" w:rsidRDefault="001C6C4F" w:rsidP="001C6C4F">
      <w:pPr>
        <w:numPr>
          <w:ilvl w:val="0"/>
          <w:numId w:val="13"/>
        </w:numPr>
        <w:spacing w:line="360" w:lineRule="auto"/>
        <w:jc w:val="both"/>
        <w:rPr>
          <w:rFonts w:ascii="Times New Roman" w:hAnsi="Times New Roman"/>
          <w:sz w:val="24"/>
          <w:szCs w:val="24"/>
        </w:rPr>
      </w:pPr>
      <w:r>
        <w:rPr>
          <w:rFonts w:ascii="Times New Roman" w:hAnsi="Times New Roman"/>
          <w:sz w:val="24"/>
          <w:szCs w:val="24"/>
        </w:rPr>
        <w:t xml:space="preserve">Bendradarbiavimas su šeimos gydytojais. </w:t>
      </w:r>
    </w:p>
    <w:p w:rsidR="00FC3B55" w:rsidRPr="00FC3B55" w:rsidRDefault="00FC3B55" w:rsidP="00752B81">
      <w:pPr>
        <w:jc w:val="center"/>
        <w:rPr>
          <w:rFonts w:ascii="Times New Roman" w:hAnsi="Times New Roman" w:cs="Times New Roman"/>
          <w:b/>
          <w:sz w:val="24"/>
          <w:szCs w:val="24"/>
        </w:rPr>
      </w:pPr>
      <w:r w:rsidRPr="00FC3B55">
        <w:rPr>
          <w:rFonts w:ascii="Times New Roman" w:hAnsi="Times New Roman" w:cs="Times New Roman"/>
          <w:b/>
          <w:sz w:val="24"/>
          <w:szCs w:val="24"/>
        </w:rPr>
        <w:t xml:space="preserve">SLAUGOS IR PALAIKOMOJO GYDYMO SKYARIAUS </w:t>
      </w:r>
      <w:r w:rsidR="00752B81">
        <w:rPr>
          <w:rFonts w:ascii="Times New Roman" w:hAnsi="Times New Roman" w:cs="Times New Roman"/>
          <w:b/>
          <w:sz w:val="24"/>
          <w:szCs w:val="24"/>
        </w:rPr>
        <w:t xml:space="preserve">DARBO </w:t>
      </w:r>
      <w:r w:rsidRPr="00FC3B55">
        <w:rPr>
          <w:rFonts w:ascii="Times New Roman" w:hAnsi="Times New Roman" w:cs="Times New Roman"/>
          <w:b/>
          <w:sz w:val="24"/>
          <w:szCs w:val="24"/>
        </w:rPr>
        <w:t>ATASKAITA</w:t>
      </w:r>
    </w:p>
    <w:p w:rsidR="00FC3B55" w:rsidRPr="00FC3B55" w:rsidRDefault="00FC3B55" w:rsidP="00F30CAB">
      <w:pPr>
        <w:pStyle w:val="Sraopastraipa"/>
        <w:spacing w:after="0" w:line="360" w:lineRule="auto"/>
        <w:ind w:left="0" w:firstLine="1276"/>
        <w:jc w:val="both"/>
        <w:rPr>
          <w:rFonts w:ascii="Times New Roman" w:hAnsi="Times New Roman" w:cs="Times New Roman"/>
          <w:sz w:val="24"/>
          <w:szCs w:val="24"/>
        </w:rPr>
      </w:pPr>
      <w:r w:rsidRPr="00FC3B55">
        <w:rPr>
          <w:rFonts w:ascii="Times New Roman" w:hAnsi="Times New Roman" w:cs="Times New Roman"/>
          <w:sz w:val="24"/>
          <w:szCs w:val="24"/>
        </w:rPr>
        <w:tab/>
        <w:t>Slaugos ir palaikomojo gydymo skyrius yra 46 lovų. Skyriuje yra teikiamos gydymo, slaugos ir kitos minimalios sveikatos būklės palaikymo paslaugos bet kurio amžiaus žmonėms, sergantiems lėtinėmis ligomis, neįgaliesiems bei pacientams, kuriems yra aiški diagnozė ir nereikalingas aktyvus gydymas, papildomas ištyrimas bei kontraindikuotina medicininė reabilitacija. Ligoniai hospitalizuojami planine tvarka su šeimos gydytojų ar gydytojų specialistų siuntimais. Taip pat į skyrių stacionarizuojami ligoniai po gydymo aukštesnio lygio stacionare, kai dar reikia tolimesnio palaikomojo gydymo ar slaugos. Besigydantiems ligoniams yra nemokama nuolatinės slaugos ar nuolatinės priežiūros tikslinė kompensacija.</w:t>
      </w:r>
    </w:p>
    <w:p w:rsidR="00FC3B55" w:rsidRPr="00FC3B55" w:rsidRDefault="003446FF" w:rsidP="00F30CAB">
      <w:pPr>
        <w:pStyle w:val="Sraopastraipa"/>
        <w:spacing w:after="0" w:line="360" w:lineRule="auto"/>
        <w:ind w:left="0" w:firstLine="1080"/>
        <w:jc w:val="both"/>
        <w:rPr>
          <w:rFonts w:ascii="Times New Roman" w:hAnsi="Times New Roman" w:cs="Times New Roman"/>
          <w:sz w:val="24"/>
          <w:szCs w:val="24"/>
        </w:rPr>
      </w:pPr>
      <w:r>
        <w:rPr>
          <w:rFonts w:ascii="Times New Roman" w:hAnsi="Times New Roman" w:cs="Times New Roman"/>
          <w:sz w:val="24"/>
          <w:szCs w:val="24"/>
        </w:rPr>
        <w:t xml:space="preserve">Lovų poreikis kiekvienais metais auga. </w:t>
      </w:r>
      <w:r w:rsidR="00FC3B55" w:rsidRPr="00FC3B55">
        <w:rPr>
          <w:rFonts w:ascii="Times New Roman" w:hAnsi="Times New Roman" w:cs="Times New Roman"/>
          <w:sz w:val="24"/>
          <w:szCs w:val="24"/>
        </w:rPr>
        <w:t>Rajono gyventojai senėja, daugėja ligotų senyvo amžiaus žmonių, taip pat daugėja onkologinėmis</w:t>
      </w:r>
      <w:r>
        <w:rPr>
          <w:rFonts w:ascii="Times New Roman" w:hAnsi="Times New Roman" w:cs="Times New Roman"/>
          <w:sz w:val="24"/>
          <w:szCs w:val="24"/>
        </w:rPr>
        <w:t>, kraujagyslių</w:t>
      </w:r>
      <w:r w:rsidR="00FC3B55" w:rsidRPr="00FC3B55">
        <w:rPr>
          <w:rFonts w:ascii="Times New Roman" w:hAnsi="Times New Roman" w:cs="Times New Roman"/>
          <w:sz w:val="24"/>
          <w:szCs w:val="24"/>
        </w:rPr>
        <w:t xml:space="preserve"> ligomis sergančiųjų žmonių, kuriem</w:t>
      </w:r>
      <w:r>
        <w:rPr>
          <w:rFonts w:ascii="Times New Roman" w:hAnsi="Times New Roman" w:cs="Times New Roman"/>
          <w:sz w:val="24"/>
          <w:szCs w:val="24"/>
        </w:rPr>
        <w:t>s reikalingas gydymas ir slauga</w:t>
      </w:r>
      <w:r w:rsidR="00FC3B55" w:rsidRPr="00FC3B55">
        <w:rPr>
          <w:rFonts w:ascii="Times New Roman" w:hAnsi="Times New Roman" w:cs="Times New Roman"/>
          <w:sz w:val="24"/>
          <w:szCs w:val="24"/>
        </w:rPr>
        <w:t xml:space="preserve">. Dėl atliekamo remonto visų norinčių ligonių ir šiais metais negalėjome paguldyti. </w:t>
      </w:r>
      <w:r>
        <w:rPr>
          <w:rFonts w:ascii="Times New Roman" w:hAnsi="Times New Roman" w:cs="Times New Roman"/>
          <w:sz w:val="24"/>
          <w:szCs w:val="24"/>
        </w:rPr>
        <w:t>Šiais metais sumažinus kainą už mokamą paslaugą</w:t>
      </w:r>
      <w:r w:rsidRPr="003446FF">
        <w:t xml:space="preserve"> </w:t>
      </w:r>
      <w:r>
        <w:t>„</w:t>
      </w:r>
      <w:r w:rsidRPr="003446FF">
        <w:rPr>
          <w:rFonts w:ascii="Times New Roman" w:hAnsi="Times New Roman" w:cs="Times New Roman"/>
          <w:sz w:val="24"/>
          <w:szCs w:val="24"/>
        </w:rPr>
        <w:t>Neterminuota slaugos ir palaikomojo gydymo paslauga, išnaudojus 120 dienų metuose nemokamų paslaugų limitą</w:t>
      </w:r>
      <w:r>
        <w:rPr>
          <w:rFonts w:ascii="Times New Roman" w:hAnsi="Times New Roman" w:cs="Times New Roman"/>
          <w:sz w:val="24"/>
          <w:szCs w:val="24"/>
        </w:rPr>
        <w:t xml:space="preserve">“, atsirado daugiau norinčių naudotis šia paslauga. 2015 metais </w:t>
      </w:r>
      <w:r w:rsidR="00187B85">
        <w:rPr>
          <w:rFonts w:ascii="Times New Roman" w:hAnsi="Times New Roman" w:cs="Times New Roman"/>
          <w:sz w:val="24"/>
          <w:szCs w:val="24"/>
        </w:rPr>
        <w:t>gulėjo</w:t>
      </w:r>
      <w:r>
        <w:rPr>
          <w:rFonts w:ascii="Times New Roman" w:hAnsi="Times New Roman" w:cs="Times New Roman"/>
          <w:sz w:val="24"/>
          <w:szCs w:val="24"/>
        </w:rPr>
        <w:t xml:space="preserve"> 10 ligonių</w:t>
      </w:r>
      <w:r w:rsidR="00187B85">
        <w:rPr>
          <w:rFonts w:ascii="Times New Roman" w:hAnsi="Times New Roman" w:cs="Times New Roman"/>
          <w:sz w:val="24"/>
          <w:szCs w:val="24"/>
        </w:rPr>
        <w:t>,</w:t>
      </w:r>
      <w:r w:rsidR="00187B85" w:rsidRPr="00187B85">
        <w:rPr>
          <w:rFonts w:ascii="Times New Roman" w:hAnsi="Times New Roman" w:cs="Times New Roman"/>
          <w:sz w:val="24"/>
          <w:szCs w:val="24"/>
        </w:rPr>
        <w:t xml:space="preserve"> </w:t>
      </w:r>
      <w:r w:rsidR="00187B85">
        <w:rPr>
          <w:rFonts w:ascii="Times New Roman" w:hAnsi="Times New Roman" w:cs="Times New Roman"/>
          <w:sz w:val="24"/>
          <w:szCs w:val="24"/>
        </w:rPr>
        <w:t>kurie mokėjo pinigus patys už gulėjimą</w:t>
      </w:r>
      <w:r w:rsidR="00FC3B55" w:rsidRPr="00FC3B55">
        <w:rPr>
          <w:rFonts w:ascii="Times New Roman" w:hAnsi="Times New Roman" w:cs="Times New Roman"/>
          <w:sz w:val="24"/>
          <w:szCs w:val="24"/>
        </w:rPr>
        <w:t xml:space="preserve"> slaugos </w:t>
      </w:r>
      <w:r w:rsidR="00187B85">
        <w:rPr>
          <w:rFonts w:ascii="Times New Roman" w:hAnsi="Times New Roman" w:cs="Times New Roman"/>
          <w:sz w:val="24"/>
          <w:szCs w:val="24"/>
        </w:rPr>
        <w:t>ir palaikomojo gydymo skyriuje.</w:t>
      </w:r>
    </w:p>
    <w:p w:rsidR="00D13708" w:rsidRDefault="00D13708" w:rsidP="00FC3B55">
      <w:pPr>
        <w:pStyle w:val="Sraopastraipa"/>
        <w:spacing w:after="0" w:line="360" w:lineRule="auto"/>
        <w:ind w:left="1080"/>
        <w:jc w:val="right"/>
        <w:rPr>
          <w:rFonts w:ascii="Times New Roman" w:hAnsi="Times New Roman" w:cs="Times New Roman"/>
          <w:sz w:val="20"/>
          <w:szCs w:val="20"/>
        </w:rPr>
      </w:pPr>
    </w:p>
    <w:p w:rsidR="00FC3B55" w:rsidRDefault="00752B81" w:rsidP="00FC3B55">
      <w:pPr>
        <w:pStyle w:val="Sraopastraipa"/>
        <w:spacing w:after="0" w:line="360" w:lineRule="auto"/>
        <w:ind w:left="1080"/>
        <w:jc w:val="right"/>
        <w:rPr>
          <w:rFonts w:ascii="Times New Roman" w:hAnsi="Times New Roman" w:cs="Times New Roman"/>
          <w:sz w:val="20"/>
          <w:szCs w:val="20"/>
        </w:rPr>
      </w:pPr>
      <w:r>
        <w:rPr>
          <w:rFonts w:ascii="Times New Roman" w:hAnsi="Times New Roman" w:cs="Times New Roman"/>
          <w:sz w:val="20"/>
          <w:szCs w:val="20"/>
        </w:rPr>
        <w:t xml:space="preserve">9 </w:t>
      </w:r>
      <w:r w:rsidR="00FC3B55" w:rsidRPr="00FC3B55">
        <w:rPr>
          <w:rFonts w:ascii="Times New Roman" w:hAnsi="Times New Roman" w:cs="Times New Roman"/>
          <w:sz w:val="20"/>
          <w:szCs w:val="20"/>
        </w:rPr>
        <w:t>diagrama</w:t>
      </w:r>
    </w:p>
    <w:p w:rsidR="001D2443" w:rsidRPr="00FC3B55" w:rsidRDefault="001D2443" w:rsidP="001D2443">
      <w:pPr>
        <w:pStyle w:val="Sraopastraipa"/>
        <w:spacing w:after="0" w:line="360" w:lineRule="auto"/>
        <w:ind w:left="1080" w:hanging="1080"/>
        <w:rPr>
          <w:rFonts w:ascii="Times New Roman" w:hAnsi="Times New Roman" w:cs="Times New Roman"/>
          <w:sz w:val="20"/>
          <w:szCs w:val="20"/>
        </w:rPr>
      </w:pPr>
      <w:r>
        <w:rPr>
          <w:noProof/>
          <w:lang w:eastAsia="lt-LT"/>
        </w:rPr>
        <w:drawing>
          <wp:inline distT="0" distB="0" distL="0" distR="0">
            <wp:extent cx="6067425" cy="2743200"/>
            <wp:effectExtent l="0" t="0" r="952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C3B55" w:rsidRPr="00FC3B55" w:rsidRDefault="00FC3B55" w:rsidP="00F30CAB">
      <w:pPr>
        <w:pStyle w:val="Sraopastraipa"/>
        <w:spacing w:after="0" w:line="360" w:lineRule="auto"/>
        <w:ind w:left="1080" w:hanging="1080"/>
        <w:rPr>
          <w:rFonts w:ascii="Times New Roman" w:hAnsi="Times New Roman" w:cs="Times New Roman"/>
          <w:sz w:val="24"/>
          <w:szCs w:val="24"/>
        </w:rPr>
      </w:pPr>
    </w:p>
    <w:p w:rsidR="00FC3B55" w:rsidRPr="00FC3B55" w:rsidRDefault="001D2443" w:rsidP="00F30CAB">
      <w:pPr>
        <w:pStyle w:val="Sraopastraipa"/>
        <w:spacing w:after="0" w:line="360" w:lineRule="auto"/>
        <w:ind w:left="0" w:firstLine="1080"/>
        <w:jc w:val="both"/>
        <w:rPr>
          <w:rFonts w:ascii="Times New Roman" w:hAnsi="Times New Roman" w:cs="Times New Roman"/>
          <w:sz w:val="24"/>
          <w:szCs w:val="24"/>
        </w:rPr>
      </w:pPr>
      <w:r>
        <w:rPr>
          <w:rFonts w:ascii="Times New Roman" w:hAnsi="Times New Roman" w:cs="Times New Roman"/>
          <w:sz w:val="24"/>
          <w:szCs w:val="24"/>
        </w:rPr>
        <w:lastRenderedPageBreak/>
        <w:t>Per 2015</w:t>
      </w:r>
      <w:r w:rsidR="00FC3B55" w:rsidRPr="00FC3B55">
        <w:rPr>
          <w:rFonts w:ascii="Times New Roman" w:hAnsi="Times New Roman" w:cs="Times New Roman"/>
          <w:sz w:val="24"/>
          <w:szCs w:val="24"/>
        </w:rPr>
        <w:t xml:space="preserve"> metus slaugos ir palaikomojo gydymo skyriuje gulėjusių ligonių skaičius </w:t>
      </w:r>
      <w:r>
        <w:rPr>
          <w:rFonts w:ascii="Times New Roman" w:hAnsi="Times New Roman" w:cs="Times New Roman"/>
          <w:sz w:val="24"/>
          <w:szCs w:val="24"/>
        </w:rPr>
        <w:t xml:space="preserve">didesnis </w:t>
      </w:r>
      <w:r w:rsidR="00FC3B55" w:rsidRPr="00FC3B55">
        <w:rPr>
          <w:rFonts w:ascii="Times New Roman" w:hAnsi="Times New Roman" w:cs="Times New Roman"/>
          <w:sz w:val="24"/>
          <w:szCs w:val="24"/>
        </w:rPr>
        <w:t>201</w:t>
      </w:r>
      <w:r>
        <w:rPr>
          <w:rFonts w:ascii="Times New Roman" w:hAnsi="Times New Roman" w:cs="Times New Roman"/>
          <w:sz w:val="24"/>
          <w:szCs w:val="24"/>
        </w:rPr>
        <w:t>4 metais (58 ligoniais).</w:t>
      </w:r>
      <w:r w:rsidR="001E26C8">
        <w:rPr>
          <w:rFonts w:ascii="Times New Roman" w:hAnsi="Times New Roman" w:cs="Times New Roman"/>
          <w:sz w:val="24"/>
          <w:szCs w:val="24"/>
        </w:rPr>
        <w:t xml:space="preserve"> Iš jų  mirė 55 ligoniai, kurių mirtys dėsningos, ligoniai senyvo amžiaus, sunkūs (sergantys onkologinėmis ligomis, širdies ligomis). </w:t>
      </w:r>
      <w:r w:rsidR="00FC3B55" w:rsidRPr="00FC3B55">
        <w:rPr>
          <w:rFonts w:ascii="Times New Roman" w:hAnsi="Times New Roman" w:cs="Times New Roman"/>
          <w:sz w:val="24"/>
          <w:szCs w:val="24"/>
        </w:rPr>
        <w:t xml:space="preserve"> Gydymo lovų poreikis auga. Būtų tikslinga padidinti lovų skaičių iki </w:t>
      </w:r>
      <w:r w:rsidR="001E26C8" w:rsidRPr="001E26C8">
        <w:rPr>
          <w:rFonts w:ascii="Times New Roman" w:hAnsi="Times New Roman" w:cs="Times New Roman"/>
          <w:sz w:val="24"/>
          <w:szCs w:val="24"/>
        </w:rPr>
        <w:t>60</w:t>
      </w:r>
      <w:r w:rsidR="00FC3B55" w:rsidRPr="00FC3B55">
        <w:rPr>
          <w:rFonts w:ascii="Times New Roman" w:hAnsi="Times New Roman" w:cs="Times New Roman"/>
          <w:sz w:val="24"/>
          <w:szCs w:val="24"/>
        </w:rPr>
        <w:t xml:space="preserve">, kad visi norintys gauti šią paslaugą būtų paguldyti į skyrių. Šiltuoju metų sezonu skyriuje ligonių skaičius sumažėja, todėl </w:t>
      </w:r>
      <w:r w:rsidR="0068647F">
        <w:rPr>
          <w:rFonts w:ascii="Times New Roman" w:hAnsi="Times New Roman" w:cs="Times New Roman"/>
          <w:sz w:val="24"/>
          <w:szCs w:val="24"/>
        </w:rPr>
        <w:t xml:space="preserve">reikėtų glaudesnio bendradarbiavimo su socialiniais darbuotojais, bei kitomis gydymo įstaigomis, kurios šių paslaugų neteikia. </w:t>
      </w:r>
      <w:r w:rsidR="00FC3B55" w:rsidRPr="00FC3B55">
        <w:rPr>
          <w:rFonts w:ascii="Times New Roman" w:hAnsi="Times New Roman" w:cs="Times New Roman"/>
          <w:sz w:val="24"/>
          <w:szCs w:val="24"/>
        </w:rPr>
        <w:t xml:space="preserve"> Išlieka tendencija, kad šaltuoju metų laiku, tai yra lapkričio – kovo mėnesiais, padaugėja sunkiomis terapinėmis ligomis sergančių žmonių skaičius, padažnėja ligonių po lūžimų, amputacijų, kuriems reikalinga tęsti palaikomąjį gydymą ir slaugą po aktyvaus gydymo.</w:t>
      </w:r>
      <w:r w:rsidR="001E26C8">
        <w:rPr>
          <w:rFonts w:ascii="Times New Roman" w:hAnsi="Times New Roman" w:cs="Times New Roman"/>
          <w:sz w:val="24"/>
          <w:szCs w:val="24"/>
        </w:rPr>
        <w:t xml:space="preserve"> </w:t>
      </w:r>
    </w:p>
    <w:p w:rsidR="00FC3B55" w:rsidRDefault="00752B81" w:rsidP="00F30CAB">
      <w:pPr>
        <w:pStyle w:val="Sraopastraipa"/>
        <w:spacing w:after="0" w:line="360" w:lineRule="auto"/>
        <w:ind w:left="1080"/>
        <w:jc w:val="right"/>
        <w:rPr>
          <w:rFonts w:ascii="Times New Roman" w:hAnsi="Times New Roman" w:cs="Times New Roman"/>
          <w:sz w:val="20"/>
          <w:szCs w:val="20"/>
        </w:rPr>
      </w:pPr>
      <w:r>
        <w:rPr>
          <w:rFonts w:ascii="Times New Roman" w:hAnsi="Times New Roman" w:cs="Times New Roman"/>
          <w:sz w:val="20"/>
          <w:szCs w:val="20"/>
        </w:rPr>
        <w:t>10</w:t>
      </w:r>
      <w:r w:rsidR="00FC3B55" w:rsidRPr="00FC3B55">
        <w:rPr>
          <w:rFonts w:ascii="Times New Roman" w:hAnsi="Times New Roman" w:cs="Times New Roman"/>
          <w:sz w:val="20"/>
          <w:szCs w:val="20"/>
        </w:rPr>
        <w:t xml:space="preserve"> diagrama</w:t>
      </w:r>
    </w:p>
    <w:p w:rsidR="00F43EAE" w:rsidRPr="00FC3B55" w:rsidRDefault="00F43EAE" w:rsidP="00F43EAE">
      <w:pPr>
        <w:pStyle w:val="Sraopastraipa"/>
        <w:spacing w:after="0" w:line="360" w:lineRule="auto"/>
        <w:ind w:left="1080" w:hanging="1080"/>
        <w:jc w:val="right"/>
        <w:rPr>
          <w:rFonts w:ascii="Times New Roman" w:hAnsi="Times New Roman" w:cs="Times New Roman"/>
          <w:sz w:val="20"/>
          <w:szCs w:val="20"/>
        </w:rPr>
      </w:pPr>
      <w:r>
        <w:rPr>
          <w:noProof/>
          <w:lang w:eastAsia="lt-LT"/>
        </w:rPr>
        <w:drawing>
          <wp:inline distT="0" distB="0" distL="0" distR="0">
            <wp:extent cx="59055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C3B55" w:rsidRPr="00FC3B55" w:rsidRDefault="00FC3B55" w:rsidP="00F30CAB">
      <w:pPr>
        <w:spacing w:after="0" w:line="360" w:lineRule="auto"/>
        <w:ind w:left="360" w:hanging="360"/>
        <w:jc w:val="both"/>
        <w:rPr>
          <w:rFonts w:ascii="Times New Roman" w:hAnsi="Times New Roman" w:cs="Times New Roman"/>
          <w:sz w:val="24"/>
          <w:szCs w:val="24"/>
        </w:rPr>
      </w:pPr>
    </w:p>
    <w:p w:rsidR="00FC3B55" w:rsidRPr="00FC3B55" w:rsidRDefault="00FC3B55" w:rsidP="00501D1F">
      <w:pPr>
        <w:pStyle w:val="Sraopastraipa"/>
        <w:spacing w:after="0" w:line="360" w:lineRule="auto"/>
        <w:ind w:left="0" w:firstLine="1080"/>
        <w:jc w:val="both"/>
        <w:rPr>
          <w:rFonts w:ascii="Times New Roman" w:hAnsi="Times New Roman" w:cs="Times New Roman"/>
          <w:sz w:val="24"/>
          <w:szCs w:val="24"/>
        </w:rPr>
      </w:pPr>
      <w:r w:rsidRPr="00FC3B55">
        <w:rPr>
          <w:rFonts w:ascii="Times New Roman" w:hAnsi="Times New Roman" w:cs="Times New Roman"/>
          <w:sz w:val="24"/>
          <w:szCs w:val="24"/>
        </w:rPr>
        <w:t>Dau</w:t>
      </w:r>
      <w:r w:rsidR="00F43EAE">
        <w:rPr>
          <w:rFonts w:ascii="Times New Roman" w:hAnsi="Times New Roman" w:cs="Times New Roman"/>
          <w:sz w:val="24"/>
          <w:szCs w:val="24"/>
        </w:rPr>
        <w:t xml:space="preserve">g </w:t>
      </w:r>
      <w:r w:rsidRPr="00FC3B55">
        <w:rPr>
          <w:rFonts w:ascii="Times New Roman" w:hAnsi="Times New Roman" w:cs="Times New Roman"/>
          <w:sz w:val="24"/>
          <w:szCs w:val="24"/>
        </w:rPr>
        <w:t xml:space="preserve">slaugomų ir gydomų ligonių </w:t>
      </w:r>
      <w:r w:rsidR="0068647F">
        <w:rPr>
          <w:rFonts w:ascii="Times New Roman" w:hAnsi="Times New Roman" w:cs="Times New Roman"/>
          <w:sz w:val="24"/>
          <w:szCs w:val="24"/>
        </w:rPr>
        <w:t xml:space="preserve">yra save sunkiai apsitarnaujantys, onkologinėmis ligomis sergantys, nuolatinės priežiūros reikalaujantys pacientai. </w:t>
      </w:r>
    </w:p>
    <w:p w:rsidR="00544D1B" w:rsidRDefault="00544D1B" w:rsidP="00F30CAB">
      <w:pPr>
        <w:pStyle w:val="Sraopastraipa"/>
        <w:tabs>
          <w:tab w:val="left" w:pos="993"/>
        </w:tabs>
        <w:spacing w:after="0" w:line="360" w:lineRule="auto"/>
        <w:ind w:left="1080"/>
        <w:jc w:val="right"/>
        <w:rPr>
          <w:rFonts w:ascii="Times New Roman" w:hAnsi="Times New Roman" w:cs="Times New Roman"/>
          <w:sz w:val="20"/>
          <w:szCs w:val="20"/>
        </w:rPr>
      </w:pPr>
    </w:p>
    <w:p w:rsidR="00544D1B" w:rsidRDefault="00544D1B" w:rsidP="00F30CAB">
      <w:pPr>
        <w:pStyle w:val="Sraopastraipa"/>
        <w:tabs>
          <w:tab w:val="left" w:pos="993"/>
        </w:tabs>
        <w:spacing w:after="0" w:line="360" w:lineRule="auto"/>
        <w:ind w:left="1080"/>
        <w:jc w:val="right"/>
        <w:rPr>
          <w:rFonts w:ascii="Times New Roman" w:hAnsi="Times New Roman" w:cs="Times New Roman"/>
          <w:sz w:val="20"/>
          <w:szCs w:val="20"/>
        </w:rPr>
      </w:pPr>
    </w:p>
    <w:p w:rsidR="00544D1B" w:rsidRDefault="00544D1B" w:rsidP="00F30CAB">
      <w:pPr>
        <w:pStyle w:val="Sraopastraipa"/>
        <w:tabs>
          <w:tab w:val="left" w:pos="993"/>
        </w:tabs>
        <w:spacing w:after="0" w:line="360" w:lineRule="auto"/>
        <w:ind w:left="1080"/>
        <w:jc w:val="right"/>
        <w:rPr>
          <w:rFonts w:ascii="Times New Roman" w:hAnsi="Times New Roman" w:cs="Times New Roman"/>
          <w:sz w:val="20"/>
          <w:szCs w:val="20"/>
        </w:rPr>
      </w:pPr>
    </w:p>
    <w:p w:rsidR="00544D1B" w:rsidRDefault="00544D1B" w:rsidP="00F30CAB">
      <w:pPr>
        <w:pStyle w:val="Sraopastraipa"/>
        <w:tabs>
          <w:tab w:val="left" w:pos="993"/>
        </w:tabs>
        <w:spacing w:after="0" w:line="360" w:lineRule="auto"/>
        <w:ind w:left="1080"/>
        <w:jc w:val="right"/>
        <w:rPr>
          <w:rFonts w:ascii="Times New Roman" w:hAnsi="Times New Roman" w:cs="Times New Roman"/>
          <w:sz w:val="20"/>
          <w:szCs w:val="20"/>
        </w:rPr>
      </w:pPr>
    </w:p>
    <w:p w:rsidR="00544D1B" w:rsidRDefault="00544D1B" w:rsidP="00F30CAB">
      <w:pPr>
        <w:pStyle w:val="Sraopastraipa"/>
        <w:tabs>
          <w:tab w:val="left" w:pos="993"/>
        </w:tabs>
        <w:spacing w:after="0" w:line="360" w:lineRule="auto"/>
        <w:ind w:left="1080"/>
        <w:jc w:val="right"/>
        <w:rPr>
          <w:rFonts w:ascii="Times New Roman" w:hAnsi="Times New Roman" w:cs="Times New Roman"/>
          <w:sz w:val="20"/>
          <w:szCs w:val="20"/>
        </w:rPr>
      </w:pPr>
    </w:p>
    <w:p w:rsidR="00544D1B" w:rsidRDefault="00544D1B" w:rsidP="00F30CAB">
      <w:pPr>
        <w:pStyle w:val="Sraopastraipa"/>
        <w:tabs>
          <w:tab w:val="left" w:pos="993"/>
        </w:tabs>
        <w:spacing w:after="0" w:line="360" w:lineRule="auto"/>
        <w:ind w:left="1080"/>
        <w:jc w:val="right"/>
        <w:rPr>
          <w:rFonts w:ascii="Times New Roman" w:hAnsi="Times New Roman" w:cs="Times New Roman"/>
          <w:sz w:val="20"/>
          <w:szCs w:val="20"/>
        </w:rPr>
      </w:pPr>
    </w:p>
    <w:p w:rsidR="00544D1B" w:rsidRDefault="00544D1B" w:rsidP="00F30CAB">
      <w:pPr>
        <w:pStyle w:val="Sraopastraipa"/>
        <w:tabs>
          <w:tab w:val="left" w:pos="993"/>
        </w:tabs>
        <w:spacing w:after="0" w:line="360" w:lineRule="auto"/>
        <w:ind w:left="1080"/>
        <w:jc w:val="right"/>
        <w:rPr>
          <w:rFonts w:ascii="Times New Roman" w:hAnsi="Times New Roman" w:cs="Times New Roman"/>
          <w:sz w:val="20"/>
          <w:szCs w:val="20"/>
        </w:rPr>
      </w:pPr>
    </w:p>
    <w:p w:rsidR="00544D1B" w:rsidRDefault="00544D1B" w:rsidP="00F30CAB">
      <w:pPr>
        <w:pStyle w:val="Sraopastraipa"/>
        <w:tabs>
          <w:tab w:val="left" w:pos="993"/>
        </w:tabs>
        <w:spacing w:after="0" w:line="360" w:lineRule="auto"/>
        <w:ind w:left="1080"/>
        <w:jc w:val="right"/>
        <w:rPr>
          <w:rFonts w:ascii="Times New Roman" w:hAnsi="Times New Roman" w:cs="Times New Roman"/>
          <w:sz w:val="20"/>
          <w:szCs w:val="20"/>
        </w:rPr>
      </w:pPr>
    </w:p>
    <w:p w:rsidR="00544D1B" w:rsidRDefault="00544D1B" w:rsidP="00F30CAB">
      <w:pPr>
        <w:pStyle w:val="Sraopastraipa"/>
        <w:tabs>
          <w:tab w:val="left" w:pos="993"/>
        </w:tabs>
        <w:spacing w:after="0" w:line="360" w:lineRule="auto"/>
        <w:ind w:left="1080"/>
        <w:jc w:val="right"/>
        <w:rPr>
          <w:rFonts w:ascii="Times New Roman" w:hAnsi="Times New Roman" w:cs="Times New Roman"/>
          <w:sz w:val="20"/>
          <w:szCs w:val="20"/>
        </w:rPr>
      </w:pPr>
    </w:p>
    <w:p w:rsidR="00544D1B" w:rsidRDefault="00544D1B" w:rsidP="00F30CAB">
      <w:pPr>
        <w:pStyle w:val="Sraopastraipa"/>
        <w:tabs>
          <w:tab w:val="left" w:pos="993"/>
        </w:tabs>
        <w:spacing w:after="0" w:line="360" w:lineRule="auto"/>
        <w:ind w:left="1080"/>
        <w:jc w:val="right"/>
        <w:rPr>
          <w:rFonts w:ascii="Times New Roman" w:hAnsi="Times New Roman" w:cs="Times New Roman"/>
          <w:sz w:val="20"/>
          <w:szCs w:val="20"/>
        </w:rPr>
      </w:pPr>
    </w:p>
    <w:p w:rsidR="00544D1B" w:rsidRDefault="00544D1B" w:rsidP="00F30CAB">
      <w:pPr>
        <w:pStyle w:val="Sraopastraipa"/>
        <w:tabs>
          <w:tab w:val="left" w:pos="993"/>
        </w:tabs>
        <w:spacing w:after="0" w:line="360" w:lineRule="auto"/>
        <w:ind w:left="1080"/>
        <w:jc w:val="right"/>
        <w:rPr>
          <w:rFonts w:ascii="Times New Roman" w:hAnsi="Times New Roman" w:cs="Times New Roman"/>
          <w:sz w:val="20"/>
          <w:szCs w:val="20"/>
        </w:rPr>
      </w:pPr>
    </w:p>
    <w:p w:rsidR="00544D1B" w:rsidRDefault="00544D1B" w:rsidP="00F30CAB">
      <w:pPr>
        <w:pStyle w:val="Sraopastraipa"/>
        <w:tabs>
          <w:tab w:val="left" w:pos="993"/>
        </w:tabs>
        <w:spacing w:after="0" w:line="360" w:lineRule="auto"/>
        <w:ind w:left="1080"/>
        <w:jc w:val="right"/>
        <w:rPr>
          <w:rFonts w:ascii="Times New Roman" w:hAnsi="Times New Roman" w:cs="Times New Roman"/>
          <w:sz w:val="20"/>
          <w:szCs w:val="20"/>
        </w:rPr>
      </w:pPr>
    </w:p>
    <w:p w:rsidR="00544D1B" w:rsidRDefault="00544D1B" w:rsidP="00F30CAB">
      <w:pPr>
        <w:pStyle w:val="Sraopastraipa"/>
        <w:tabs>
          <w:tab w:val="left" w:pos="993"/>
        </w:tabs>
        <w:spacing w:after="0" w:line="360" w:lineRule="auto"/>
        <w:ind w:left="1080"/>
        <w:jc w:val="right"/>
        <w:rPr>
          <w:rFonts w:ascii="Times New Roman" w:hAnsi="Times New Roman" w:cs="Times New Roman"/>
          <w:sz w:val="20"/>
          <w:szCs w:val="20"/>
        </w:rPr>
      </w:pPr>
    </w:p>
    <w:p w:rsidR="00544D1B" w:rsidRDefault="00544D1B" w:rsidP="00F30CAB">
      <w:pPr>
        <w:pStyle w:val="Sraopastraipa"/>
        <w:tabs>
          <w:tab w:val="left" w:pos="993"/>
        </w:tabs>
        <w:spacing w:after="0" w:line="360" w:lineRule="auto"/>
        <w:ind w:left="1080"/>
        <w:jc w:val="right"/>
        <w:rPr>
          <w:rFonts w:ascii="Times New Roman" w:hAnsi="Times New Roman" w:cs="Times New Roman"/>
          <w:sz w:val="20"/>
          <w:szCs w:val="20"/>
        </w:rPr>
      </w:pPr>
    </w:p>
    <w:p w:rsidR="00FC3B55" w:rsidRDefault="00752B81" w:rsidP="00F30CAB">
      <w:pPr>
        <w:pStyle w:val="Sraopastraipa"/>
        <w:tabs>
          <w:tab w:val="left" w:pos="993"/>
        </w:tabs>
        <w:spacing w:after="0" w:line="360" w:lineRule="auto"/>
        <w:ind w:left="1080"/>
        <w:jc w:val="right"/>
        <w:rPr>
          <w:rFonts w:ascii="Times New Roman" w:hAnsi="Times New Roman" w:cs="Times New Roman"/>
          <w:sz w:val="20"/>
          <w:szCs w:val="20"/>
        </w:rPr>
      </w:pPr>
      <w:r>
        <w:rPr>
          <w:rFonts w:ascii="Times New Roman" w:hAnsi="Times New Roman" w:cs="Times New Roman"/>
          <w:sz w:val="20"/>
          <w:szCs w:val="20"/>
        </w:rPr>
        <w:lastRenderedPageBreak/>
        <w:t>11</w:t>
      </w:r>
      <w:r w:rsidR="00FC3B55">
        <w:rPr>
          <w:rFonts w:ascii="Times New Roman" w:hAnsi="Times New Roman" w:cs="Times New Roman"/>
          <w:sz w:val="20"/>
          <w:szCs w:val="20"/>
        </w:rPr>
        <w:t xml:space="preserve"> diagrama</w:t>
      </w:r>
    </w:p>
    <w:p w:rsidR="002825C9" w:rsidRDefault="00616F3D" w:rsidP="00616F3D">
      <w:pPr>
        <w:pStyle w:val="Sraopastraipa"/>
        <w:tabs>
          <w:tab w:val="left" w:pos="0"/>
        </w:tabs>
        <w:spacing w:after="0" w:line="360" w:lineRule="auto"/>
        <w:ind w:left="0"/>
        <w:jc w:val="right"/>
        <w:rPr>
          <w:rFonts w:ascii="Times New Roman" w:hAnsi="Times New Roman" w:cs="Times New Roman"/>
          <w:b/>
          <w:sz w:val="24"/>
          <w:szCs w:val="24"/>
        </w:rPr>
      </w:pPr>
      <w:r>
        <w:rPr>
          <w:noProof/>
          <w:lang w:eastAsia="lt-LT"/>
        </w:rPr>
        <w:drawing>
          <wp:inline distT="0" distB="0" distL="0" distR="0">
            <wp:extent cx="6115050" cy="33528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lang w:eastAsia="lt-LT"/>
        </w:rPr>
        <w:t xml:space="preserve"> </w:t>
      </w:r>
    </w:p>
    <w:p w:rsidR="002825C9" w:rsidRPr="00616F3D" w:rsidRDefault="00616F3D" w:rsidP="00616F3D">
      <w:pPr>
        <w:jc w:val="both"/>
        <w:rPr>
          <w:rFonts w:ascii="Times New Roman" w:hAnsi="Times New Roman" w:cs="Times New Roman"/>
          <w:sz w:val="24"/>
          <w:szCs w:val="24"/>
        </w:rPr>
      </w:pPr>
      <w:r>
        <w:rPr>
          <w:rFonts w:ascii="Times New Roman" w:hAnsi="Times New Roman" w:cs="Times New Roman"/>
          <w:sz w:val="24"/>
          <w:szCs w:val="24"/>
        </w:rPr>
        <w:tab/>
        <w:t>Pradėjus teikti slaugos ir palaikomojo gydymo skyriuje masa</w:t>
      </w:r>
      <w:r w:rsidR="0046278F">
        <w:rPr>
          <w:rFonts w:ascii="Times New Roman" w:hAnsi="Times New Roman" w:cs="Times New Roman"/>
          <w:sz w:val="24"/>
          <w:szCs w:val="24"/>
        </w:rPr>
        <w:t>žuotojo ir kinez</w:t>
      </w:r>
      <w:r>
        <w:rPr>
          <w:rFonts w:ascii="Times New Roman" w:hAnsi="Times New Roman" w:cs="Times New Roman"/>
          <w:sz w:val="24"/>
          <w:szCs w:val="24"/>
        </w:rPr>
        <w:t>iterapeuto paslaugas</w:t>
      </w:r>
      <w:r w:rsidR="0066200B">
        <w:rPr>
          <w:rFonts w:ascii="Times New Roman" w:hAnsi="Times New Roman" w:cs="Times New Roman"/>
          <w:sz w:val="24"/>
          <w:szCs w:val="24"/>
        </w:rPr>
        <w:t>,</w:t>
      </w:r>
      <w:r>
        <w:rPr>
          <w:rFonts w:ascii="Times New Roman" w:hAnsi="Times New Roman" w:cs="Times New Roman"/>
          <w:sz w:val="24"/>
          <w:szCs w:val="24"/>
        </w:rPr>
        <w:t xml:space="preserve"> tikimės, kad atsiras daugiau pacientų vasaros laikotarpiu</w:t>
      </w:r>
      <w:r w:rsidR="0066200B">
        <w:rPr>
          <w:rFonts w:ascii="Times New Roman" w:hAnsi="Times New Roman" w:cs="Times New Roman"/>
          <w:sz w:val="24"/>
          <w:szCs w:val="24"/>
        </w:rPr>
        <w:t>.</w:t>
      </w:r>
    </w:p>
    <w:p w:rsidR="00812665" w:rsidRDefault="00812665" w:rsidP="00FC3B55">
      <w:pPr>
        <w:jc w:val="center"/>
        <w:rPr>
          <w:rFonts w:ascii="Times New Roman" w:hAnsi="Times New Roman" w:cs="Times New Roman"/>
          <w:b/>
          <w:sz w:val="24"/>
          <w:szCs w:val="24"/>
        </w:rPr>
      </w:pPr>
    </w:p>
    <w:p w:rsidR="002825C9" w:rsidRDefault="00FC3B55" w:rsidP="00FC3B55">
      <w:pPr>
        <w:jc w:val="center"/>
        <w:rPr>
          <w:rFonts w:ascii="Times New Roman" w:hAnsi="Times New Roman" w:cs="Times New Roman"/>
          <w:b/>
          <w:sz w:val="24"/>
          <w:szCs w:val="24"/>
        </w:rPr>
      </w:pPr>
      <w:r>
        <w:rPr>
          <w:rFonts w:ascii="Times New Roman" w:hAnsi="Times New Roman" w:cs="Times New Roman"/>
          <w:b/>
          <w:sz w:val="24"/>
          <w:szCs w:val="24"/>
        </w:rPr>
        <w:t xml:space="preserve">DIENOS CHIRURGIJOS </w:t>
      </w:r>
      <w:r w:rsidR="003954AC">
        <w:rPr>
          <w:rFonts w:ascii="Times New Roman" w:hAnsi="Times New Roman" w:cs="Times New Roman"/>
          <w:b/>
          <w:sz w:val="24"/>
          <w:szCs w:val="24"/>
        </w:rPr>
        <w:t>POSKYRIO</w:t>
      </w:r>
      <w:r w:rsidR="00752B81">
        <w:rPr>
          <w:rFonts w:ascii="Times New Roman" w:hAnsi="Times New Roman" w:cs="Times New Roman"/>
          <w:b/>
          <w:sz w:val="24"/>
          <w:szCs w:val="24"/>
        </w:rPr>
        <w:t xml:space="preserve"> DARBO </w:t>
      </w:r>
      <w:r>
        <w:rPr>
          <w:rFonts w:ascii="Times New Roman" w:hAnsi="Times New Roman" w:cs="Times New Roman"/>
          <w:b/>
          <w:sz w:val="24"/>
          <w:szCs w:val="24"/>
        </w:rPr>
        <w:t>ATASKAITA</w:t>
      </w:r>
    </w:p>
    <w:p w:rsidR="00FC3B55" w:rsidRDefault="00FC3B55" w:rsidP="00FC3B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Dienos chirurgijos </w:t>
      </w:r>
      <w:r w:rsidR="003954AC">
        <w:rPr>
          <w:rFonts w:ascii="Times New Roman" w:hAnsi="Times New Roman" w:cs="Times New Roman"/>
          <w:sz w:val="24"/>
          <w:szCs w:val="24"/>
        </w:rPr>
        <w:t>poskyryje</w:t>
      </w:r>
      <w:r>
        <w:rPr>
          <w:rFonts w:ascii="Times New Roman" w:hAnsi="Times New Roman" w:cs="Times New Roman"/>
          <w:sz w:val="24"/>
          <w:szCs w:val="24"/>
        </w:rPr>
        <w:t xml:space="preserve"> operuojami tik tie ligoniai, kuriems taikomas bendrinis nuskausminimas, o kuriems galima vietinė anestezija – </w:t>
      </w:r>
      <w:r w:rsidR="00457784">
        <w:rPr>
          <w:rFonts w:ascii="Times New Roman" w:hAnsi="Times New Roman" w:cs="Times New Roman"/>
          <w:sz w:val="24"/>
          <w:szCs w:val="24"/>
        </w:rPr>
        <w:t xml:space="preserve">aptarnaujami </w:t>
      </w:r>
      <w:r>
        <w:rPr>
          <w:rFonts w:ascii="Times New Roman" w:hAnsi="Times New Roman" w:cs="Times New Roman"/>
          <w:sz w:val="24"/>
          <w:szCs w:val="24"/>
        </w:rPr>
        <w:t xml:space="preserve">ambulatoriškai. </w:t>
      </w:r>
    </w:p>
    <w:p w:rsidR="00FC3B55" w:rsidRDefault="00FC3B55" w:rsidP="00FC3B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Dienos chirurgijos </w:t>
      </w:r>
      <w:r w:rsidR="003954AC">
        <w:rPr>
          <w:rFonts w:ascii="Times New Roman" w:hAnsi="Times New Roman" w:cs="Times New Roman"/>
          <w:sz w:val="24"/>
          <w:szCs w:val="24"/>
        </w:rPr>
        <w:t>poskyryje</w:t>
      </w:r>
      <w:r>
        <w:rPr>
          <w:rFonts w:ascii="Times New Roman" w:hAnsi="Times New Roman" w:cs="Times New Roman"/>
          <w:sz w:val="24"/>
          <w:szCs w:val="24"/>
        </w:rPr>
        <w:t xml:space="preserve"> atliekamos operacijos:</w:t>
      </w:r>
    </w:p>
    <w:p w:rsidR="00FC3B55" w:rsidRDefault="00FC3B55" w:rsidP="00FC3B55">
      <w:pPr>
        <w:pStyle w:val="Sraopastraipa"/>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Pirmos grupės – odos ir poodžio folikulinių cistų šalinimas, odos navikų šalinimas, įaugusio nago rezekcija ar jo šalinimas.</w:t>
      </w:r>
    </w:p>
    <w:p w:rsidR="00FC3B55" w:rsidRDefault="00FC3B55" w:rsidP="00FC3B55">
      <w:pPr>
        <w:pStyle w:val="Sraopastraipa"/>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Antros grupės – ganglionų, svetimkūnių ir minkštųjų audinių šalinimas.</w:t>
      </w:r>
    </w:p>
    <w:p w:rsidR="00FC3B55" w:rsidRDefault="00FC3B55" w:rsidP="00FC3B55">
      <w:pPr>
        <w:pStyle w:val="Sraopastraipa"/>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Trečios grupės – tai metalo konstrukcijų šalinimas po anksčiau atliktų traumatologinių – ortopedinių operacijų, burzų ša</w:t>
      </w:r>
      <w:r w:rsidR="003954AC">
        <w:rPr>
          <w:rFonts w:ascii="Times New Roman" w:hAnsi="Times New Roman" w:cs="Times New Roman"/>
          <w:sz w:val="24"/>
          <w:szCs w:val="24"/>
        </w:rPr>
        <w:t>linimas, fibromatozių šalinimas, endoskopinės ir transanalinės polipektomijos (storosios (gaubtinės) ir išangės kanalo gerybinis navikas, skrandžio polipas).</w:t>
      </w:r>
    </w:p>
    <w:p w:rsidR="003954AC" w:rsidRDefault="003954AC" w:rsidP="00FC3B55">
      <w:pPr>
        <w:pStyle w:val="Sraopastraipa"/>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Ketvirtos grupės – pilonidinės cistų pašalinių sausgyslių operacijos, nekrektomija.</w:t>
      </w:r>
    </w:p>
    <w:p w:rsidR="007F0BB2" w:rsidRDefault="003954AC" w:rsidP="00D13708">
      <w:pPr>
        <w:pStyle w:val="Sraopastraipa"/>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Penktos ir šeštos grupės operacijos nuo 2014 m. liepos mėnesio atlikti nebeleidžiama.</w:t>
      </w:r>
    </w:p>
    <w:p w:rsidR="00544D1B" w:rsidRDefault="00544D1B" w:rsidP="00FC3B55">
      <w:pPr>
        <w:pStyle w:val="Sraopastraipa"/>
        <w:spacing w:after="0" w:line="360" w:lineRule="auto"/>
        <w:jc w:val="right"/>
        <w:rPr>
          <w:rFonts w:ascii="Times New Roman" w:hAnsi="Times New Roman" w:cs="Times New Roman"/>
          <w:sz w:val="20"/>
          <w:szCs w:val="20"/>
        </w:rPr>
      </w:pPr>
    </w:p>
    <w:p w:rsidR="00544D1B" w:rsidRDefault="00544D1B" w:rsidP="00FC3B55">
      <w:pPr>
        <w:pStyle w:val="Sraopastraipa"/>
        <w:spacing w:after="0" w:line="360" w:lineRule="auto"/>
        <w:jc w:val="right"/>
        <w:rPr>
          <w:rFonts w:ascii="Times New Roman" w:hAnsi="Times New Roman" w:cs="Times New Roman"/>
          <w:sz w:val="20"/>
          <w:szCs w:val="20"/>
        </w:rPr>
      </w:pPr>
    </w:p>
    <w:p w:rsidR="00544D1B" w:rsidRDefault="00544D1B" w:rsidP="00FC3B55">
      <w:pPr>
        <w:pStyle w:val="Sraopastraipa"/>
        <w:spacing w:after="0" w:line="360" w:lineRule="auto"/>
        <w:jc w:val="right"/>
        <w:rPr>
          <w:rFonts w:ascii="Times New Roman" w:hAnsi="Times New Roman" w:cs="Times New Roman"/>
          <w:sz w:val="20"/>
          <w:szCs w:val="20"/>
        </w:rPr>
      </w:pPr>
    </w:p>
    <w:p w:rsidR="00544D1B" w:rsidRDefault="00544D1B" w:rsidP="00FC3B55">
      <w:pPr>
        <w:pStyle w:val="Sraopastraipa"/>
        <w:spacing w:after="0" w:line="360" w:lineRule="auto"/>
        <w:jc w:val="right"/>
        <w:rPr>
          <w:rFonts w:ascii="Times New Roman" w:hAnsi="Times New Roman" w:cs="Times New Roman"/>
          <w:sz w:val="20"/>
          <w:szCs w:val="20"/>
        </w:rPr>
      </w:pPr>
    </w:p>
    <w:p w:rsidR="00544D1B" w:rsidRDefault="00544D1B" w:rsidP="00FC3B55">
      <w:pPr>
        <w:pStyle w:val="Sraopastraipa"/>
        <w:spacing w:after="0" w:line="360" w:lineRule="auto"/>
        <w:jc w:val="right"/>
        <w:rPr>
          <w:rFonts w:ascii="Times New Roman" w:hAnsi="Times New Roman" w:cs="Times New Roman"/>
          <w:sz w:val="20"/>
          <w:szCs w:val="20"/>
        </w:rPr>
      </w:pPr>
    </w:p>
    <w:p w:rsidR="00544D1B" w:rsidRDefault="00544D1B" w:rsidP="00FC3B55">
      <w:pPr>
        <w:pStyle w:val="Sraopastraipa"/>
        <w:spacing w:after="0" w:line="360" w:lineRule="auto"/>
        <w:jc w:val="right"/>
        <w:rPr>
          <w:rFonts w:ascii="Times New Roman" w:hAnsi="Times New Roman" w:cs="Times New Roman"/>
          <w:sz w:val="20"/>
          <w:szCs w:val="20"/>
        </w:rPr>
      </w:pPr>
    </w:p>
    <w:p w:rsidR="00FC3B55" w:rsidRDefault="00FC3B55" w:rsidP="00FC3B55">
      <w:pPr>
        <w:pStyle w:val="Sraopastraipa"/>
        <w:spacing w:after="0" w:line="360" w:lineRule="auto"/>
        <w:jc w:val="right"/>
        <w:rPr>
          <w:rFonts w:ascii="Times New Roman" w:hAnsi="Times New Roman" w:cs="Times New Roman"/>
          <w:sz w:val="20"/>
          <w:szCs w:val="20"/>
        </w:rPr>
      </w:pPr>
      <w:r>
        <w:rPr>
          <w:rFonts w:ascii="Times New Roman" w:hAnsi="Times New Roman" w:cs="Times New Roman"/>
          <w:sz w:val="20"/>
          <w:szCs w:val="20"/>
        </w:rPr>
        <w:t>1</w:t>
      </w:r>
      <w:r w:rsidR="00752B81">
        <w:rPr>
          <w:rFonts w:ascii="Times New Roman" w:hAnsi="Times New Roman" w:cs="Times New Roman"/>
          <w:sz w:val="20"/>
          <w:szCs w:val="20"/>
        </w:rPr>
        <w:t>2</w:t>
      </w:r>
      <w:r>
        <w:rPr>
          <w:rFonts w:ascii="Times New Roman" w:hAnsi="Times New Roman" w:cs="Times New Roman"/>
          <w:sz w:val="20"/>
          <w:szCs w:val="20"/>
        </w:rPr>
        <w:t xml:space="preserve"> diagrama</w:t>
      </w:r>
    </w:p>
    <w:p w:rsidR="00FC3B55" w:rsidRDefault="003954AC" w:rsidP="00F30CAB">
      <w:pPr>
        <w:pStyle w:val="Sraopastraipa"/>
        <w:spacing w:after="0" w:line="360" w:lineRule="auto"/>
        <w:ind w:left="0"/>
        <w:jc w:val="center"/>
        <w:rPr>
          <w:rFonts w:ascii="Times New Roman" w:hAnsi="Times New Roman" w:cs="Times New Roman"/>
          <w:sz w:val="20"/>
          <w:szCs w:val="20"/>
        </w:rPr>
      </w:pPr>
      <w:r>
        <w:rPr>
          <w:noProof/>
          <w:lang w:eastAsia="lt-LT"/>
        </w:rPr>
        <w:lastRenderedPageBreak/>
        <w:drawing>
          <wp:inline distT="0" distB="0" distL="0" distR="0">
            <wp:extent cx="61722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85E08" w:rsidRDefault="007F0BB2" w:rsidP="00F12BC4">
      <w:pPr>
        <w:spacing w:line="360" w:lineRule="auto"/>
        <w:ind w:firstLine="1276"/>
        <w:jc w:val="both"/>
        <w:rPr>
          <w:rFonts w:ascii="Times New Roman" w:hAnsi="Times New Roman" w:cs="Times New Roman"/>
          <w:sz w:val="20"/>
          <w:szCs w:val="20"/>
        </w:rPr>
      </w:pPr>
      <w:r>
        <w:rPr>
          <w:rFonts w:ascii="Times New Roman" w:hAnsi="Times New Roman" w:cs="Times New Roman"/>
          <w:sz w:val="24"/>
          <w:szCs w:val="24"/>
        </w:rPr>
        <w:t xml:space="preserve">Per metus </w:t>
      </w:r>
      <w:r w:rsidR="00405CAA">
        <w:rPr>
          <w:rFonts w:ascii="Times New Roman" w:hAnsi="Times New Roman" w:cs="Times New Roman"/>
          <w:sz w:val="24"/>
          <w:szCs w:val="24"/>
        </w:rPr>
        <w:t>atlikta 50 operacijų</w:t>
      </w:r>
      <w:r>
        <w:rPr>
          <w:rFonts w:ascii="Times New Roman" w:hAnsi="Times New Roman" w:cs="Times New Roman"/>
          <w:sz w:val="24"/>
          <w:szCs w:val="24"/>
        </w:rPr>
        <w:t xml:space="preserve">. </w:t>
      </w:r>
      <w:r w:rsidR="00405CAA">
        <w:rPr>
          <w:rFonts w:ascii="Times New Roman" w:hAnsi="Times New Roman" w:cs="Times New Roman"/>
          <w:sz w:val="24"/>
          <w:szCs w:val="24"/>
        </w:rPr>
        <w:t>Lyginant su 2014 m., operacijų skaičius sumažėjo. Permažai ligonių iš PSPC atsiunčiama</w:t>
      </w:r>
      <w:r w:rsidR="000E58BD">
        <w:rPr>
          <w:rFonts w:ascii="Times New Roman" w:hAnsi="Times New Roman" w:cs="Times New Roman"/>
          <w:sz w:val="24"/>
          <w:szCs w:val="24"/>
        </w:rPr>
        <w:t xml:space="preserve"> operaciniam gydymui. Pirminiame lygyje dirbantis chirurgas konsultuoja didelę dalį ligonių, kurie nebepatenka antrinio lygio chirurgo konsultacijai į mūsų gydymo įstaigą. Dėl to prarandame konsultacijas, ligoninės lėšas</w:t>
      </w:r>
      <w:r w:rsidR="00F12BC4">
        <w:rPr>
          <w:rFonts w:ascii="Times New Roman" w:hAnsi="Times New Roman" w:cs="Times New Roman"/>
          <w:sz w:val="24"/>
          <w:szCs w:val="24"/>
        </w:rPr>
        <w:t xml:space="preserve"> dėl nepakankamo konsultacijų skaičiaus. Specialistų dubliavimasis gydymosi įstaigose neigiamai veikia chirurginių pacientų atranką operacinaim gydymui į mūsų ligoninę. Dalis ligonių operacijoms nukreipiami į kitas gydymo įstaigas. </w:t>
      </w:r>
    </w:p>
    <w:p w:rsidR="00FC3B55" w:rsidRDefault="00752B81" w:rsidP="00D13708">
      <w:pPr>
        <w:spacing w:line="360" w:lineRule="auto"/>
        <w:ind w:firstLine="1276"/>
        <w:jc w:val="right"/>
        <w:rPr>
          <w:rFonts w:ascii="Times New Roman" w:hAnsi="Times New Roman" w:cs="Times New Roman"/>
          <w:sz w:val="20"/>
          <w:szCs w:val="20"/>
        </w:rPr>
      </w:pPr>
      <w:r>
        <w:rPr>
          <w:rFonts w:ascii="Times New Roman" w:hAnsi="Times New Roman" w:cs="Times New Roman"/>
          <w:sz w:val="20"/>
          <w:szCs w:val="20"/>
        </w:rPr>
        <w:t>13</w:t>
      </w:r>
      <w:r w:rsidR="00FC3B55">
        <w:rPr>
          <w:rFonts w:ascii="Times New Roman" w:hAnsi="Times New Roman" w:cs="Times New Roman"/>
          <w:sz w:val="20"/>
          <w:szCs w:val="20"/>
        </w:rPr>
        <w:t xml:space="preserve"> diagrama</w:t>
      </w:r>
    </w:p>
    <w:p w:rsidR="00F12BC4" w:rsidRDefault="00F12BC4" w:rsidP="00F12BC4">
      <w:pPr>
        <w:spacing w:line="360" w:lineRule="auto"/>
        <w:rPr>
          <w:rFonts w:ascii="Times New Roman" w:hAnsi="Times New Roman" w:cs="Times New Roman"/>
          <w:sz w:val="20"/>
          <w:szCs w:val="20"/>
        </w:rPr>
      </w:pPr>
      <w:r>
        <w:rPr>
          <w:noProof/>
          <w:lang w:eastAsia="lt-LT"/>
        </w:rPr>
        <w:drawing>
          <wp:inline distT="0" distB="0" distL="0" distR="0">
            <wp:extent cx="5895975" cy="274320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429BE" w:rsidRDefault="006F79D1" w:rsidP="006F79D1">
      <w:pPr>
        <w:spacing w:line="360" w:lineRule="auto"/>
        <w:jc w:val="both"/>
        <w:rPr>
          <w:rFonts w:ascii="Times New Roman" w:hAnsi="Times New Roman" w:cs="Times New Roman"/>
          <w:sz w:val="24"/>
          <w:szCs w:val="24"/>
        </w:rPr>
      </w:pPr>
      <w:r>
        <w:rPr>
          <w:rFonts w:ascii="Times New Roman" w:hAnsi="Times New Roman" w:cs="Times New Roman"/>
          <w:sz w:val="20"/>
          <w:szCs w:val="20"/>
        </w:rPr>
        <w:tab/>
      </w:r>
      <w:r w:rsidRPr="006F79D1">
        <w:rPr>
          <w:rFonts w:ascii="Times New Roman" w:hAnsi="Times New Roman" w:cs="Times New Roman"/>
          <w:sz w:val="24"/>
          <w:szCs w:val="24"/>
        </w:rPr>
        <w:t>I grupės oper</w:t>
      </w:r>
      <w:r>
        <w:rPr>
          <w:rFonts w:ascii="Times New Roman" w:hAnsi="Times New Roman" w:cs="Times New Roman"/>
          <w:sz w:val="24"/>
          <w:szCs w:val="24"/>
        </w:rPr>
        <w:t>a</w:t>
      </w:r>
      <w:r w:rsidRPr="006F79D1">
        <w:rPr>
          <w:rFonts w:ascii="Times New Roman" w:hAnsi="Times New Roman" w:cs="Times New Roman"/>
          <w:sz w:val="24"/>
          <w:szCs w:val="24"/>
        </w:rPr>
        <w:t xml:space="preserve">cijų buvo atlikta per </w:t>
      </w:r>
      <w:r>
        <w:rPr>
          <w:rFonts w:ascii="Times New Roman" w:hAnsi="Times New Roman" w:cs="Times New Roman"/>
          <w:sz w:val="24"/>
          <w:szCs w:val="24"/>
        </w:rPr>
        <w:t xml:space="preserve">2015 m. – 8, II grupės – 19, III grupės – 23, iš jų 13 kolonoskopijų su polipektomija ir 6 endoskopijos su polipektomija. </w:t>
      </w:r>
    </w:p>
    <w:p w:rsidR="00F429BE" w:rsidRDefault="00EE4E24" w:rsidP="00EE4E24">
      <w:pPr>
        <w:spacing w:line="360" w:lineRule="auto"/>
        <w:jc w:val="both"/>
        <w:rPr>
          <w:rFonts w:ascii="Times New Roman" w:hAnsi="Times New Roman" w:cs="Times New Roman"/>
          <w:b/>
          <w:sz w:val="24"/>
          <w:szCs w:val="24"/>
        </w:rPr>
      </w:pPr>
      <w:r>
        <w:rPr>
          <w:rFonts w:ascii="Times New Roman" w:hAnsi="Times New Roman" w:cs="Times New Roman"/>
          <w:sz w:val="24"/>
          <w:szCs w:val="24"/>
        </w:rPr>
        <w:tab/>
        <w:t>Bendradarbiaujant su pirminės grandies specialistais ir ne</w:t>
      </w:r>
      <w:r w:rsidR="00D71CF8">
        <w:rPr>
          <w:rFonts w:ascii="Times New Roman" w:hAnsi="Times New Roman" w:cs="Times New Roman"/>
          <w:sz w:val="24"/>
          <w:szCs w:val="24"/>
        </w:rPr>
        <w:t>iš</w:t>
      </w:r>
      <w:r>
        <w:rPr>
          <w:rFonts w:ascii="Times New Roman" w:hAnsi="Times New Roman" w:cs="Times New Roman"/>
          <w:sz w:val="24"/>
          <w:szCs w:val="24"/>
        </w:rPr>
        <w:t>siunčiant pacientų</w:t>
      </w:r>
      <w:r w:rsidR="00D71CF8">
        <w:rPr>
          <w:rFonts w:ascii="Times New Roman" w:hAnsi="Times New Roman" w:cs="Times New Roman"/>
          <w:sz w:val="24"/>
          <w:szCs w:val="24"/>
        </w:rPr>
        <w:t xml:space="preserve"> iš PSPC</w:t>
      </w:r>
      <w:r>
        <w:rPr>
          <w:rFonts w:ascii="Times New Roman" w:hAnsi="Times New Roman" w:cs="Times New Roman"/>
          <w:sz w:val="24"/>
          <w:szCs w:val="24"/>
        </w:rPr>
        <w:t xml:space="preserve"> į kitas gydymo įstaigas, savo jėgomis esame pajėgūs ryškiai padidinti Dienos chirurgijos operacijų skaičių.</w:t>
      </w:r>
    </w:p>
    <w:p w:rsidR="00D13708" w:rsidRPr="00F30CAB" w:rsidRDefault="00F30CAB" w:rsidP="00D13708">
      <w:pPr>
        <w:spacing w:line="360" w:lineRule="auto"/>
        <w:ind w:firstLine="1276"/>
        <w:jc w:val="center"/>
        <w:rPr>
          <w:rFonts w:ascii="Times New Roman" w:hAnsi="Times New Roman" w:cs="Times New Roman"/>
          <w:b/>
          <w:sz w:val="24"/>
          <w:szCs w:val="24"/>
        </w:rPr>
      </w:pPr>
      <w:r w:rsidRPr="00F30CAB">
        <w:rPr>
          <w:rFonts w:ascii="Times New Roman" w:hAnsi="Times New Roman" w:cs="Times New Roman"/>
          <w:b/>
          <w:sz w:val="24"/>
          <w:szCs w:val="24"/>
        </w:rPr>
        <w:lastRenderedPageBreak/>
        <w:t>KONSULTACIJŲ POLIKLINIKOS DARBO ATASKAITA</w:t>
      </w:r>
    </w:p>
    <w:p w:rsidR="00F30CAB" w:rsidRDefault="00F30CAB" w:rsidP="00F30CAB">
      <w:pPr>
        <w:spacing w:line="360" w:lineRule="auto"/>
        <w:ind w:firstLine="1276"/>
        <w:jc w:val="both"/>
        <w:rPr>
          <w:rFonts w:ascii="Times New Roman" w:hAnsi="Times New Roman" w:cs="Times New Roman"/>
          <w:sz w:val="24"/>
          <w:szCs w:val="24"/>
        </w:rPr>
      </w:pPr>
      <w:r w:rsidRPr="00F30CAB">
        <w:rPr>
          <w:rFonts w:ascii="Times New Roman" w:hAnsi="Times New Roman" w:cs="Times New Roman"/>
          <w:sz w:val="24"/>
          <w:szCs w:val="24"/>
        </w:rPr>
        <w:tab/>
        <w:t>Konsultacinėje poliklinikoje teikiamos II lygio konsultacinės paslaugos. Konsultacijų poliklinikoje dirba gydytojai: pulmonologas, endokrinologas, chirurgas, kardiologas, neurologas, otorinolaringologas, urologas, radiologas, oftalmologas, echoskopuotojas, endoskopuotojas, dermatovenerologas, akušeris – ginekologas, reabilitologas ir kiti specialistai.</w:t>
      </w:r>
    </w:p>
    <w:p w:rsidR="00B83414" w:rsidRDefault="00B83414" w:rsidP="00B83414">
      <w:pPr>
        <w:spacing w:line="360" w:lineRule="auto"/>
        <w:ind w:firstLine="1276"/>
        <w:jc w:val="right"/>
        <w:rPr>
          <w:rFonts w:ascii="Times New Roman" w:hAnsi="Times New Roman" w:cs="Times New Roman"/>
          <w:sz w:val="20"/>
          <w:szCs w:val="20"/>
        </w:rPr>
      </w:pPr>
      <w:r>
        <w:rPr>
          <w:rFonts w:ascii="Times New Roman" w:hAnsi="Times New Roman" w:cs="Times New Roman"/>
          <w:sz w:val="20"/>
          <w:szCs w:val="20"/>
        </w:rPr>
        <w:t>14 diagrama</w:t>
      </w:r>
    </w:p>
    <w:p w:rsidR="00B83414" w:rsidRPr="00B83414" w:rsidRDefault="00B83414" w:rsidP="00B83414">
      <w:pPr>
        <w:spacing w:line="360" w:lineRule="auto"/>
        <w:rPr>
          <w:rFonts w:ascii="Times New Roman" w:hAnsi="Times New Roman" w:cs="Times New Roman"/>
          <w:sz w:val="20"/>
          <w:szCs w:val="20"/>
        </w:rPr>
      </w:pPr>
      <w:r>
        <w:rPr>
          <w:noProof/>
          <w:lang w:eastAsia="lt-LT"/>
        </w:rPr>
        <w:drawing>
          <wp:inline distT="0" distB="0" distL="0" distR="0">
            <wp:extent cx="6134100" cy="3000375"/>
            <wp:effectExtent l="0" t="0" r="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B4498" w:rsidRDefault="00CB4498" w:rsidP="00F30CAB">
      <w:pPr>
        <w:spacing w:line="360" w:lineRule="auto"/>
        <w:ind w:firstLine="1276"/>
        <w:jc w:val="both"/>
        <w:rPr>
          <w:rFonts w:ascii="Times New Roman" w:hAnsi="Times New Roman" w:cs="Times New Roman"/>
          <w:sz w:val="24"/>
          <w:szCs w:val="24"/>
        </w:rPr>
      </w:pPr>
      <w:r>
        <w:rPr>
          <w:rFonts w:ascii="Times New Roman" w:hAnsi="Times New Roman" w:cs="Times New Roman"/>
          <w:sz w:val="24"/>
          <w:szCs w:val="24"/>
        </w:rPr>
        <w:t>2015 m. buvo suteiktos 41548 ambulatorinės specializuotos paslaugos, iš jų atlikta 30392 konsultacijos. Lyginant su 2014 metais apsilankymų padaugėjo 1357, o konsultacijų padaugėjo 765.</w:t>
      </w:r>
    </w:p>
    <w:p w:rsidR="00CB4498" w:rsidRPr="00F30CAB" w:rsidRDefault="00CB4498" w:rsidP="00F30CAB">
      <w:pPr>
        <w:spacing w:line="360" w:lineRule="auto"/>
        <w:ind w:firstLine="1276"/>
        <w:jc w:val="both"/>
        <w:rPr>
          <w:rFonts w:ascii="Times New Roman" w:hAnsi="Times New Roman" w:cs="Times New Roman"/>
          <w:sz w:val="24"/>
          <w:szCs w:val="24"/>
        </w:rPr>
      </w:pPr>
      <w:r>
        <w:rPr>
          <w:rFonts w:ascii="Times New Roman" w:hAnsi="Times New Roman" w:cs="Times New Roman"/>
          <w:sz w:val="24"/>
          <w:szCs w:val="24"/>
        </w:rPr>
        <w:t xml:space="preserve">Ambulatorinių konsultacijų metinį planą viršijome 8740 Eur. Ryškiai išaugo kai kurių instrumentinių tyrimų skaičius, labiausiai padidėjo vidaus organų sonoskopijų, echokardioskopijų, endoskopijų, kolonoskopijų, ginekologinių echoskopijų tyrimų skaičius. </w:t>
      </w:r>
    </w:p>
    <w:p w:rsidR="00F429BE" w:rsidRDefault="00F429BE" w:rsidP="007324C0">
      <w:pPr>
        <w:tabs>
          <w:tab w:val="left" w:pos="4005"/>
        </w:tabs>
        <w:spacing w:after="0" w:line="360" w:lineRule="auto"/>
        <w:rPr>
          <w:rFonts w:ascii="Times New Roman" w:hAnsi="Times New Roman" w:cs="Times New Roman"/>
          <w:sz w:val="20"/>
          <w:szCs w:val="20"/>
        </w:rPr>
      </w:pPr>
    </w:p>
    <w:p w:rsidR="00F429BE" w:rsidRDefault="00F429BE" w:rsidP="00B21327">
      <w:pPr>
        <w:tabs>
          <w:tab w:val="left" w:pos="4005"/>
        </w:tabs>
        <w:spacing w:after="0" w:line="360" w:lineRule="auto"/>
        <w:ind w:firstLine="1276"/>
        <w:jc w:val="right"/>
        <w:rPr>
          <w:rFonts w:ascii="Times New Roman" w:hAnsi="Times New Roman" w:cs="Times New Roman"/>
          <w:sz w:val="20"/>
          <w:szCs w:val="20"/>
        </w:rPr>
      </w:pPr>
    </w:p>
    <w:p w:rsidR="00544D1B" w:rsidRDefault="00544D1B" w:rsidP="00B21327">
      <w:pPr>
        <w:tabs>
          <w:tab w:val="left" w:pos="4005"/>
        </w:tabs>
        <w:spacing w:after="0" w:line="360" w:lineRule="auto"/>
        <w:ind w:firstLine="1276"/>
        <w:jc w:val="right"/>
        <w:rPr>
          <w:rFonts w:ascii="Times New Roman" w:hAnsi="Times New Roman" w:cs="Times New Roman"/>
          <w:sz w:val="20"/>
          <w:szCs w:val="20"/>
        </w:rPr>
      </w:pPr>
    </w:p>
    <w:p w:rsidR="00544D1B" w:rsidRDefault="00544D1B" w:rsidP="00B21327">
      <w:pPr>
        <w:tabs>
          <w:tab w:val="left" w:pos="4005"/>
        </w:tabs>
        <w:spacing w:after="0" w:line="360" w:lineRule="auto"/>
        <w:ind w:firstLine="1276"/>
        <w:jc w:val="right"/>
        <w:rPr>
          <w:rFonts w:ascii="Times New Roman" w:hAnsi="Times New Roman" w:cs="Times New Roman"/>
          <w:sz w:val="20"/>
          <w:szCs w:val="20"/>
        </w:rPr>
      </w:pPr>
    </w:p>
    <w:p w:rsidR="00544D1B" w:rsidRDefault="00544D1B" w:rsidP="00B21327">
      <w:pPr>
        <w:tabs>
          <w:tab w:val="left" w:pos="4005"/>
        </w:tabs>
        <w:spacing w:after="0" w:line="360" w:lineRule="auto"/>
        <w:ind w:firstLine="1276"/>
        <w:jc w:val="right"/>
        <w:rPr>
          <w:rFonts w:ascii="Times New Roman" w:hAnsi="Times New Roman" w:cs="Times New Roman"/>
          <w:sz w:val="20"/>
          <w:szCs w:val="20"/>
        </w:rPr>
      </w:pPr>
    </w:p>
    <w:p w:rsidR="00544D1B" w:rsidRDefault="00544D1B" w:rsidP="00B21327">
      <w:pPr>
        <w:tabs>
          <w:tab w:val="left" w:pos="4005"/>
        </w:tabs>
        <w:spacing w:after="0" w:line="360" w:lineRule="auto"/>
        <w:ind w:firstLine="1276"/>
        <w:jc w:val="right"/>
        <w:rPr>
          <w:rFonts w:ascii="Times New Roman" w:hAnsi="Times New Roman" w:cs="Times New Roman"/>
          <w:sz w:val="20"/>
          <w:szCs w:val="20"/>
        </w:rPr>
      </w:pPr>
    </w:p>
    <w:p w:rsidR="00544D1B" w:rsidRDefault="00544D1B" w:rsidP="00B21327">
      <w:pPr>
        <w:tabs>
          <w:tab w:val="left" w:pos="4005"/>
        </w:tabs>
        <w:spacing w:after="0" w:line="360" w:lineRule="auto"/>
        <w:ind w:firstLine="1276"/>
        <w:jc w:val="right"/>
        <w:rPr>
          <w:rFonts w:ascii="Times New Roman" w:hAnsi="Times New Roman" w:cs="Times New Roman"/>
          <w:sz w:val="20"/>
          <w:szCs w:val="20"/>
        </w:rPr>
      </w:pPr>
    </w:p>
    <w:p w:rsidR="00817C37" w:rsidRDefault="00817C37" w:rsidP="00B21327">
      <w:pPr>
        <w:tabs>
          <w:tab w:val="left" w:pos="4005"/>
        </w:tabs>
        <w:spacing w:after="0" w:line="360" w:lineRule="auto"/>
        <w:ind w:firstLine="1276"/>
        <w:jc w:val="right"/>
        <w:rPr>
          <w:rFonts w:ascii="Times New Roman" w:hAnsi="Times New Roman" w:cs="Times New Roman"/>
          <w:sz w:val="20"/>
          <w:szCs w:val="20"/>
        </w:rPr>
      </w:pPr>
    </w:p>
    <w:p w:rsidR="00817C37" w:rsidRDefault="00817C37" w:rsidP="00B21327">
      <w:pPr>
        <w:tabs>
          <w:tab w:val="left" w:pos="4005"/>
        </w:tabs>
        <w:spacing w:after="0" w:line="360" w:lineRule="auto"/>
        <w:ind w:firstLine="1276"/>
        <w:jc w:val="right"/>
        <w:rPr>
          <w:rFonts w:ascii="Times New Roman" w:hAnsi="Times New Roman" w:cs="Times New Roman"/>
          <w:sz w:val="20"/>
          <w:szCs w:val="20"/>
        </w:rPr>
      </w:pPr>
    </w:p>
    <w:p w:rsidR="00817C37" w:rsidRDefault="00817C37" w:rsidP="00B21327">
      <w:pPr>
        <w:tabs>
          <w:tab w:val="left" w:pos="4005"/>
        </w:tabs>
        <w:spacing w:after="0" w:line="360" w:lineRule="auto"/>
        <w:ind w:firstLine="1276"/>
        <w:jc w:val="right"/>
        <w:rPr>
          <w:rFonts w:ascii="Times New Roman" w:hAnsi="Times New Roman" w:cs="Times New Roman"/>
          <w:sz w:val="20"/>
          <w:szCs w:val="20"/>
        </w:rPr>
      </w:pPr>
    </w:p>
    <w:p w:rsidR="00817C37" w:rsidRDefault="00817C37" w:rsidP="00B21327">
      <w:pPr>
        <w:tabs>
          <w:tab w:val="left" w:pos="4005"/>
        </w:tabs>
        <w:spacing w:after="0" w:line="360" w:lineRule="auto"/>
        <w:ind w:firstLine="1276"/>
        <w:jc w:val="right"/>
        <w:rPr>
          <w:rFonts w:ascii="Times New Roman" w:hAnsi="Times New Roman" w:cs="Times New Roman"/>
          <w:sz w:val="20"/>
          <w:szCs w:val="20"/>
        </w:rPr>
      </w:pPr>
    </w:p>
    <w:p w:rsidR="00B21327" w:rsidRDefault="00B21327" w:rsidP="00B21327">
      <w:pPr>
        <w:tabs>
          <w:tab w:val="left" w:pos="4005"/>
        </w:tabs>
        <w:spacing w:after="0" w:line="360" w:lineRule="auto"/>
        <w:ind w:firstLine="1276"/>
        <w:jc w:val="right"/>
        <w:rPr>
          <w:rFonts w:ascii="Times New Roman" w:hAnsi="Times New Roman" w:cs="Times New Roman"/>
          <w:sz w:val="20"/>
          <w:szCs w:val="20"/>
        </w:rPr>
      </w:pPr>
      <w:r>
        <w:rPr>
          <w:rFonts w:ascii="Times New Roman" w:hAnsi="Times New Roman" w:cs="Times New Roman"/>
          <w:sz w:val="20"/>
          <w:szCs w:val="20"/>
        </w:rPr>
        <w:lastRenderedPageBreak/>
        <w:t>15</w:t>
      </w:r>
      <w:r w:rsidRPr="00F30CAB">
        <w:rPr>
          <w:rFonts w:ascii="Times New Roman" w:hAnsi="Times New Roman" w:cs="Times New Roman"/>
          <w:sz w:val="20"/>
          <w:szCs w:val="20"/>
        </w:rPr>
        <w:t xml:space="preserve"> diagrama</w:t>
      </w:r>
    </w:p>
    <w:p w:rsidR="00B21327" w:rsidRDefault="00B21327" w:rsidP="003C2324">
      <w:pPr>
        <w:tabs>
          <w:tab w:val="left" w:pos="4005"/>
        </w:tabs>
        <w:spacing w:after="0" w:line="360" w:lineRule="auto"/>
        <w:jc w:val="both"/>
        <w:rPr>
          <w:rFonts w:ascii="Times New Roman" w:hAnsi="Times New Roman" w:cs="Times New Roman"/>
          <w:sz w:val="24"/>
          <w:szCs w:val="24"/>
        </w:rPr>
      </w:pPr>
      <w:r>
        <w:rPr>
          <w:noProof/>
          <w:lang w:eastAsia="lt-LT"/>
        </w:rPr>
        <w:drawing>
          <wp:inline distT="0" distB="0" distL="0" distR="0">
            <wp:extent cx="6120130" cy="4069582"/>
            <wp:effectExtent l="19050" t="0" r="13970" b="7118"/>
            <wp:docPr id="8"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C2324" w:rsidRPr="003C2324" w:rsidRDefault="003C2324" w:rsidP="003C2324">
      <w:pPr>
        <w:tabs>
          <w:tab w:val="left" w:pos="4005"/>
        </w:tabs>
        <w:spacing w:after="0" w:line="360" w:lineRule="auto"/>
        <w:jc w:val="both"/>
        <w:rPr>
          <w:rFonts w:ascii="Times New Roman" w:hAnsi="Times New Roman" w:cs="Times New Roman"/>
          <w:sz w:val="24"/>
          <w:szCs w:val="24"/>
        </w:rPr>
      </w:pPr>
    </w:p>
    <w:p w:rsidR="003C2324" w:rsidRDefault="000153B8" w:rsidP="00F429BE">
      <w:pPr>
        <w:tabs>
          <w:tab w:val="left" w:pos="4005"/>
        </w:tabs>
        <w:spacing w:after="0" w:line="360" w:lineRule="auto"/>
        <w:ind w:firstLine="1276"/>
        <w:jc w:val="right"/>
        <w:rPr>
          <w:rFonts w:ascii="Times New Roman" w:hAnsi="Times New Roman" w:cs="Times New Roman"/>
          <w:sz w:val="20"/>
          <w:szCs w:val="20"/>
        </w:rPr>
      </w:pPr>
      <w:r>
        <w:rPr>
          <w:rFonts w:ascii="Times New Roman" w:hAnsi="Times New Roman" w:cs="Times New Roman"/>
          <w:sz w:val="20"/>
          <w:szCs w:val="20"/>
        </w:rPr>
        <w:t>16</w:t>
      </w:r>
      <w:r w:rsidR="00B21327" w:rsidRPr="00F30CAB">
        <w:rPr>
          <w:rFonts w:ascii="Times New Roman" w:hAnsi="Times New Roman" w:cs="Times New Roman"/>
          <w:sz w:val="20"/>
          <w:szCs w:val="20"/>
        </w:rPr>
        <w:t xml:space="preserve"> diagrama</w:t>
      </w:r>
      <w:r w:rsidR="00B21327">
        <w:rPr>
          <w:noProof/>
          <w:lang w:eastAsia="lt-LT"/>
        </w:rPr>
        <w:drawing>
          <wp:inline distT="0" distB="0" distL="0" distR="0">
            <wp:extent cx="6120130" cy="4095750"/>
            <wp:effectExtent l="19050" t="0" r="13970" b="0"/>
            <wp:docPr id="37"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153B8" w:rsidRDefault="000153B8" w:rsidP="003C2324">
      <w:pPr>
        <w:tabs>
          <w:tab w:val="left" w:pos="4005"/>
        </w:tabs>
        <w:spacing w:after="0" w:line="360" w:lineRule="auto"/>
        <w:jc w:val="both"/>
        <w:rPr>
          <w:rFonts w:ascii="Times New Roman" w:hAnsi="Times New Roman" w:cs="Times New Roman"/>
          <w:sz w:val="20"/>
          <w:szCs w:val="20"/>
        </w:rPr>
      </w:pPr>
    </w:p>
    <w:p w:rsidR="00B21327" w:rsidRDefault="000153B8" w:rsidP="003C2324">
      <w:pPr>
        <w:tabs>
          <w:tab w:val="left" w:pos="4005"/>
        </w:tabs>
        <w:spacing w:after="0" w:line="360" w:lineRule="auto"/>
        <w:jc w:val="right"/>
        <w:rPr>
          <w:rFonts w:ascii="Times New Roman" w:hAnsi="Times New Roman" w:cs="Times New Roman"/>
          <w:sz w:val="24"/>
          <w:szCs w:val="24"/>
        </w:rPr>
      </w:pPr>
      <w:r>
        <w:rPr>
          <w:rFonts w:ascii="Times New Roman" w:hAnsi="Times New Roman" w:cs="Times New Roman"/>
          <w:sz w:val="20"/>
          <w:szCs w:val="20"/>
        </w:rPr>
        <w:lastRenderedPageBreak/>
        <w:t>17</w:t>
      </w:r>
      <w:r w:rsidR="00B21327" w:rsidRPr="00F30CAB">
        <w:rPr>
          <w:rFonts w:ascii="Times New Roman" w:hAnsi="Times New Roman" w:cs="Times New Roman"/>
          <w:sz w:val="20"/>
          <w:szCs w:val="20"/>
        </w:rPr>
        <w:t xml:space="preserve"> diagrama</w:t>
      </w:r>
      <w:r w:rsidR="00B21327">
        <w:rPr>
          <w:noProof/>
          <w:lang w:eastAsia="lt-LT"/>
        </w:rPr>
        <w:drawing>
          <wp:inline distT="0" distB="0" distL="0" distR="0">
            <wp:extent cx="6120130" cy="4134485"/>
            <wp:effectExtent l="0" t="0" r="0" b="0"/>
            <wp:docPr id="38"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153B8" w:rsidRDefault="000153B8" w:rsidP="00B21327">
      <w:pPr>
        <w:tabs>
          <w:tab w:val="left" w:pos="4005"/>
        </w:tabs>
        <w:spacing w:after="0" w:line="360" w:lineRule="auto"/>
        <w:ind w:firstLine="1276"/>
        <w:jc w:val="right"/>
        <w:rPr>
          <w:rFonts w:ascii="Times New Roman" w:hAnsi="Times New Roman" w:cs="Times New Roman"/>
          <w:sz w:val="20"/>
          <w:szCs w:val="20"/>
        </w:rPr>
      </w:pPr>
    </w:p>
    <w:p w:rsidR="00B21327" w:rsidRDefault="00B21327" w:rsidP="00B21327">
      <w:pPr>
        <w:tabs>
          <w:tab w:val="left" w:pos="4005"/>
        </w:tabs>
        <w:spacing w:after="0" w:line="360" w:lineRule="auto"/>
        <w:ind w:firstLine="1276"/>
        <w:jc w:val="right"/>
        <w:rPr>
          <w:rFonts w:ascii="Times New Roman" w:hAnsi="Times New Roman" w:cs="Times New Roman"/>
          <w:sz w:val="24"/>
          <w:szCs w:val="24"/>
        </w:rPr>
      </w:pPr>
      <w:r>
        <w:rPr>
          <w:rFonts w:ascii="Times New Roman" w:hAnsi="Times New Roman" w:cs="Times New Roman"/>
          <w:sz w:val="20"/>
          <w:szCs w:val="20"/>
        </w:rPr>
        <w:t>1</w:t>
      </w:r>
      <w:r w:rsidR="000153B8">
        <w:rPr>
          <w:rFonts w:ascii="Times New Roman" w:hAnsi="Times New Roman" w:cs="Times New Roman"/>
          <w:sz w:val="20"/>
          <w:szCs w:val="20"/>
        </w:rPr>
        <w:t>8</w:t>
      </w:r>
      <w:r w:rsidRPr="00F30CAB">
        <w:rPr>
          <w:rFonts w:ascii="Times New Roman" w:hAnsi="Times New Roman" w:cs="Times New Roman"/>
          <w:sz w:val="20"/>
          <w:szCs w:val="20"/>
        </w:rPr>
        <w:t xml:space="preserve"> diagrama</w:t>
      </w:r>
    </w:p>
    <w:p w:rsidR="00B21327" w:rsidRDefault="00B21327" w:rsidP="00B21327">
      <w:pPr>
        <w:tabs>
          <w:tab w:val="left" w:pos="4005"/>
        </w:tabs>
        <w:spacing w:after="0" w:line="360" w:lineRule="auto"/>
        <w:jc w:val="both"/>
        <w:rPr>
          <w:rFonts w:ascii="Times New Roman" w:hAnsi="Times New Roman" w:cs="Times New Roman"/>
          <w:sz w:val="24"/>
          <w:szCs w:val="24"/>
        </w:rPr>
      </w:pPr>
      <w:r>
        <w:rPr>
          <w:noProof/>
          <w:lang w:eastAsia="lt-LT"/>
        </w:rPr>
        <w:drawing>
          <wp:inline distT="0" distB="0" distL="0" distR="0">
            <wp:extent cx="6120130" cy="4038600"/>
            <wp:effectExtent l="0" t="0" r="13970" b="0"/>
            <wp:docPr id="39"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21327" w:rsidRDefault="00B21327" w:rsidP="00B21327">
      <w:pPr>
        <w:tabs>
          <w:tab w:val="left" w:pos="4005"/>
        </w:tabs>
        <w:spacing w:after="0" w:line="360" w:lineRule="auto"/>
        <w:ind w:firstLine="1276"/>
        <w:jc w:val="right"/>
        <w:rPr>
          <w:rFonts w:ascii="Times New Roman" w:hAnsi="Times New Roman" w:cs="Times New Roman"/>
          <w:sz w:val="20"/>
          <w:szCs w:val="20"/>
        </w:rPr>
      </w:pPr>
    </w:p>
    <w:p w:rsidR="00B21327" w:rsidRDefault="000153B8" w:rsidP="00B21327">
      <w:pPr>
        <w:tabs>
          <w:tab w:val="left" w:pos="4005"/>
        </w:tabs>
        <w:spacing w:after="0" w:line="360" w:lineRule="auto"/>
        <w:ind w:firstLine="1276"/>
        <w:jc w:val="right"/>
        <w:rPr>
          <w:rFonts w:ascii="Times New Roman" w:hAnsi="Times New Roman" w:cs="Times New Roman"/>
          <w:sz w:val="24"/>
          <w:szCs w:val="24"/>
        </w:rPr>
      </w:pPr>
      <w:r>
        <w:rPr>
          <w:rFonts w:ascii="Times New Roman" w:hAnsi="Times New Roman" w:cs="Times New Roman"/>
          <w:sz w:val="20"/>
          <w:szCs w:val="20"/>
        </w:rPr>
        <w:lastRenderedPageBreak/>
        <w:t>19</w:t>
      </w:r>
      <w:r w:rsidR="00B21327" w:rsidRPr="00F30CAB">
        <w:rPr>
          <w:rFonts w:ascii="Times New Roman" w:hAnsi="Times New Roman" w:cs="Times New Roman"/>
          <w:sz w:val="20"/>
          <w:szCs w:val="20"/>
        </w:rPr>
        <w:t xml:space="preserve"> diagrama</w:t>
      </w:r>
    </w:p>
    <w:p w:rsidR="00B21327" w:rsidRDefault="00B21327" w:rsidP="00B21327">
      <w:pPr>
        <w:tabs>
          <w:tab w:val="left" w:pos="4005"/>
        </w:tabs>
        <w:spacing w:after="0" w:line="360" w:lineRule="auto"/>
        <w:jc w:val="both"/>
        <w:rPr>
          <w:rFonts w:ascii="Times New Roman" w:hAnsi="Times New Roman" w:cs="Times New Roman"/>
          <w:sz w:val="24"/>
          <w:szCs w:val="24"/>
        </w:rPr>
      </w:pPr>
      <w:r>
        <w:rPr>
          <w:noProof/>
          <w:lang w:eastAsia="lt-LT"/>
        </w:rPr>
        <w:drawing>
          <wp:inline distT="0" distB="0" distL="0" distR="0">
            <wp:extent cx="6120130" cy="4116070"/>
            <wp:effectExtent l="0" t="0" r="0" b="0"/>
            <wp:docPr id="40"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30CAB" w:rsidRDefault="00F30CAB" w:rsidP="00B21327">
      <w:pPr>
        <w:tabs>
          <w:tab w:val="left" w:pos="4005"/>
        </w:tabs>
        <w:spacing w:after="0" w:line="360" w:lineRule="auto"/>
        <w:ind w:firstLine="1276"/>
        <w:jc w:val="both"/>
        <w:rPr>
          <w:rFonts w:ascii="Times New Roman" w:hAnsi="Times New Roman" w:cs="Times New Roman"/>
          <w:sz w:val="24"/>
          <w:szCs w:val="24"/>
        </w:rPr>
      </w:pPr>
    </w:p>
    <w:p w:rsidR="000153B8" w:rsidRDefault="000153B8" w:rsidP="000153B8">
      <w:pPr>
        <w:tabs>
          <w:tab w:val="left" w:pos="4005"/>
        </w:tabs>
        <w:spacing w:after="0" w:line="240" w:lineRule="auto"/>
        <w:ind w:firstLine="1276"/>
        <w:jc w:val="right"/>
        <w:rPr>
          <w:rFonts w:ascii="Times New Roman" w:hAnsi="Times New Roman" w:cs="Times New Roman"/>
          <w:sz w:val="20"/>
          <w:szCs w:val="20"/>
        </w:rPr>
      </w:pPr>
      <w:r w:rsidRPr="000153B8">
        <w:rPr>
          <w:rFonts w:ascii="Times New Roman" w:hAnsi="Times New Roman" w:cs="Times New Roman"/>
          <w:sz w:val="20"/>
          <w:szCs w:val="20"/>
        </w:rPr>
        <w:t>20 diagrama</w:t>
      </w:r>
    </w:p>
    <w:p w:rsidR="00277D4C" w:rsidRPr="000153B8" w:rsidRDefault="00733788" w:rsidP="00277D4C">
      <w:pPr>
        <w:tabs>
          <w:tab w:val="left" w:pos="4005"/>
        </w:tabs>
        <w:spacing w:after="0" w:line="240" w:lineRule="auto"/>
        <w:rPr>
          <w:rFonts w:ascii="Times New Roman" w:hAnsi="Times New Roman" w:cs="Times New Roman"/>
          <w:sz w:val="20"/>
          <w:szCs w:val="20"/>
        </w:rPr>
      </w:pPr>
      <w:r>
        <w:rPr>
          <w:noProof/>
          <w:lang w:eastAsia="lt-LT"/>
        </w:rPr>
        <w:drawing>
          <wp:inline distT="0" distB="0" distL="0" distR="0">
            <wp:extent cx="6120130" cy="37338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30CAB" w:rsidRPr="00F30CAB" w:rsidRDefault="00F30CAB" w:rsidP="000153B8">
      <w:pPr>
        <w:tabs>
          <w:tab w:val="left" w:pos="4005"/>
        </w:tabs>
        <w:spacing w:line="360" w:lineRule="auto"/>
        <w:rPr>
          <w:rFonts w:ascii="Times New Roman" w:hAnsi="Times New Roman" w:cs="Times New Roman"/>
          <w:sz w:val="20"/>
          <w:szCs w:val="20"/>
        </w:rPr>
      </w:pPr>
    </w:p>
    <w:p w:rsidR="00B21327" w:rsidRDefault="000153B8" w:rsidP="00F30CAB">
      <w:pPr>
        <w:tabs>
          <w:tab w:val="left" w:pos="4005"/>
        </w:tabs>
        <w:spacing w:after="0" w:line="360" w:lineRule="auto"/>
        <w:ind w:firstLine="1276"/>
        <w:jc w:val="both"/>
        <w:rPr>
          <w:rFonts w:ascii="Times New Roman" w:hAnsi="Times New Roman" w:cs="Times New Roman"/>
          <w:sz w:val="24"/>
          <w:szCs w:val="24"/>
        </w:rPr>
      </w:pPr>
      <w:r w:rsidRPr="00F30CAB">
        <w:rPr>
          <w:rFonts w:ascii="Times New Roman" w:hAnsi="Times New Roman" w:cs="Times New Roman"/>
          <w:sz w:val="24"/>
          <w:szCs w:val="24"/>
        </w:rPr>
        <w:lastRenderedPageBreak/>
        <w:t>Daugiausiai paslaugų suteikta radiologo, reabilitologo, oftalmologo, neurologo, otorinolaringologo</w:t>
      </w:r>
      <w:r w:rsidR="00277D4C">
        <w:rPr>
          <w:rFonts w:ascii="Times New Roman" w:hAnsi="Times New Roman" w:cs="Times New Roman"/>
          <w:sz w:val="24"/>
          <w:szCs w:val="24"/>
        </w:rPr>
        <w:t>, echoskopuotojo, chirurgo, endoskopuotojo, kardiologo, dermatovenerologo, akušerio – ginekologo</w:t>
      </w:r>
      <w:r w:rsidRPr="00F30CAB">
        <w:rPr>
          <w:rFonts w:ascii="Times New Roman" w:hAnsi="Times New Roman" w:cs="Times New Roman"/>
          <w:sz w:val="24"/>
          <w:szCs w:val="24"/>
        </w:rPr>
        <w:t>. Kitų specialistų paslaugų suteikta žymiai mažiau.</w:t>
      </w:r>
      <w:r w:rsidR="001A52D5">
        <w:rPr>
          <w:rFonts w:ascii="Times New Roman" w:hAnsi="Times New Roman" w:cs="Times New Roman"/>
          <w:sz w:val="24"/>
          <w:szCs w:val="24"/>
        </w:rPr>
        <w:t xml:space="preserve"> </w:t>
      </w:r>
      <w:r w:rsidR="007B66A8">
        <w:rPr>
          <w:rFonts w:ascii="Times New Roman" w:hAnsi="Times New Roman" w:cs="Times New Roman"/>
          <w:sz w:val="24"/>
          <w:szCs w:val="24"/>
        </w:rPr>
        <w:t>2015 metais padidėjo rentgenologinių tyrimų ir konsultacijų skaičius, nors prieš tai kelis metus rentgenologiniai tyrimai ir konsultacijos mažėjo</w:t>
      </w:r>
      <w:r w:rsidR="00B21327">
        <w:rPr>
          <w:rFonts w:ascii="Times New Roman" w:hAnsi="Times New Roman" w:cs="Times New Roman"/>
          <w:sz w:val="24"/>
          <w:szCs w:val="24"/>
        </w:rPr>
        <w:t xml:space="preserve">. </w:t>
      </w:r>
    </w:p>
    <w:p w:rsidR="00B21327" w:rsidRDefault="00B21327" w:rsidP="00B21327">
      <w:pPr>
        <w:tabs>
          <w:tab w:val="left" w:pos="4005"/>
        </w:tabs>
        <w:spacing w:after="0" w:line="360" w:lineRule="auto"/>
        <w:ind w:firstLine="1276"/>
        <w:jc w:val="right"/>
        <w:rPr>
          <w:rFonts w:ascii="Times New Roman" w:hAnsi="Times New Roman" w:cs="Times New Roman"/>
          <w:sz w:val="20"/>
          <w:szCs w:val="20"/>
        </w:rPr>
      </w:pPr>
      <w:r>
        <w:rPr>
          <w:rFonts w:ascii="Times New Roman" w:hAnsi="Times New Roman" w:cs="Times New Roman"/>
          <w:sz w:val="20"/>
          <w:szCs w:val="20"/>
        </w:rPr>
        <w:t>21</w:t>
      </w:r>
      <w:r w:rsidRPr="00F30CAB">
        <w:rPr>
          <w:rFonts w:ascii="Times New Roman" w:hAnsi="Times New Roman" w:cs="Times New Roman"/>
          <w:sz w:val="20"/>
          <w:szCs w:val="20"/>
        </w:rPr>
        <w:t xml:space="preserve"> diagrama</w:t>
      </w:r>
    </w:p>
    <w:p w:rsidR="009A10C1" w:rsidRDefault="009A10C1" w:rsidP="009A10C1">
      <w:pPr>
        <w:tabs>
          <w:tab w:val="left" w:pos="4005"/>
        </w:tabs>
        <w:spacing w:after="0" w:line="360" w:lineRule="auto"/>
        <w:jc w:val="right"/>
        <w:rPr>
          <w:rFonts w:ascii="Times New Roman" w:hAnsi="Times New Roman" w:cs="Times New Roman"/>
          <w:sz w:val="24"/>
          <w:szCs w:val="24"/>
        </w:rPr>
      </w:pPr>
      <w:r w:rsidRPr="009A10C1">
        <w:rPr>
          <w:rFonts w:ascii="Times New Roman" w:hAnsi="Times New Roman" w:cs="Times New Roman"/>
          <w:noProof/>
          <w:sz w:val="24"/>
          <w:szCs w:val="24"/>
          <w:lang w:eastAsia="lt-LT"/>
        </w:rPr>
        <w:drawing>
          <wp:inline distT="0" distB="0" distL="0" distR="0">
            <wp:extent cx="6120130" cy="3365500"/>
            <wp:effectExtent l="0" t="0" r="13970" b="63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21327" w:rsidRDefault="00B21327" w:rsidP="00F30CAB">
      <w:pPr>
        <w:tabs>
          <w:tab w:val="left" w:pos="4005"/>
        </w:tabs>
        <w:spacing w:after="0" w:line="360" w:lineRule="auto"/>
        <w:ind w:firstLine="1276"/>
        <w:jc w:val="both"/>
        <w:rPr>
          <w:rFonts w:ascii="Times New Roman" w:hAnsi="Times New Roman" w:cs="Times New Roman"/>
          <w:sz w:val="24"/>
          <w:szCs w:val="24"/>
        </w:rPr>
      </w:pPr>
    </w:p>
    <w:p w:rsidR="00F30CAB" w:rsidRDefault="007B66A8" w:rsidP="00F30CAB">
      <w:pPr>
        <w:tabs>
          <w:tab w:val="left" w:pos="4005"/>
        </w:tabs>
        <w:spacing w:after="0" w:line="360" w:lineRule="auto"/>
        <w:ind w:firstLine="1276"/>
        <w:jc w:val="both"/>
        <w:rPr>
          <w:rFonts w:ascii="Times New Roman" w:hAnsi="Times New Roman" w:cs="Times New Roman"/>
          <w:sz w:val="24"/>
          <w:szCs w:val="24"/>
        </w:rPr>
      </w:pPr>
      <w:r>
        <w:rPr>
          <w:rFonts w:ascii="Times New Roman" w:hAnsi="Times New Roman" w:cs="Times New Roman"/>
          <w:sz w:val="24"/>
          <w:szCs w:val="24"/>
        </w:rPr>
        <w:t>Ambulatorinės chirurgijos paslaugos viršytos 458 Eur. Per 2015 metus suteikta 104 ambulatorinės chirurgijos paslaugos. 2015 metais toliau teiktos</w:t>
      </w:r>
      <w:r w:rsidR="00544D1B">
        <w:rPr>
          <w:rFonts w:ascii="Times New Roman" w:hAnsi="Times New Roman" w:cs="Times New Roman"/>
          <w:sz w:val="24"/>
          <w:szCs w:val="24"/>
        </w:rPr>
        <w:t xml:space="preserve"> prevencinės Storosios žarnos vė</w:t>
      </w:r>
      <w:r>
        <w:rPr>
          <w:rFonts w:ascii="Times New Roman" w:hAnsi="Times New Roman" w:cs="Times New Roman"/>
          <w:sz w:val="24"/>
          <w:szCs w:val="24"/>
        </w:rPr>
        <w:t xml:space="preserve">žio ankstyvosios diagnostikos </w:t>
      </w:r>
      <w:r w:rsidRPr="00F30CAB">
        <w:rPr>
          <w:rFonts w:ascii="Times New Roman" w:hAnsi="Times New Roman" w:cs="Times New Roman"/>
          <w:sz w:val="24"/>
          <w:szCs w:val="24"/>
        </w:rPr>
        <w:t>asmenims nuo 50 iki 74 metų amžiaus programa</w:t>
      </w:r>
      <w:r>
        <w:rPr>
          <w:rFonts w:ascii="Times New Roman" w:hAnsi="Times New Roman" w:cs="Times New Roman"/>
          <w:sz w:val="24"/>
          <w:szCs w:val="24"/>
        </w:rPr>
        <w:t xml:space="preserve">. Per 2015 metus pagal programą atlikta 40 kolonoskopijų, o </w:t>
      </w:r>
      <w:r w:rsidR="00536654">
        <w:rPr>
          <w:rFonts w:ascii="Times New Roman" w:hAnsi="Times New Roman" w:cs="Times New Roman"/>
          <w:sz w:val="24"/>
          <w:szCs w:val="24"/>
        </w:rPr>
        <w:t>iš viso atlikta 95 kolonoskopijos</w:t>
      </w:r>
      <w:r>
        <w:rPr>
          <w:rFonts w:ascii="Times New Roman" w:hAnsi="Times New Roman" w:cs="Times New Roman"/>
          <w:sz w:val="24"/>
          <w:szCs w:val="24"/>
        </w:rPr>
        <w:t>. Esame pajėgūs žymiai padidinti šių paslaugų skaičių, jeigu būtų pirminės grandies siunčiama daugiau pacientų.</w:t>
      </w:r>
    </w:p>
    <w:p w:rsidR="007B66A8" w:rsidRPr="00F30CAB" w:rsidRDefault="007B66A8" w:rsidP="00F30CAB">
      <w:pPr>
        <w:tabs>
          <w:tab w:val="left" w:pos="4005"/>
        </w:tabs>
        <w:spacing w:after="0" w:line="360" w:lineRule="auto"/>
        <w:ind w:firstLine="1276"/>
        <w:jc w:val="both"/>
        <w:rPr>
          <w:rFonts w:ascii="Times New Roman" w:hAnsi="Times New Roman" w:cs="Times New Roman"/>
          <w:sz w:val="24"/>
          <w:szCs w:val="24"/>
        </w:rPr>
      </w:pPr>
      <w:r>
        <w:rPr>
          <w:rFonts w:ascii="Times New Roman" w:hAnsi="Times New Roman" w:cs="Times New Roman"/>
          <w:sz w:val="24"/>
          <w:szCs w:val="24"/>
        </w:rPr>
        <w:t>Per 2015 metus dar daugiau atlikome Dienos stacionaro (terapijos) paslaugų. Dienos stacionaro paslaugos, lyginant su 2014 metais, padidėjo 514 atvejų. Tai leido sumažinti ligonių hospitalizacją.</w:t>
      </w:r>
    </w:p>
    <w:p w:rsidR="00F30CAB" w:rsidRPr="00F30CAB" w:rsidRDefault="00F30CAB" w:rsidP="00F30CAB">
      <w:pPr>
        <w:tabs>
          <w:tab w:val="left" w:pos="4005"/>
        </w:tabs>
        <w:spacing w:after="0" w:line="360" w:lineRule="auto"/>
        <w:ind w:firstLine="1276"/>
        <w:jc w:val="right"/>
        <w:rPr>
          <w:rFonts w:ascii="Times New Roman" w:hAnsi="Times New Roman" w:cs="Times New Roman"/>
          <w:sz w:val="20"/>
          <w:szCs w:val="20"/>
        </w:rPr>
      </w:pPr>
    </w:p>
    <w:p w:rsidR="001A52D5" w:rsidRDefault="001A52D5" w:rsidP="00F30CAB">
      <w:pPr>
        <w:tabs>
          <w:tab w:val="left" w:pos="4005"/>
        </w:tabs>
        <w:spacing w:after="0" w:line="360" w:lineRule="auto"/>
        <w:ind w:firstLine="1276"/>
        <w:jc w:val="right"/>
        <w:rPr>
          <w:rFonts w:ascii="Times New Roman" w:hAnsi="Times New Roman" w:cs="Times New Roman"/>
          <w:sz w:val="20"/>
          <w:szCs w:val="20"/>
        </w:rPr>
      </w:pPr>
    </w:p>
    <w:p w:rsidR="00544D1B" w:rsidRDefault="00544D1B" w:rsidP="00093DE9">
      <w:pPr>
        <w:tabs>
          <w:tab w:val="left" w:pos="4005"/>
        </w:tabs>
        <w:spacing w:after="0" w:line="360" w:lineRule="auto"/>
        <w:ind w:firstLine="1276"/>
        <w:jc w:val="right"/>
        <w:rPr>
          <w:rFonts w:ascii="Times New Roman" w:hAnsi="Times New Roman" w:cs="Times New Roman"/>
          <w:sz w:val="20"/>
          <w:szCs w:val="20"/>
        </w:rPr>
      </w:pPr>
    </w:p>
    <w:p w:rsidR="00544D1B" w:rsidRDefault="00544D1B" w:rsidP="00093DE9">
      <w:pPr>
        <w:tabs>
          <w:tab w:val="left" w:pos="4005"/>
        </w:tabs>
        <w:spacing w:after="0" w:line="360" w:lineRule="auto"/>
        <w:ind w:firstLine="1276"/>
        <w:jc w:val="right"/>
        <w:rPr>
          <w:rFonts w:ascii="Times New Roman" w:hAnsi="Times New Roman" w:cs="Times New Roman"/>
          <w:sz w:val="20"/>
          <w:szCs w:val="20"/>
        </w:rPr>
      </w:pPr>
    </w:p>
    <w:p w:rsidR="00544D1B" w:rsidRDefault="00544D1B" w:rsidP="00093DE9">
      <w:pPr>
        <w:tabs>
          <w:tab w:val="left" w:pos="4005"/>
        </w:tabs>
        <w:spacing w:after="0" w:line="360" w:lineRule="auto"/>
        <w:ind w:firstLine="1276"/>
        <w:jc w:val="right"/>
        <w:rPr>
          <w:rFonts w:ascii="Times New Roman" w:hAnsi="Times New Roman" w:cs="Times New Roman"/>
          <w:sz w:val="20"/>
          <w:szCs w:val="20"/>
        </w:rPr>
      </w:pPr>
    </w:p>
    <w:p w:rsidR="00544D1B" w:rsidRDefault="00544D1B" w:rsidP="00093DE9">
      <w:pPr>
        <w:tabs>
          <w:tab w:val="left" w:pos="4005"/>
        </w:tabs>
        <w:spacing w:after="0" w:line="360" w:lineRule="auto"/>
        <w:ind w:firstLine="1276"/>
        <w:jc w:val="right"/>
        <w:rPr>
          <w:rFonts w:ascii="Times New Roman" w:hAnsi="Times New Roman" w:cs="Times New Roman"/>
          <w:sz w:val="20"/>
          <w:szCs w:val="20"/>
        </w:rPr>
      </w:pPr>
    </w:p>
    <w:p w:rsidR="00544D1B" w:rsidRDefault="00544D1B" w:rsidP="00093DE9">
      <w:pPr>
        <w:tabs>
          <w:tab w:val="left" w:pos="4005"/>
        </w:tabs>
        <w:spacing w:after="0" w:line="360" w:lineRule="auto"/>
        <w:ind w:firstLine="1276"/>
        <w:jc w:val="right"/>
        <w:rPr>
          <w:rFonts w:ascii="Times New Roman" w:hAnsi="Times New Roman" w:cs="Times New Roman"/>
          <w:sz w:val="20"/>
          <w:szCs w:val="20"/>
        </w:rPr>
      </w:pPr>
    </w:p>
    <w:p w:rsidR="00544D1B" w:rsidRDefault="00544D1B" w:rsidP="00093DE9">
      <w:pPr>
        <w:tabs>
          <w:tab w:val="left" w:pos="4005"/>
        </w:tabs>
        <w:spacing w:after="0" w:line="360" w:lineRule="auto"/>
        <w:ind w:firstLine="1276"/>
        <w:jc w:val="right"/>
        <w:rPr>
          <w:rFonts w:ascii="Times New Roman" w:hAnsi="Times New Roman" w:cs="Times New Roman"/>
          <w:sz w:val="20"/>
          <w:szCs w:val="20"/>
        </w:rPr>
      </w:pPr>
    </w:p>
    <w:p w:rsidR="00F30CAB" w:rsidRDefault="00B21327" w:rsidP="00093DE9">
      <w:pPr>
        <w:tabs>
          <w:tab w:val="left" w:pos="4005"/>
        </w:tabs>
        <w:spacing w:after="0" w:line="360" w:lineRule="auto"/>
        <w:ind w:firstLine="1276"/>
        <w:jc w:val="right"/>
        <w:rPr>
          <w:rFonts w:ascii="Times New Roman" w:hAnsi="Times New Roman" w:cs="Times New Roman"/>
          <w:sz w:val="20"/>
          <w:szCs w:val="20"/>
        </w:rPr>
      </w:pPr>
      <w:r>
        <w:rPr>
          <w:rFonts w:ascii="Times New Roman" w:hAnsi="Times New Roman" w:cs="Times New Roman"/>
          <w:sz w:val="20"/>
          <w:szCs w:val="20"/>
        </w:rPr>
        <w:lastRenderedPageBreak/>
        <w:t>22</w:t>
      </w:r>
      <w:r w:rsidR="00F30CAB" w:rsidRPr="00F30CAB">
        <w:rPr>
          <w:rFonts w:ascii="Times New Roman" w:hAnsi="Times New Roman" w:cs="Times New Roman"/>
          <w:sz w:val="20"/>
          <w:szCs w:val="20"/>
        </w:rPr>
        <w:t xml:space="preserve"> diagrama</w:t>
      </w:r>
    </w:p>
    <w:p w:rsidR="00026BB5" w:rsidRPr="0065348A" w:rsidRDefault="00093DE9" w:rsidP="0065348A">
      <w:pPr>
        <w:tabs>
          <w:tab w:val="left" w:pos="4005"/>
        </w:tabs>
        <w:spacing w:after="0" w:line="360" w:lineRule="auto"/>
        <w:rPr>
          <w:rFonts w:ascii="Times New Roman" w:hAnsi="Times New Roman" w:cs="Times New Roman"/>
          <w:sz w:val="20"/>
          <w:szCs w:val="20"/>
        </w:rPr>
      </w:pPr>
      <w:r>
        <w:rPr>
          <w:noProof/>
          <w:lang w:eastAsia="lt-LT"/>
        </w:rPr>
        <w:drawing>
          <wp:inline distT="0" distB="0" distL="0" distR="0">
            <wp:extent cx="6067425" cy="2743200"/>
            <wp:effectExtent l="0" t="0" r="9525"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44D1B" w:rsidRDefault="00544D1B" w:rsidP="00B21327">
      <w:pPr>
        <w:tabs>
          <w:tab w:val="left" w:pos="4005"/>
        </w:tabs>
        <w:spacing w:after="0" w:line="360" w:lineRule="auto"/>
        <w:ind w:firstLine="1276"/>
        <w:jc w:val="center"/>
        <w:rPr>
          <w:rFonts w:ascii="Times New Roman" w:hAnsi="Times New Roman" w:cs="Times New Roman"/>
          <w:b/>
          <w:sz w:val="24"/>
          <w:szCs w:val="24"/>
        </w:rPr>
      </w:pPr>
    </w:p>
    <w:p w:rsidR="00B21327" w:rsidRPr="00B21327" w:rsidRDefault="00B21327" w:rsidP="00B21327">
      <w:pPr>
        <w:tabs>
          <w:tab w:val="left" w:pos="4005"/>
        </w:tabs>
        <w:spacing w:after="0" w:line="360" w:lineRule="auto"/>
        <w:ind w:firstLine="1276"/>
        <w:jc w:val="center"/>
        <w:rPr>
          <w:rFonts w:ascii="Times New Roman" w:hAnsi="Times New Roman" w:cs="Times New Roman"/>
          <w:b/>
          <w:sz w:val="24"/>
          <w:szCs w:val="24"/>
        </w:rPr>
      </w:pPr>
      <w:r w:rsidRPr="00B21327">
        <w:rPr>
          <w:rFonts w:ascii="Times New Roman" w:hAnsi="Times New Roman" w:cs="Times New Roman"/>
          <w:b/>
          <w:sz w:val="24"/>
          <w:szCs w:val="24"/>
        </w:rPr>
        <w:t>FIZINĖS MEDICINOS IR REABILITACIJOS SKYRIAUS ATASKAITA</w:t>
      </w:r>
    </w:p>
    <w:p w:rsidR="00766677" w:rsidRDefault="00B21327" w:rsidP="00B21327">
      <w:pPr>
        <w:tabs>
          <w:tab w:val="left" w:pos="993"/>
        </w:tabs>
        <w:spacing w:after="0" w:line="360" w:lineRule="auto"/>
        <w:jc w:val="both"/>
        <w:rPr>
          <w:rFonts w:ascii="Times New Roman" w:hAnsi="Times New Roman" w:cs="Times New Roman"/>
          <w:sz w:val="24"/>
          <w:szCs w:val="24"/>
        </w:rPr>
      </w:pPr>
      <w:r>
        <w:rPr>
          <w:rFonts w:ascii="Times New Roman" w:hAnsi="Times New Roman" w:cs="Times New Roman"/>
          <w:caps/>
          <w:sz w:val="24"/>
          <w:szCs w:val="24"/>
        </w:rPr>
        <w:tab/>
      </w:r>
      <w:r w:rsidR="0065348A">
        <w:rPr>
          <w:rFonts w:ascii="Times New Roman" w:hAnsi="Times New Roman" w:cs="Times New Roman"/>
          <w:sz w:val="24"/>
          <w:szCs w:val="24"/>
        </w:rPr>
        <w:t>Per 2015 metus fi</w:t>
      </w:r>
      <w:r w:rsidRPr="00085498">
        <w:rPr>
          <w:rFonts w:ascii="Times New Roman" w:hAnsi="Times New Roman" w:cs="Times New Roman"/>
          <w:sz w:val="24"/>
          <w:szCs w:val="24"/>
        </w:rPr>
        <w:t xml:space="preserve">zinės medicinos ir reabilitacijos skyriuje atlikta </w:t>
      </w:r>
      <w:r w:rsidR="0065348A">
        <w:rPr>
          <w:rFonts w:ascii="Times New Roman" w:hAnsi="Times New Roman" w:cs="Times New Roman"/>
          <w:sz w:val="24"/>
          <w:szCs w:val="24"/>
        </w:rPr>
        <w:t>3908 konsultacijos</w:t>
      </w:r>
      <w:r w:rsidRPr="00085498">
        <w:rPr>
          <w:rFonts w:ascii="Times New Roman" w:hAnsi="Times New Roman" w:cs="Times New Roman"/>
          <w:sz w:val="24"/>
          <w:szCs w:val="24"/>
        </w:rPr>
        <w:t>. Iš minėtų konsultaci</w:t>
      </w:r>
      <w:r w:rsidR="0065348A">
        <w:rPr>
          <w:rFonts w:ascii="Times New Roman" w:hAnsi="Times New Roman" w:cs="Times New Roman"/>
          <w:sz w:val="24"/>
          <w:szCs w:val="24"/>
        </w:rPr>
        <w:t>jų su siuntimu iš PSPC sudarė 31</w:t>
      </w:r>
      <w:r w:rsidRPr="00085498">
        <w:rPr>
          <w:rFonts w:ascii="Times New Roman" w:hAnsi="Times New Roman" w:cs="Times New Roman"/>
          <w:sz w:val="24"/>
          <w:szCs w:val="24"/>
          <w:lang w:val="en-US"/>
        </w:rPr>
        <w:t>%</w:t>
      </w:r>
      <w:r>
        <w:rPr>
          <w:rFonts w:ascii="Times New Roman" w:hAnsi="Times New Roman" w:cs="Times New Roman"/>
          <w:sz w:val="24"/>
          <w:szCs w:val="24"/>
          <w:lang w:val="en-US"/>
        </w:rPr>
        <w:t>.</w:t>
      </w:r>
      <w:r w:rsidR="0065348A">
        <w:rPr>
          <w:rFonts w:ascii="Times New Roman" w:hAnsi="Times New Roman" w:cs="Times New Roman"/>
          <w:sz w:val="24"/>
          <w:szCs w:val="24"/>
          <w:lang w:val="en-US"/>
        </w:rPr>
        <w:t xml:space="preserve"> Atliktų konsultacijų </w:t>
      </w:r>
      <w:r w:rsidR="0065348A">
        <w:rPr>
          <w:rFonts w:ascii="Times New Roman" w:hAnsi="Times New Roman" w:cs="Times New Roman"/>
          <w:sz w:val="24"/>
          <w:szCs w:val="24"/>
        </w:rPr>
        <w:t>skaičius sumažėjo dėl sumažėjusio FMR gydytojo darbo krūvio</w:t>
      </w:r>
      <w:r w:rsidR="00733788">
        <w:rPr>
          <w:rFonts w:ascii="Times New Roman" w:hAnsi="Times New Roman" w:cs="Times New Roman"/>
          <w:sz w:val="24"/>
          <w:szCs w:val="24"/>
        </w:rPr>
        <w:t xml:space="preserve"> ir dėl mažėjančių rajone gyventojų skaičiaus. Padidėjo kineziterapijos ir ergoterapijos procedūrų skaičius, o masažo procedūrų skaičius sumažėjo dėl pasikeitusio požiūrio į reabilitaciją, bei sumažėjus masažuotojų darbo krūviui. Daugiausiai procedūrų atlikta (83%) abulatoriniams pacientams. Taip pat padaugėjo slaugos skyriuje atliktų procedūrų skaičius.</w:t>
      </w:r>
    </w:p>
    <w:p w:rsidR="00544D1B" w:rsidRDefault="00544D1B" w:rsidP="00B21327">
      <w:pPr>
        <w:tabs>
          <w:tab w:val="left" w:pos="993"/>
        </w:tabs>
        <w:spacing w:after="0" w:line="360" w:lineRule="auto"/>
        <w:jc w:val="both"/>
        <w:rPr>
          <w:rFonts w:ascii="Times New Roman" w:hAnsi="Times New Roman" w:cs="Times New Roman"/>
          <w:sz w:val="24"/>
          <w:szCs w:val="24"/>
        </w:rPr>
      </w:pPr>
    </w:p>
    <w:p w:rsidR="00544D1B" w:rsidRDefault="00544D1B" w:rsidP="00B21327">
      <w:pPr>
        <w:tabs>
          <w:tab w:val="left" w:pos="993"/>
        </w:tabs>
        <w:spacing w:after="0" w:line="360" w:lineRule="auto"/>
        <w:jc w:val="both"/>
        <w:rPr>
          <w:rFonts w:ascii="Times New Roman" w:hAnsi="Times New Roman" w:cs="Times New Roman"/>
          <w:sz w:val="24"/>
          <w:szCs w:val="24"/>
        </w:rPr>
      </w:pPr>
    </w:p>
    <w:p w:rsidR="00544D1B" w:rsidRDefault="00544D1B" w:rsidP="00B21327">
      <w:pPr>
        <w:tabs>
          <w:tab w:val="left" w:pos="993"/>
        </w:tabs>
        <w:spacing w:after="0" w:line="360" w:lineRule="auto"/>
        <w:jc w:val="both"/>
        <w:rPr>
          <w:rFonts w:ascii="Times New Roman" w:hAnsi="Times New Roman" w:cs="Times New Roman"/>
          <w:sz w:val="24"/>
          <w:szCs w:val="24"/>
        </w:rPr>
      </w:pPr>
    </w:p>
    <w:p w:rsidR="00544D1B" w:rsidRDefault="00544D1B" w:rsidP="00B21327">
      <w:pPr>
        <w:tabs>
          <w:tab w:val="left" w:pos="993"/>
        </w:tabs>
        <w:spacing w:after="0" w:line="360" w:lineRule="auto"/>
        <w:jc w:val="both"/>
        <w:rPr>
          <w:rFonts w:ascii="Times New Roman" w:hAnsi="Times New Roman" w:cs="Times New Roman"/>
          <w:sz w:val="24"/>
          <w:szCs w:val="24"/>
        </w:rPr>
      </w:pPr>
    </w:p>
    <w:p w:rsidR="00544D1B" w:rsidRDefault="00544D1B" w:rsidP="00B21327">
      <w:pPr>
        <w:tabs>
          <w:tab w:val="left" w:pos="993"/>
        </w:tabs>
        <w:spacing w:after="0" w:line="360" w:lineRule="auto"/>
        <w:jc w:val="both"/>
        <w:rPr>
          <w:rFonts w:ascii="Times New Roman" w:hAnsi="Times New Roman" w:cs="Times New Roman"/>
          <w:sz w:val="24"/>
          <w:szCs w:val="24"/>
        </w:rPr>
      </w:pPr>
    </w:p>
    <w:p w:rsidR="00544D1B" w:rsidRDefault="00544D1B" w:rsidP="00B21327">
      <w:pPr>
        <w:tabs>
          <w:tab w:val="left" w:pos="993"/>
        </w:tabs>
        <w:spacing w:after="0" w:line="360" w:lineRule="auto"/>
        <w:jc w:val="both"/>
        <w:rPr>
          <w:rFonts w:ascii="Times New Roman" w:hAnsi="Times New Roman" w:cs="Times New Roman"/>
          <w:sz w:val="24"/>
          <w:szCs w:val="24"/>
        </w:rPr>
      </w:pPr>
    </w:p>
    <w:p w:rsidR="00544D1B" w:rsidRDefault="00544D1B" w:rsidP="00B21327">
      <w:pPr>
        <w:tabs>
          <w:tab w:val="left" w:pos="993"/>
        </w:tabs>
        <w:spacing w:after="0" w:line="360" w:lineRule="auto"/>
        <w:jc w:val="both"/>
        <w:rPr>
          <w:rFonts w:ascii="Times New Roman" w:hAnsi="Times New Roman" w:cs="Times New Roman"/>
          <w:sz w:val="24"/>
          <w:szCs w:val="24"/>
        </w:rPr>
      </w:pPr>
    </w:p>
    <w:p w:rsidR="00544D1B" w:rsidRDefault="00544D1B" w:rsidP="00B21327">
      <w:pPr>
        <w:tabs>
          <w:tab w:val="left" w:pos="993"/>
        </w:tabs>
        <w:spacing w:after="0" w:line="360" w:lineRule="auto"/>
        <w:jc w:val="both"/>
        <w:rPr>
          <w:rFonts w:ascii="Times New Roman" w:hAnsi="Times New Roman" w:cs="Times New Roman"/>
          <w:sz w:val="24"/>
          <w:szCs w:val="24"/>
        </w:rPr>
      </w:pPr>
    </w:p>
    <w:p w:rsidR="00544D1B" w:rsidRDefault="00544D1B" w:rsidP="00B21327">
      <w:pPr>
        <w:tabs>
          <w:tab w:val="left" w:pos="993"/>
        </w:tabs>
        <w:spacing w:after="0" w:line="360" w:lineRule="auto"/>
        <w:jc w:val="both"/>
        <w:rPr>
          <w:rFonts w:ascii="Times New Roman" w:hAnsi="Times New Roman" w:cs="Times New Roman"/>
          <w:sz w:val="24"/>
          <w:szCs w:val="24"/>
        </w:rPr>
      </w:pPr>
    </w:p>
    <w:p w:rsidR="00544D1B" w:rsidRDefault="00544D1B" w:rsidP="00B21327">
      <w:pPr>
        <w:tabs>
          <w:tab w:val="left" w:pos="993"/>
        </w:tabs>
        <w:spacing w:after="0" w:line="360" w:lineRule="auto"/>
        <w:jc w:val="both"/>
        <w:rPr>
          <w:rFonts w:ascii="Times New Roman" w:hAnsi="Times New Roman" w:cs="Times New Roman"/>
          <w:sz w:val="24"/>
          <w:szCs w:val="24"/>
        </w:rPr>
      </w:pPr>
    </w:p>
    <w:p w:rsidR="00544D1B" w:rsidRDefault="00544D1B" w:rsidP="00B21327">
      <w:pPr>
        <w:tabs>
          <w:tab w:val="left" w:pos="993"/>
        </w:tabs>
        <w:spacing w:after="0" w:line="360" w:lineRule="auto"/>
        <w:jc w:val="both"/>
        <w:rPr>
          <w:rFonts w:ascii="Times New Roman" w:hAnsi="Times New Roman" w:cs="Times New Roman"/>
          <w:sz w:val="24"/>
          <w:szCs w:val="24"/>
        </w:rPr>
      </w:pPr>
    </w:p>
    <w:p w:rsidR="00544D1B" w:rsidRDefault="00544D1B" w:rsidP="00B21327">
      <w:pPr>
        <w:tabs>
          <w:tab w:val="left" w:pos="993"/>
        </w:tabs>
        <w:spacing w:after="0" w:line="360" w:lineRule="auto"/>
        <w:jc w:val="both"/>
        <w:rPr>
          <w:rFonts w:ascii="Times New Roman" w:hAnsi="Times New Roman" w:cs="Times New Roman"/>
          <w:sz w:val="24"/>
          <w:szCs w:val="24"/>
        </w:rPr>
      </w:pPr>
    </w:p>
    <w:p w:rsidR="00544D1B" w:rsidRDefault="00544D1B" w:rsidP="00B21327">
      <w:pPr>
        <w:tabs>
          <w:tab w:val="left" w:pos="99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544D1B" w:rsidRPr="0065348A" w:rsidRDefault="00544D1B" w:rsidP="00B21327">
      <w:pPr>
        <w:tabs>
          <w:tab w:val="left" w:pos="993"/>
        </w:tabs>
        <w:spacing w:after="0" w:line="360" w:lineRule="auto"/>
        <w:jc w:val="both"/>
        <w:rPr>
          <w:rFonts w:ascii="Times New Roman" w:hAnsi="Times New Roman" w:cs="Times New Roman"/>
          <w:sz w:val="24"/>
          <w:szCs w:val="24"/>
        </w:rPr>
      </w:pPr>
    </w:p>
    <w:p w:rsidR="00026BB5" w:rsidRPr="00026BB5" w:rsidRDefault="00B21327" w:rsidP="00026BB5">
      <w:pPr>
        <w:tabs>
          <w:tab w:val="left" w:pos="993"/>
        </w:tabs>
        <w:spacing w:after="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001470A6">
        <w:rPr>
          <w:rFonts w:ascii="Times New Roman" w:hAnsi="Times New Roman" w:cs="Times New Roman"/>
          <w:sz w:val="20"/>
          <w:szCs w:val="20"/>
          <w:lang w:val="en-US"/>
        </w:rPr>
        <w:t xml:space="preserve">                               </w:t>
      </w:r>
    </w:p>
    <w:p w:rsidR="00026BB5" w:rsidRPr="00052E4B" w:rsidRDefault="00026BB5" w:rsidP="00026BB5">
      <w:pPr>
        <w:tabs>
          <w:tab w:val="left" w:pos="993"/>
        </w:tabs>
        <w:spacing w:after="0" w:line="360" w:lineRule="auto"/>
        <w:rPr>
          <w:rFonts w:ascii="Times New Roman" w:hAnsi="Times New Roman" w:cs="Times New Roman"/>
          <w:sz w:val="20"/>
          <w:szCs w:val="20"/>
          <w:lang w:val="en-US"/>
        </w:rPr>
        <w:sectPr w:rsidR="00026BB5" w:rsidRPr="00052E4B" w:rsidSect="006912FD">
          <w:footerReference w:type="default" r:id="rId32"/>
          <w:type w:val="continuous"/>
          <w:pgSz w:w="11906" w:h="16838"/>
          <w:pgMar w:top="1134" w:right="567" w:bottom="1134" w:left="1701" w:header="567" w:footer="567" w:gutter="0"/>
          <w:cols w:space="1296"/>
          <w:docGrid w:linePitch="360"/>
        </w:sectPr>
      </w:pPr>
      <w:r>
        <w:rPr>
          <w:rFonts w:ascii="Times New Roman" w:hAnsi="Times New Roman" w:cs="Times New Roman"/>
          <w:sz w:val="20"/>
          <w:szCs w:val="20"/>
          <w:lang w:val="en-US"/>
        </w:rPr>
        <w:lastRenderedPageBreak/>
        <w:t xml:space="preserve">                                       </w:t>
      </w:r>
      <w:r w:rsidR="00766677">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 </w:t>
      </w:r>
      <w:r w:rsidRPr="00052E4B">
        <w:rPr>
          <w:rFonts w:ascii="Times New Roman" w:hAnsi="Times New Roman" w:cs="Times New Roman"/>
          <w:sz w:val="20"/>
          <w:szCs w:val="20"/>
          <w:lang w:val="en-US"/>
        </w:rPr>
        <w:t>31 diagrama</w:t>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t xml:space="preserve">               32 diagrama</w:t>
      </w:r>
    </w:p>
    <w:p w:rsidR="00026BB5" w:rsidRPr="00085498" w:rsidRDefault="00C9602C" w:rsidP="00026BB5">
      <w:pPr>
        <w:tabs>
          <w:tab w:val="left" w:pos="993"/>
        </w:tabs>
        <w:spacing w:after="0" w:line="360" w:lineRule="auto"/>
        <w:jc w:val="both"/>
        <w:rPr>
          <w:rFonts w:ascii="Times New Roman" w:hAnsi="Times New Roman" w:cs="Times New Roman"/>
          <w:sz w:val="24"/>
          <w:szCs w:val="24"/>
          <w:lang w:val="en-US"/>
        </w:rPr>
      </w:pPr>
      <w:r w:rsidRPr="00C9602C">
        <w:rPr>
          <w:rFonts w:ascii="Times New Roman" w:hAnsi="Times New Roman" w:cs="Times New Roman"/>
          <w:noProof/>
          <w:sz w:val="24"/>
          <w:szCs w:val="24"/>
          <w:lang w:eastAsia="lt-LT"/>
        </w:rPr>
        <w:drawing>
          <wp:inline distT="0" distB="0" distL="0" distR="0">
            <wp:extent cx="2647950" cy="36576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26BB5" w:rsidRDefault="00C9602C" w:rsidP="00026BB5">
      <w:pPr>
        <w:tabs>
          <w:tab w:val="left" w:pos="993"/>
        </w:tabs>
        <w:spacing w:after="0" w:line="360" w:lineRule="auto"/>
        <w:jc w:val="center"/>
        <w:rPr>
          <w:rFonts w:ascii="Times New Roman" w:hAnsi="Times New Roman" w:cs="Times New Roman"/>
          <w:color w:val="FF0000"/>
          <w:sz w:val="24"/>
          <w:szCs w:val="24"/>
        </w:rPr>
        <w:sectPr w:rsidR="00026BB5" w:rsidSect="006D5342">
          <w:type w:val="continuous"/>
          <w:pgSz w:w="11906" w:h="16838"/>
          <w:pgMar w:top="1134" w:right="567" w:bottom="1134" w:left="1701" w:header="567" w:footer="567" w:gutter="0"/>
          <w:cols w:num="2" w:space="1298"/>
          <w:docGrid w:linePitch="360"/>
        </w:sectPr>
      </w:pPr>
      <w:r w:rsidRPr="00C9602C">
        <w:rPr>
          <w:rFonts w:ascii="Times New Roman" w:hAnsi="Times New Roman" w:cs="Times New Roman"/>
          <w:noProof/>
          <w:color w:val="FF0000"/>
          <w:sz w:val="24"/>
          <w:szCs w:val="24"/>
          <w:lang w:eastAsia="lt-LT"/>
        </w:rPr>
        <w:drawing>
          <wp:inline distT="0" distB="0" distL="0" distR="0">
            <wp:extent cx="2647950" cy="36576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33788" w:rsidRDefault="00733788" w:rsidP="00733788">
      <w:pPr>
        <w:tabs>
          <w:tab w:val="left" w:pos="585"/>
          <w:tab w:val="left" w:pos="993"/>
          <w:tab w:val="right" w:pos="9638"/>
        </w:tabs>
        <w:spacing w:after="0" w:line="36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ab/>
      </w:r>
      <w:r w:rsidR="00320875">
        <w:rPr>
          <w:rFonts w:ascii="Times New Roman" w:hAnsi="Times New Roman" w:cs="Times New Roman"/>
          <w:color w:val="FF0000"/>
          <w:sz w:val="24"/>
          <w:szCs w:val="24"/>
        </w:rPr>
        <w:tab/>
      </w:r>
    </w:p>
    <w:p w:rsidR="00320875" w:rsidRDefault="00320875" w:rsidP="00320875">
      <w:pPr>
        <w:tabs>
          <w:tab w:val="left" w:pos="585"/>
          <w:tab w:val="left" w:pos="993"/>
          <w:tab w:val="right" w:pos="9638"/>
        </w:tabs>
        <w:spacing w:after="0" w:line="360" w:lineRule="auto"/>
        <w:jc w:val="right"/>
        <w:rPr>
          <w:rFonts w:ascii="Times New Roman" w:hAnsi="Times New Roman" w:cs="Times New Roman"/>
          <w:sz w:val="20"/>
          <w:szCs w:val="20"/>
        </w:rPr>
      </w:pPr>
      <w:r w:rsidRPr="00320875">
        <w:rPr>
          <w:rFonts w:ascii="Times New Roman" w:hAnsi="Times New Roman" w:cs="Times New Roman"/>
          <w:sz w:val="20"/>
          <w:szCs w:val="20"/>
        </w:rPr>
        <w:t xml:space="preserve">25 </w:t>
      </w:r>
      <w:r>
        <w:rPr>
          <w:rFonts w:ascii="Times New Roman" w:hAnsi="Times New Roman" w:cs="Times New Roman"/>
          <w:sz w:val="20"/>
          <w:szCs w:val="20"/>
        </w:rPr>
        <w:t xml:space="preserve"> diagrama</w:t>
      </w:r>
    </w:p>
    <w:p w:rsidR="00AB7BCF" w:rsidRDefault="00AB7BCF" w:rsidP="00320875">
      <w:pPr>
        <w:tabs>
          <w:tab w:val="left" w:pos="585"/>
          <w:tab w:val="left" w:pos="993"/>
          <w:tab w:val="right" w:pos="9638"/>
        </w:tabs>
        <w:spacing w:after="0" w:line="360" w:lineRule="auto"/>
        <w:jc w:val="right"/>
        <w:rPr>
          <w:rFonts w:ascii="Times New Roman" w:hAnsi="Times New Roman" w:cs="Times New Roman"/>
          <w:sz w:val="20"/>
          <w:szCs w:val="20"/>
        </w:rPr>
      </w:pPr>
      <w:r w:rsidRPr="00AB7BCF">
        <w:rPr>
          <w:rFonts w:ascii="Times New Roman" w:hAnsi="Times New Roman" w:cs="Times New Roman"/>
          <w:noProof/>
          <w:sz w:val="20"/>
          <w:szCs w:val="20"/>
          <w:lang w:eastAsia="lt-LT"/>
        </w:rPr>
        <w:drawing>
          <wp:inline distT="0" distB="0" distL="0" distR="0">
            <wp:extent cx="6120130" cy="4657725"/>
            <wp:effectExtent l="0" t="0" r="1397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20875" w:rsidRPr="00320875" w:rsidRDefault="00320875" w:rsidP="00320875">
      <w:pPr>
        <w:rPr>
          <w:rFonts w:ascii="Times New Roman" w:hAnsi="Times New Roman" w:cs="Times New Roman"/>
          <w:sz w:val="20"/>
          <w:szCs w:val="20"/>
        </w:rPr>
        <w:sectPr w:rsidR="00320875" w:rsidRPr="00320875" w:rsidSect="00026BB5">
          <w:type w:val="continuous"/>
          <w:pgSz w:w="11906" w:h="16838"/>
          <w:pgMar w:top="1134" w:right="567" w:bottom="1134" w:left="1701" w:header="567" w:footer="567" w:gutter="0"/>
          <w:cols w:space="1296"/>
          <w:docGrid w:linePitch="360"/>
        </w:sectPr>
      </w:pPr>
    </w:p>
    <w:p w:rsidR="002825C9" w:rsidRPr="00882F71" w:rsidRDefault="00882F71" w:rsidP="00882F71">
      <w:pPr>
        <w:ind w:left="170"/>
        <w:jc w:val="center"/>
        <w:rPr>
          <w:rFonts w:ascii="Times New Roman" w:hAnsi="Times New Roman" w:cs="Times New Roman"/>
          <w:b/>
          <w:sz w:val="24"/>
          <w:szCs w:val="24"/>
        </w:rPr>
      </w:pPr>
      <w:r w:rsidRPr="00882F71">
        <w:rPr>
          <w:rFonts w:ascii="Times New Roman" w:hAnsi="Times New Roman" w:cs="Times New Roman"/>
          <w:b/>
          <w:sz w:val="24"/>
          <w:szCs w:val="24"/>
        </w:rPr>
        <w:lastRenderedPageBreak/>
        <w:t xml:space="preserve">PRIĖMIMO – SKUBIOS PAGALBOS SKYRIAUS </w:t>
      </w:r>
      <w:r w:rsidR="002825C9">
        <w:rPr>
          <w:rFonts w:ascii="Times New Roman" w:hAnsi="Times New Roman" w:cs="Times New Roman"/>
          <w:b/>
          <w:sz w:val="24"/>
          <w:szCs w:val="24"/>
        </w:rPr>
        <w:t>ATASKAITA</w:t>
      </w:r>
    </w:p>
    <w:p w:rsidR="00882F71" w:rsidRPr="00882F71" w:rsidRDefault="00882F71" w:rsidP="00882F71">
      <w:pPr>
        <w:spacing w:line="360" w:lineRule="auto"/>
        <w:ind w:left="170"/>
        <w:jc w:val="both"/>
        <w:rPr>
          <w:rFonts w:ascii="Times New Roman" w:hAnsi="Times New Roman" w:cs="Times New Roman"/>
          <w:sz w:val="24"/>
          <w:szCs w:val="24"/>
        </w:rPr>
      </w:pPr>
      <w:r w:rsidRPr="00882F71">
        <w:rPr>
          <w:rFonts w:ascii="Times New Roman" w:hAnsi="Times New Roman" w:cs="Times New Roman"/>
          <w:sz w:val="24"/>
          <w:szCs w:val="24"/>
        </w:rPr>
        <w:tab/>
        <w:t>Priėmimo – skubios pagalbos skyrius įs</w:t>
      </w:r>
      <w:r w:rsidR="00555E91">
        <w:rPr>
          <w:rFonts w:ascii="Times New Roman" w:hAnsi="Times New Roman" w:cs="Times New Roman"/>
          <w:sz w:val="24"/>
          <w:szCs w:val="24"/>
        </w:rPr>
        <w:t>ikūręs ligoninės pirmame aukšte. D</w:t>
      </w:r>
      <w:r w:rsidRPr="00882F71">
        <w:rPr>
          <w:rFonts w:ascii="Times New Roman" w:hAnsi="Times New Roman" w:cs="Times New Roman"/>
          <w:sz w:val="24"/>
          <w:szCs w:val="24"/>
        </w:rPr>
        <w:t>islokacija patogi ligoniams, kurie kreipiasi patys arba atvyksta su GMP. Skyriuje yra visos būtinos patalpos patogiam ligonių aptarnavimui (ligonių apžiūros kabinetas, laukiamasis, būdinčių gydytojų, slaugytojų kabinetai, sanitarinės patalpos, 3 – jų lovų stebėjimo palata). Palatoje įvesta deguonis, ten atliekamos ir dienos stacionaro procedūros. Patogus susisiekimas su šalia esančiu radiologijos kabinetu. Ligonių registracija kompiuterizuota. Chirurginiams ligoniams aptarnauti naudojama Konsultacijų poliklinikos operacinė.</w:t>
      </w:r>
    </w:p>
    <w:p w:rsidR="00882F71" w:rsidRPr="00882F71" w:rsidRDefault="006048A7" w:rsidP="00882F71">
      <w:pPr>
        <w:spacing w:line="360" w:lineRule="auto"/>
        <w:ind w:left="170"/>
        <w:jc w:val="both"/>
        <w:rPr>
          <w:rFonts w:ascii="Times New Roman" w:hAnsi="Times New Roman" w:cs="Times New Roman"/>
          <w:sz w:val="24"/>
          <w:szCs w:val="24"/>
        </w:rPr>
      </w:pPr>
      <w:r>
        <w:rPr>
          <w:rFonts w:ascii="Times New Roman" w:hAnsi="Times New Roman" w:cs="Times New Roman"/>
          <w:sz w:val="24"/>
          <w:szCs w:val="24"/>
        </w:rPr>
        <w:tab/>
        <w:t>Skyrius ap</w:t>
      </w:r>
      <w:r w:rsidR="00882F71" w:rsidRPr="00882F71">
        <w:rPr>
          <w:rFonts w:ascii="Times New Roman" w:hAnsi="Times New Roman" w:cs="Times New Roman"/>
          <w:sz w:val="24"/>
          <w:szCs w:val="24"/>
        </w:rPr>
        <w:t>rūpintas reik</w:t>
      </w:r>
      <w:r w:rsidR="007356BE">
        <w:rPr>
          <w:rFonts w:ascii="Times New Roman" w:hAnsi="Times New Roman" w:cs="Times New Roman"/>
          <w:sz w:val="24"/>
          <w:szCs w:val="24"/>
        </w:rPr>
        <w:t>alinga įranga (elektrokardiograf</w:t>
      </w:r>
      <w:r w:rsidR="00882F71" w:rsidRPr="00882F71">
        <w:rPr>
          <w:rFonts w:ascii="Times New Roman" w:hAnsi="Times New Roman" w:cs="Times New Roman"/>
          <w:sz w:val="24"/>
          <w:szCs w:val="24"/>
        </w:rPr>
        <w:t>as, defibriliatorius, monitorius, deguonis, echoskopas</w:t>
      </w:r>
      <w:r w:rsidR="007356BE">
        <w:rPr>
          <w:rFonts w:ascii="Times New Roman" w:hAnsi="Times New Roman" w:cs="Times New Roman"/>
          <w:sz w:val="24"/>
          <w:szCs w:val="24"/>
        </w:rPr>
        <w:t>, inhaliatorius ir kt.</w:t>
      </w:r>
      <w:r w:rsidR="00882F71" w:rsidRPr="00882F71">
        <w:rPr>
          <w:rFonts w:ascii="Times New Roman" w:hAnsi="Times New Roman" w:cs="Times New Roman"/>
          <w:sz w:val="24"/>
          <w:szCs w:val="24"/>
        </w:rPr>
        <w:t xml:space="preserve">). Priėmimo – skubios pagalbos skyriuje dirba </w:t>
      </w:r>
      <w:r w:rsidR="00D56C87">
        <w:rPr>
          <w:rFonts w:ascii="Times New Roman" w:hAnsi="Times New Roman" w:cs="Times New Roman"/>
          <w:sz w:val="24"/>
          <w:szCs w:val="24"/>
        </w:rPr>
        <w:t>29</w:t>
      </w:r>
      <w:r w:rsidR="00882F71" w:rsidRPr="00882F71">
        <w:rPr>
          <w:rFonts w:ascii="Times New Roman" w:hAnsi="Times New Roman" w:cs="Times New Roman"/>
          <w:sz w:val="24"/>
          <w:szCs w:val="24"/>
        </w:rPr>
        <w:t xml:space="preserve"> darbuotoj</w:t>
      </w:r>
      <w:r w:rsidR="00D56C87">
        <w:rPr>
          <w:rFonts w:ascii="Times New Roman" w:hAnsi="Times New Roman" w:cs="Times New Roman"/>
          <w:sz w:val="24"/>
          <w:szCs w:val="24"/>
        </w:rPr>
        <w:t>ai</w:t>
      </w:r>
      <w:r w:rsidR="00882F71" w:rsidRPr="00882F71">
        <w:rPr>
          <w:rFonts w:ascii="Times New Roman" w:hAnsi="Times New Roman" w:cs="Times New Roman"/>
          <w:sz w:val="24"/>
          <w:szCs w:val="24"/>
        </w:rPr>
        <w:t>: skyriaus vedėjas – 1, vyr.slaugytoja – slaugos administratorė – 1, bendrosios praktikos slaugytojos – 6, valytojos – 5. Pagalbą dienos metu teikė: 3</w:t>
      </w:r>
      <w:r w:rsidR="00E3327D">
        <w:rPr>
          <w:rFonts w:ascii="Times New Roman" w:hAnsi="Times New Roman" w:cs="Times New Roman"/>
          <w:sz w:val="24"/>
          <w:szCs w:val="24"/>
        </w:rPr>
        <w:t xml:space="preserve"> terapeutai, 1 neurologas, 3</w:t>
      </w:r>
      <w:r w:rsidR="00882F71" w:rsidRPr="00882F71">
        <w:rPr>
          <w:rFonts w:ascii="Times New Roman" w:hAnsi="Times New Roman" w:cs="Times New Roman"/>
          <w:sz w:val="24"/>
          <w:szCs w:val="24"/>
        </w:rPr>
        <w:t xml:space="preserve"> chirurgai. </w:t>
      </w:r>
      <w:r w:rsidR="00882F71" w:rsidRPr="00E3327D">
        <w:rPr>
          <w:rFonts w:ascii="Times New Roman" w:hAnsi="Times New Roman" w:cs="Times New Roman"/>
          <w:sz w:val="24"/>
          <w:szCs w:val="24"/>
        </w:rPr>
        <w:t>Budėjimo metu: 8 terapeutai, 10 chirurgų.</w:t>
      </w:r>
    </w:p>
    <w:p w:rsidR="001A52D5" w:rsidRDefault="001A52D5" w:rsidP="00882F71">
      <w:pPr>
        <w:spacing w:after="0" w:line="360" w:lineRule="auto"/>
        <w:ind w:left="170"/>
        <w:jc w:val="right"/>
        <w:rPr>
          <w:rFonts w:ascii="Times New Roman" w:hAnsi="Times New Roman" w:cs="Times New Roman"/>
          <w:sz w:val="20"/>
          <w:szCs w:val="20"/>
        </w:rPr>
      </w:pPr>
    </w:p>
    <w:p w:rsidR="00882F71" w:rsidRPr="00882F71" w:rsidRDefault="007356BE" w:rsidP="00882F71">
      <w:pPr>
        <w:spacing w:after="0" w:line="360" w:lineRule="auto"/>
        <w:ind w:left="170"/>
        <w:jc w:val="right"/>
        <w:rPr>
          <w:rFonts w:ascii="Times New Roman" w:hAnsi="Times New Roman" w:cs="Times New Roman"/>
          <w:sz w:val="20"/>
          <w:szCs w:val="20"/>
        </w:rPr>
      </w:pPr>
      <w:r>
        <w:rPr>
          <w:rFonts w:ascii="Times New Roman" w:hAnsi="Times New Roman" w:cs="Times New Roman"/>
          <w:sz w:val="20"/>
          <w:szCs w:val="20"/>
        </w:rPr>
        <w:t>26</w:t>
      </w:r>
      <w:r w:rsidR="00882F71" w:rsidRPr="00882F71">
        <w:rPr>
          <w:rFonts w:ascii="Times New Roman" w:hAnsi="Times New Roman" w:cs="Times New Roman"/>
          <w:sz w:val="20"/>
          <w:szCs w:val="20"/>
        </w:rPr>
        <w:t xml:space="preserve"> diagrama</w:t>
      </w:r>
    </w:p>
    <w:p w:rsidR="00555E91" w:rsidRDefault="00555E91" w:rsidP="00882F71">
      <w:pPr>
        <w:spacing w:line="360" w:lineRule="auto"/>
        <w:ind w:left="170"/>
        <w:jc w:val="both"/>
        <w:rPr>
          <w:rFonts w:ascii="Times New Roman" w:hAnsi="Times New Roman" w:cs="Times New Roman"/>
          <w:sz w:val="24"/>
          <w:szCs w:val="24"/>
        </w:rPr>
      </w:pPr>
      <w:r>
        <w:rPr>
          <w:noProof/>
          <w:lang w:eastAsia="lt-LT"/>
        </w:rPr>
        <w:drawing>
          <wp:inline distT="0" distB="0" distL="0" distR="0">
            <wp:extent cx="6115050" cy="394335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82F71" w:rsidRDefault="00C5144E" w:rsidP="00C00E62">
      <w:pPr>
        <w:spacing w:line="360" w:lineRule="auto"/>
        <w:ind w:firstLine="1296"/>
        <w:jc w:val="both"/>
        <w:rPr>
          <w:rFonts w:ascii="Times New Roman" w:hAnsi="Times New Roman" w:cs="Times New Roman"/>
          <w:sz w:val="24"/>
          <w:szCs w:val="24"/>
        </w:rPr>
      </w:pPr>
      <w:r>
        <w:rPr>
          <w:rFonts w:ascii="Times New Roman" w:hAnsi="Times New Roman" w:cs="Times New Roman"/>
          <w:sz w:val="24"/>
          <w:szCs w:val="24"/>
        </w:rPr>
        <w:t>B</w:t>
      </w:r>
      <w:r w:rsidR="00882F71" w:rsidRPr="00882F71">
        <w:rPr>
          <w:rFonts w:ascii="Times New Roman" w:hAnsi="Times New Roman" w:cs="Times New Roman"/>
          <w:sz w:val="24"/>
          <w:szCs w:val="24"/>
        </w:rPr>
        <w:t xml:space="preserve">endras ligonių skaičius </w:t>
      </w:r>
      <w:r>
        <w:rPr>
          <w:rFonts w:ascii="Times New Roman" w:hAnsi="Times New Roman" w:cs="Times New Roman"/>
          <w:sz w:val="24"/>
          <w:szCs w:val="24"/>
        </w:rPr>
        <w:t>2013 ir 2014 metais</w:t>
      </w:r>
      <w:r w:rsidR="006C6018">
        <w:rPr>
          <w:rFonts w:ascii="Times New Roman" w:hAnsi="Times New Roman" w:cs="Times New Roman"/>
          <w:sz w:val="24"/>
          <w:szCs w:val="24"/>
        </w:rPr>
        <w:t xml:space="preserve"> buvo panašus</w:t>
      </w:r>
      <w:r>
        <w:rPr>
          <w:rFonts w:ascii="Times New Roman" w:hAnsi="Times New Roman" w:cs="Times New Roman"/>
          <w:sz w:val="24"/>
          <w:szCs w:val="24"/>
        </w:rPr>
        <w:t xml:space="preserve">. </w:t>
      </w:r>
      <w:r w:rsidR="00882F71" w:rsidRPr="00882F71">
        <w:rPr>
          <w:rFonts w:ascii="Times New Roman" w:hAnsi="Times New Roman" w:cs="Times New Roman"/>
          <w:sz w:val="24"/>
          <w:szCs w:val="24"/>
        </w:rPr>
        <w:t xml:space="preserve">Didžiausias ligonių skaičius būna gegužės </w:t>
      </w:r>
      <w:r>
        <w:rPr>
          <w:rFonts w:ascii="Times New Roman" w:hAnsi="Times New Roman" w:cs="Times New Roman"/>
          <w:sz w:val="24"/>
          <w:szCs w:val="24"/>
        </w:rPr>
        <w:t xml:space="preserve">ir </w:t>
      </w:r>
      <w:r w:rsidR="00882F71" w:rsidRPr="00882F71">
        <w:rPr>
          <w:rFonts w:ascii="Times New Roman" w:hAnsi="Times New Roman" w:cs="Times New Roman"/>
          <w:sz w:val="24"/>
          <w:szCs w:val="24"/>
        </w:rPr>
        <w:t xml:space="preserve">rugpjūčio mėnesiais. </w:t>
      </w:r>
      <w:r w:rsidR="00BE6241">
        <w:rPr>
          <w:rFonts w:ascii="Times New Roman" w:hAnsi="Times New Roman" w:cs="Times New Roman"/>
          <w:sz w:val="24"/>
          <w:szCs w:val="24"/>
        </w:rPr>
        <w:t>Per 2015 metus aptarnauta 3172 ligoniai</w:t>
      </w:r>
      <w:r w:rsidR="00E878D6">
        <w:rPr>
          <w:rFonts w:ascii="Times New Roman" w:hAnsi="Times New Roman" w:cs="Times New Roman"/>
          <w:sz w:val="24"/>
          <w:szCs w:val="24"/>
        </w:rPr>
        <w:t xml:space="preserve"> (beveik 19 % daugiau nei 2014 metais). </w:t>
      </w:r>
      <w:r>
        <w:rPr>
          <w:rFonts w:ascii="Times New Roman" w:hAnsi="Times New Roman" w:cs="Times New Roman"/>
          <w:sz w:val="24"/>
          <w:szCs w:val="24"/>
        </w:rPr>
        <w:t>Lyginant 2015 metus su 2014 metais t</w:t>
      </w:r>
      <w:r w:rsidR="00882F71" w:rsidRPr="00882F71">
        <w:rPr>
          <w:rFonts w:ascii="Times New Roman" w:hAnsi="Times New Roman" w:cs="Times New Roman"/>
          <w:sz w:val="24"/>
          <w:szCs w:val="24"/>
        </w:rPr>
        <w:t xml:space="preserve">erapinių ir chirurginių ligonių skaičius </w:t>
      </w:r>
      <w:r w:rsidR="00E878D6">
        <w:rPr>
          <w:rFonts w:ascii="Times New Roman" w:hAnsi="Times New Roman" w:cs="Times New Roman"/>
          <w:sz w:val="24"/>
          <w:szCs w:val="24"/>
        </w:rPr>
        <w:t xml:space="preserve">padidėjo: </w:t>
      </w:r>
      <w:r>
        <w:rPr>
          <w:rFonts w:ascii="Times New Roman" w:hAnsi="Times New Roman" w:cs="Times New Roman"/>
          <w:sz w:val="24"/>
          <w:szCs w:val="24"/>
        </w:rPr>
        <w:t>terapinių ligonių –</w:t>
      </w:r>
      <w:r w:rsidR="00E878D6">
        <w:rPr>
          <w:rFonts w:ascii="Times New Roman" w:hAnsi="Times New Roman" w:cs="Times New Roman"/>
          <w:sz w:val="24"/>
          <w:szCs w:val="24"/>
        </w:rPr>
        <w:t xml:space="preserve"> 493, chirurginių ligonių – 106</w:t>
      </w:r>
      <w:r>
        <w:rPr>
          <w:rFonts w:ascii="Times New Roman" w:hAnsi="Times New Roman" w:cs="Times New Roman"/>
          <w:sz w:val="24"/>
          <w:szCs w:val="24"/>
        </w:rPr>
        <w:t xml:space="preserve">. </w:t>
      </w:r>
    </w:p>
    <w:p w:rsidR="00F80859" w:rsidRPr="00F80859" w:rsidRDefault="00F80859" w:rsidP="00F80859">
      <w:pPr>
        <w:spacing w:line="360" w:lineRule="auto"/>
        <w:ind w:firstLine="1296"/>
        <w:jc w:val="right"/>
        <w:rPr>
          <w:rFonts w:ascii="Times New Roman" w:hAnsi="Times New Roman" w:cs="Times New Roman"/>
          <w:sz w:val="20"/>
          <w:szCs w:val="20"/>
        </w:rPr>
      </w:pPr>
      <w:r w:rsidRPr="00F80859">
        <w:rPr>
          <w:rFonts w:ascii="Times New Roman" w:hAnsi="Times New Roman" w:cs="Times New Roman"/>
          <w:sz w:val="20"/>
          <w:szCs w:val="20"/>
        </w:rPr>
        <w:lastRenderedPageBreak/>
        <w:t>27 diagrama</w:t>
      </w:r>
    </w:p>
    <w:p w:rsidR="00882F71" w:rsidRPr="00882F71" w:rsidRDefault="00F80859" w:rsidP="00F80859">
      <w:pPr>
        <w:spacing w:after="0" w:line="360" w:lineRule="auto"/>
        <w:ind w:firstLine="284"/>
        <w:rPr>
          <w:rFonts w:ascii="Times New Roman" w:hAnsi="Times New Roman" w:cs="Times New Roman"/>
          <w:sz w:val="20"/>
          <w:szCs w:val="20"/>
        </w:rPr>
      </w:pPr>
      <w:r>
        <w:rPr>
          <w:noProof/>
          <w:lang w:eastAsia="lt-LT"/>
        </w:rPr>
        <w:drawing>
          <wp:inline distT="0" distB="0" distL="0" distR="0">
            <wp:extent cx="5753100"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12665" w:rsidRDefault="00882F71" w:rsidP="00812665">
      <w:pPr>
        <w:spacing w:line="360" w:lineRule="auto"/>
        <w:ind w:firstLine="1296"/>
        <w:jc w:val="both"/>
        <w:rPr>
          <w:rFonts w:ascii="Times New Roman" w:hAnsi="Times New Roman" w:cs="Times New Roman"/>
          <w:sz w:val="24"/>
          <w:szCs w:val="24"/>
        </w:rPr>
      </w:pPr>
      <w:r w:rsidRPr="00882F71">
        <w:rPr>
          <w:rFonts w:ascii="Times New Roman" w:hAnsi="Times New Roman" w:cs="Times New Roman"/>
          <w:sz w:val="24"/>
          <w:szCs w:val="24"/>
        </w:rPr>
        <w:t>Išlieka tendencija mažėti hospitalizuojamų ligonių.</w:t>
      </w:r>
      <w:r w:rsidR="00E3327D">
        <w:rPr>
          <w:rFonts w:ascii="Times New Roman" w:hAnsi="Times New Roman" w:cs="Times New Roman"/>
          <w:sz w:val="24"/>
          <w:szCs w:val="24"/>
        </w:rPr>
        <w:t xml:space="preserve"> </w:t>
      </w:r>
    </w:p>
    <w:p w:rsidR="00E3327D" w:rsidRPr="00E3327D" w:rsidRDefault="00E3327D" w:rsidP="00E3327D">
      <w:pPr>
        <w:spacing w:line="360" w:lineRule="auto"/>
        <w:ind w:firstLine="1296"/>
        <w:jc w:val="right"/>
        <w:rPr>
          <w:rFonts w:ascii="Times New Roman" w:hAnsi="Times New Roman" w:cs="Times New Roman"/>
          <w:sz w:val="20"/>
          <w:szCs w:val="20"/>
        </w:rPr>
      </w:pPr>
      <w:r>
        <w:rPr>
          <w:rFonts w:ascii="Times New Roman" w:hAnsi="Times New Roman" w:cs="Times New Roman"/>
          <w:sz w:val="20"/>
          <w:szCs w:val="20"/>
        </w:rPr>
        <w:t>28 diagrama</w:t>
      </w:r>
    </w:p>
    <w:p w:rsidR="00E3327D" w:rsidRDefault="00E3327D" w:rsidP="00E3327D">
      <w:pPr>
        <w:spacing w:line="360" w:lineRule="auto"/>
        <w:ind w:firstLine="142"/>
        <w:jc w:val="center"/>
        <w:rPr>
          <w:rFonts w:ascii="Times New Roman" w:hAnsi="Times New Roman" w:cs="Times New Roman"/>
          <w:sz w:val="20"/>
          <w:szCs w:val="20"/>
        </w:rPr>
      </w:pPr>
      <w:r>
        <w:rPr>
          <w:noProof/>
          <w:lang w:eastAsia="lt-LT"/>
        </w:rPr>
        <w:drawing>
          <wp:inline distT="0" distB="0" distL="0" distR="0">
            <wp:extent cx="5772150" cy="29337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31FDB" w:rsidRDefault="00585E27" w:rsidP="00A45DCD">
      <w:pPr>
        <w:spacing w:line="360" w:lineRule="auto"/>
        <w:ind w:left="170" w:firstLine="1126"/>
        <w:jc w:val="both"/>
        <w:rPr>
          <w:rFonts w:ascii="Times New Roman" w:hAnsi="Times New Roman" w:cs="Times New Roman"/>
          <w:sz w:val="20"/>
          <w:szCs w:val="20"/>
        </w:rPr>
      </w:pPr>
      <w:r>
        <w:rPr>
          <w:rFonts w:ascii="Times New Roman" w:hAnsi="Times New Roman" w:cs="Times New Roman"/>
          <w:sz w:val="24"/>
          <w:szCs w:val="24"/>
        </w:rPr>
        <w:t>Ryškiai padidėjo</w:t>
      </w:r>
      <w:r w:rsidR="00882F71" w:rsidRPr="00882F71">
        <w:rPr>
          <w:rFonts w:ascii="Times New Roman" w:hAnsi="Times New Roman" w:cs="Times New Roman"/>
          <w:sz w:val="24"/>
          <w:szCs w:val="24"/>
        </w:rPr>
        <w:t xml:space="preserve"> ligonių skaičius</w:t>
      </w:r>
      <w:r w:rsidR="00E166B0">
        <w:rPr>
          <w:rFonts w:ascii="Times New Roman" w:hAnsi="Times New Roman" w:cs="Times New Roman"/>
          <w:sz w:val="24"/>
          <w:szCs w:val="24"/>
        </w:rPr>
        <w:t xml:space="preserve">, </w:t>
      </w:r>
      <w:r w:rsidR="00882F71" w:rsidRPr="00882F71">
        <w:rPr>
          <w:rFonts w:ascii="Times New Roman" w:hAnsi="Times New Roman" w:cs="Times New Roman"/>
          <w:sz w:val="24"/>
          <w:szCs w:val="24"/>
        </w:rPr>
        <w:t xml:space="preserve"> </w:t>
      </w:r>
      <w:r>
        <w:rPr>
          <w:rFonts w:ascii="Times New Roman" w:hAnsi="Times New Roman" w:cs="Times New Roman"/>
          <w:sz w:val="24"/>
          <w:szCs w:val="24"/>
        </w:rPr>
        <w:t>kurie</w:t>
      </w:r>
      <w:r w:rsidR="00D56C87">
        <w:rPr>
          <w:rFonts w:ascii="Times New Roman" w:hAnsi="Times New Roman" w:cs="Times New Roman"/>
          <w:sz w:val="24"/>
          <w:szCs w:val="24"/>
        </w:rPr>
        <w:t xml:space="preserve"> </w:t>
      </w:r>
      <w:r w:rsidR="00882F71" w:rsidRPr="00882F71">
        <w:rPr>
          <w:rFonts w:ascii="Times New Roman" w:hAnsi="Times New Roman" w:cs="Times New Roman"/>
          <w:sz w:val="24"/>
          <w:szCs w:val="24"/>
        </w:rPr>
        <w:t>atvežt</w:t>
      </w:r>
      <w:r w:rsidR="00D56C87">
        <w:rPr>
          <w:rFonts w:ascii="Times New Roman" w:hAnsi="Times New Roman" w:cs="Times New Roman"/>
          <w:sz w:val="24"/>
          <w:szCs w:val="24"/>
        </w:rPr>
        <w:t>i</w:t>
      </w:r>
      <w:r w:rsidR="00882F71" w:rsidRPr="00882F71">
        <w:rPr>
          <w:rFonts w:ascii="Times New Roman" w:hAnsi="Times New Roman" w:cs="Times New Roman"/>
          <w:sz w:val="24"/>
          <w:szCs w:val="24"/>
        </w:rPr>
        <w:t xml:space="preserve"> GMP į priėmi</w:t>
      </w:r>
      <w:r w:rsidR="00E166B0">
        <w:rPr>
          <w:rFonts w:ascii="Times New Roman" w:hAnsi="Times New Roman" w:cs="Times New Roman"/>
          <w:sz w:val="24"/>
          <w:szCs w:val="24"/>
        </w:rPr>
        <w:t xml:space="preserve">mo – skubios pagalbos skyrių po apžiūros yra nukreipiami </w:t>
      </w:r>
      <w:r w:rsidR="00882F71" w:rsidRPr="00882F71">
        <w:rPr>
          <w:rFonts w:ascii="Times New Roman" w:hAnsi="Times New Roman" w:cs="Times New Roman"/>
          <w:sz w:val="24"/>
          <w:szCs w:val="24"/>
        </w:rPr>
        <w:t>į kitų ligoninių stacionarus.</w:t>
      </w:r>
      <w:r w:rsidR="00E166B0">
        <w:rPr>
          <w:rFonts w:ascii="Times New Roman" w:hAnsi="Times New Roman" w:cs="Times New Roman"/>
          <w:sz w:val="24"/>
          <w:szCs w:val="24"/>
        </w:rPr>
        <w:t xml:space="preserve"> Manome, kad tokių veiksmų priežastis yra tokia,  jog ligoninėje neturime pastoviai budinčių intensyviosios terapijos specialistų (vidaus ligų gydytojų baigusių intensyvios terapijos kursus arba anesteziologų-reanimatologų). Priėmimo- skubios pagalbos skyriuje budintys gydytojai  neturi reikiamos patirties kai kuriais atvejais ir kvalifikacijos darbe su sunkios būklės ligoniais, juos išsiunčia į kitas gydymo įstaigas. </w:t>
      </w:r>
      <w:r w:rsidR="00D56C87">
        <w:rPr>
          <w:rFonts w:ascii="Times New Roman" w:hAnsi="Times New Roman" w:cs="Times New Roman"/>
          <w:sz w:val="24"/>
          <w:szCs w:val="24"/>
        </w:rPr>
        <w:t xml:space="preserve">Viso </w:t>
      </w:r>
      <w:r w:rsidR="002246BF">
        <w:rPr>
          <w:rFonts w:ascii="Times New Roman" w:hAnsi="Times New Roman" w:cs="Times New Roman"/>
          <w:sz w:val="24"/>
          <w:szCs w:val="24"/>
        </w:rPr>
        <w:t xml:space="preserve">2015 m </w:t>
      </w:r>
      <w:r w:rsidR="00E3327D">
        <w:rPr>
          <w:rFonts w:ascii="Times New Roman" w:hAnsi="Times New Roman" w:cs="Times New Roman"/>
          <w:sz w:val="24"/>
          <w:szCs w:val="24"/>
        </w:rPr>
        <w:t xml:space="preserve">į kitus stacionarus </w:t>
      </w:r>
      <w:r w:rsidR="006C6018">
        <w:rPr>
          <w:rFonts w:ascii="Times New Roman" w:hAnsi="Times New Roman" w:cs="Times New Roman"/>
          <w:sz w:val="24"/>
          <w:szCs w:val="24"/>
        </w:rPr>
        <w:t xml:space="preserve">buvo nukreipti </w:t>
      </w:r>
      <w:r w:rsidR="00E3327D">
        <w:rPr>
          <w:rFonts w:ascii="Times New Roman" w:hAnsi="Times New Roman" w:cs="Times New Roman"/>
          <w:sz w:val="24"/>
          <w:szCs w:val="24"/>
        </w:rPr>
        <w:t>274</w:t>
      </w:r>
      <w:r w:rsidR="00D56C87">
        <w:rPr>
          <w:rFonts w:ascii="Times New Roman" w:hAnsi="Times New Roman" w:cs="Times New Roman"/>
          <w:sz w:val="24"/>
          <w:szCs w:val="24"/>
        </w:rPr>
        <w:t xml:space="preserve"> ligoniai</w:t>
      </w:r>
      <w:r w:rsidR="002246BF">
        <w:rPr>
          <w:rFonts w:ascii="Times New Roman" w:hAnsi="Times New Roman" w:cs="Times New Roman"/>
          <w:sz w:val="24"/>
          <w:szCs w:val="24"/>
        </w:rPr>
        <w:t xml:space="preserve">, tai yra </w:t>
      </w:r>
      <w:r w:rsidR="00E3327D">
        <w:rPr>
          <w:rFonts w:ascii="Times New Roman" w:hAnsi="Times New Roman" w:cs="Times New Roman"/>
          <w:sz w:val="24"/>
          <w:szCs w:val="24"/>
        </w:rPr>
        <w:t>78</w:t>
      </w:r>
      <w:r w:rsidR="002246BF">
        <w:rPr>
          <w:rFonts w:ascii="Times New Roman" w:hAnsi="Times New Roman" w:cs="Times New Roman"/>
          <w:sz w:val="24"/>
          <w:szCs w:val="24"/>
        </w:rPr>
        <w:t xml:space="preserve"> daugiau nei 2014 metais.</w:t>
      </w:r>
      <w:r w:rsidR="00E166B0">
        <w:rPr>
          <w:rFonts w:ascii="Times New Roman" w:hAnsi="Times New Roman" w:cs="Times New Roman"/>
          <w:sz w:val="24"/>
          <w:szCs w:val="24"/>
        </w:rPr>
        <w:t xml:space="preserve"> </w:t>
      </w:r>
    </w:p>
    <w:p w:rsidR="00E3327D" w:rsidRDefault="00E3327D" w:rsidP="00882F71">
      <w:pPr>
        <w:spacing w:after="0" w:line="360" w:lineRule="auto"/>
        <w:ind w:left="170" w:firstLine="1126"/>
        <w:jc w:val="right"/>
        <w:rPr>
          <w:rFonts w:ascii="Times New Roman" w:hAnsi="Times New Roman" w:cs="Times New Roman"/>
          <w:sz w:val="20"/>
          <w:szCs w:val="20"/>
        </w:rPr>
      </w:pPr>
    </w:p>
    <w:p w:rsidR="00882F71" w:rsidRDefault="007356BE" w:rsidP="00882F71">
      <w:pPr>
        <w:spacing w:after="0" w:line="360" w:lineRule="auto"/>
        <w:ind w:left="170" w:firstLine="1126"/>
        <w:jc w:val="right"/>
        <w:rPr>
          <w:rFonts w:ascii="Times New Roman" w:hAnsi="Times New Roman" w:cs="Times New Roman"/>
          <w:sz w:val="20"/>
          <w:szCs w:val="20"/>
        </w:rPr>
      </w:pPr>
      <w:r>
        <w:rPr>
          <w:rFonts w:ascii="Times New Roman" w:hAnsi="Times New Roman" w:cs="Times New Roman"/>
          <w:sz w:val="20"/>
          <w:szCs w:val="20"/>
        </w:rPr>
        <w:lastRenderedPageBreak/>
        <w:t>29</w:t>
      </w:r>
      <w:r w:rsidR="00882F71" w:rsidRPr="00882F71">
        <w:rPr>
          <w:rFonts w:ascii="Times New Roman" w:hAnsi="Times New Roman" w:cs="Times New Roman"/>
          <w:sz w:val="20"/>
          <w:szCs w:val="20"/>
        </w:rPr>
        <w:t xml:space="preserve"> diagrama</w:t>
      </w:r>
    </w:p>
    <w:p w:rsidR="00531FDB" w:rsidRPr="00882F71" w:rsidRDefault="00531FDB" w:rsidP="00531FDB">
      <w:pPr>
        <w:spacing w:after="0" w:line="360" w:lineRule="auto"/>
        <w:ind w:left="170" w:firstLine="114"/>
        <w:jc w:val="both"/>
        <w:rPr>
          <w:rFonts w:ascii="Times New Roman" w:hAnsi="Times New Roman" w:cs="Times New Roman"/>
          <w:sz w:val="20"/>
          <w:szCs w:val="20"/>
        </w:rPr>
      </w:pPr>
      <w:r>
        <w:rPr>
          <w:noProof/>
          <w:lang w:eastAsia="lt-LT"/>
        </w:rPr>
        <w:drawing>
          <wp:inline distT="0" distB="0" distL="0" distR="0">
            <wp:extent cx="5895975" cy="4705350"/>
            <wp:effectExtent l="0" t="0" r="952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82F71" w:rsidRPr="00882F71" w:rsidRDefault="00531FDB" w:rsidP="00882F71">
      <w:pPr>
        <w:spacing w:line="360" w:lineRule="auto"/>
        <w:ind w:left="170" w:firstLine="1126"/>
        <w:jc w:val="both"/>
        <w:rPr>
          <w:rFonts w:ascii="Times New Roman" w:hAnsi="Times New Roman" w:cs="Times New Roman"/>
          <w:sz w:val="24"/>
          <w:szCs w:val="24"/>
        </w:rPr>
      </w:pPr>
      <w:r>
        <w:rPr>
          <w:rFonts w:ascii="Times New Roman" w:hAnsi="Times New Roman" w:cs="Times New Roman"/>
          <w:sz w:val="24"/>
          <w:szCs w:val="24"/>
        </w:rPr>
        <w:t>Lyginat 2015 metus su 2014</w:t>
      </w:r>
      <w:r w:rsidR="00882F71" w:rsidRPr="00882F71">
        <w:rPr>
          <w:rFonts w:ascii="Times New Roman" w:hAnsi="Times New Roman" w:cs="Times New Roman"/>
          <w:sz w:val="24"/>
          <w:szCs w:val="24"/>
        </w:rPr>
        <w:t xml:space="preserve"> metais </w:t>
      </w:r>
      <w:r>
        <w:rPr>
          <w:rFonts w:ascii="Times New Roman" w:hAnsi="Times New Roman" w:cs="Times New Roman"/>
          <w:sz w:val="24"/>
          <w:szCs w:val="24"/>
        </w:rPr>
        <w:t>žymiai padidėjo</w:t>
      </w:r>
      <w:r w:rsidR="00882F71" w:rsidRPr="00882F71">
        <w:rPr>
          <w:rFonts w:ascii="Times New Roman" w:hAnsi="Times New Roman" w:cs="Times New Roman"/>
          <w:sz w:val="24"/>
          <w:szCs w:val="24"/>
        </w:rPr>
        <w:t xml:space="preserve"> stebėjimo paslaugų teikimas.</w:t>
      </w:r>
    </w:p>
    <w:p w:rsidR="00320875" w:rsidRDefault="00882F71" w:rsidP="00A45DCD">
      <w:pPr>
        <w:spacing w:line="360" w:lineRule="auto"/>
        <w:ind w:firstLine="1276"/>
        <w:jc w:val="both"/>
        <w:rPr>
          <w:rFonts w:ascii="Times New Roman" w:hAnsi="Times New Roman" w:cs="Times New Roman"/>
          <w:sz w:val="24"/>
          <w:szCs w:val="24"/>
        </w:rPr>
      </w:pPr>
      <w:r w:rsidRPr="00882F71">
        <w:rPr>
          <w:rFonts w:ascii="Times New Roman" w:hAnsi="Times New Roman" w:cs="Times New Roman"/>
          <w:sz w:val="24"/>
          <w:szCs w:val="24"/>
        </w:rPr>
        <w:tab/>
        <w:t>Apibendrinat priėmimo – skubios pagalbos skyriaus darbą matome, kad reikėtų plėsti dienos stacionaro paslaugos teikimą, glaudžiau bendradarbiauti su GMP</w:t>
      </w:r>
      <w:r w:rsidR="00E166B0">
        <w:rPr>
          <w:rFonts w:ascii="Times New Roman" w:hAnsi="Times New Roman" w:cs="Times New Roman"/>
          <w:sz w:val="24"/>
          <w:szCs w:val="24"/>
        </w:rPr>
        <w:t>, mažinti</w:t>
      </w:r>
      <w:r w:rsidRPr="00882F71">
        <w:rPr>
          <w:rFonts w:ascii="Times New Roman" w:hAnsi="Times New Roman" w:cs="Times New Roman"/>
          <w:sz w:val="24"/>
          <w:szCs w:val="24"/>
        </w:rPr>
        <w:t xml:space="preserve"> ligonių išve</w:t>
      </w:r>
      <w:r w:rsidR="00E166B0">
        <w:rPr>
          <w:rFonts w:ascii="Times New Roman" w:hAnsi="Times New Roman" w:cs="Times New Roman"/>
          <w:sz w:val="24"/>
          <w:szCs w:val="24"/>
        </w:rPr>
        <w:t xml:space="preserve">žimus į kitas gydymo įstaigas , </w:t>
      </w:r>
      <w:r w:rsidRPr="00882F71">
        <w:rPr>
          <w:rFonts w:ascii="Times New Roman" w:hAnsi="Times New Roman" w:cs="Times New Roman"/>
          <w:sz w:val="24"/>
          <w:szCs w:val="24"/>
        </w:rPr>
        <w:t xml:space="preserve"> racionaliai naudoti medikamentus</w:t>
      </w:r>
      <w:r w:rsidR="00812665">
        <w:rPr>
          <w:rFonts w:ascii="Times New Roman" w:hAnsi="Times New Roman" w:cs="Times New Roman"/>
          <w:sz w:val="24"/>
          <w:szCs w:val="24"/>
        </w:rPr>
        <w:t>.</w:t>
      </w:r>
    </w:p>
    <w:p w:rsidR="00A45DCD" w:rsidRDefault="00A45DCD" w:rsidP="00A45DCD">
      <w:pPr>
        <w:spacing w:line="360" w:lineRule="auto"/>
        <w:ind w:firstLine="1276"/>
        <w:jc w:val="both"/>
        <w:rPr>
          <w:rFonts w:ascii="Times New Roman" w:hAnsi="Times New Roman" w:cs="Times New Roman"/>
          <w:sz w:val="24"/>
          <w:szCs w:val="24"/>
        </w:rPr>
      </w:pPr>
    </w:p>
    <w:p w:rsidR="00A45DCD" w:rsidRDefault="00A45DCD" w:rsidP="00A45DCD">
      <w:pPr>
        <w:spacing w:line="360" w:lineRule="auto"/>
        <w:ind w:firstLine="1276"/>
        <w:jc w:val="both"/>
        <w:rPr>
          <w:rFonts w:ascii="Times New Roman" w:hAnsi="Times New Roman" w:cs="Times New Roman"/>
          <w:sz w:val="24"/>
          <w:szCs w:val="24"/>
        </w:rPr>
      </w:pPr>
    </w:p>
    <w:p w:rsidR="00A45DCD" w:rsidRDefault="00A45DCD" w:rsidP="00A45DCD">
      <w:pPr>
        <w:spacing w:line="360" w:lineRule="auto"/>
        <w:ind w:firstLine="1276"/>
        <w:jc w:val="both"/>
        <w:rPr>
          <w:rFonts w:ascii="Times New Roman" w:hAnsi="Times New Roman" w:cs="Times New Roman"/>
          <w:sz w:val="24"/>
          <w:szCs w:val="24"/>
        </w:rPr>
      </w:pPr>
    </w:p>
    <w:p w:rsidR="00A45DCD" w:rsidRDefault="00A45DCD" w:rsidP="00A45DCD">
      <w:pPr>
        <w:spacing w:line="360" w:lineRule="auto"/>
        <w:ind w:firstLine="1276"/>
        <w:jc w:val="both"/>
        <w:rPr>
          <w:rFonts w:ascii="Times New Roman" w:hAnsi="Times New Roman" w:cs="Times New Roman"/>
          <w:sz w:val="24"/>
          <w:szCs w:val="24"/>
        </w:rPr>
      </w:pPr>
    </w:p>
    <w:p w:rsidR="00A45DCD" w:rsidRDefault="00A45DCD" w:rsidP="00A45DCD">
      <w:pPr>
        <w:spacing w:line="360" w:lineRule="auto"/>
        <w:ind w:firstLine="1276"/>
        <w:jc w:val="both"/>
        <w:rPr>
          <w:rFonts w:ascii="Times New Roman" w:hAnsi="Times New Roman" w:cs="Times New Roman"/>
          <w:sz w:val="24"/>
          <w:szCs w:val="24"/>
        </w:rPr>
      </w:pPr>
    </w:p>
    <w:p w:rsidR="00A45DCD" w:rsidRDefault="00A45DCD" w:rsidP="00A45DCD">
      <w:pPr>
        <w:spacing w:line="360" w:lineRule="auto"/>
        <w:ind w:firstLine="1276"/>
        <w:jc w:val="both"/>
        <w:rPr>
          <w:rFonts w:ascii="Times New Roman" w:hAnsi="Times New Roman" w:cs="Times New Roman"/>
          <w:sz w:val="24"/>
          <w:szCs w:val="24"/>
        </w:rPr>
      </w:pPr>
      <w:r>
        <w:rPr>
          <w:rFonts w:ascii="Times New Roman" w:hAnsi="Times New Roman" w:cs="Times New Roman"/>
          <w:sz w:val="24"/>
          <w:szCs w:val="24"/>
        </w:rPr>
        <w:t>\</w:t>
      </w:r>
    </w:p>
    <w:p w:rsidR="00A45DCD" w:rsidRDefault="00A45DCD" w:rsidP="00A45DCD">
      <w:pPr>
        <w:spacing w:line="360" w:lineRule="auto"/>
        <w:ind w:firstLine="1276"/>
        <w:jc w:val="both"/>
        <w:rPr>
          <w:rFonts w:ascii="Times New Roman" w:hAnsi="Times New Roman" w:cs="Times New Roman"/>
          <w:sz w:val="24"/>
          <w:szCs w:val="24"/>
        </w:rPr>
      </w:pPr>
    </w:p>
    <w:p w:rsidR="00A45DCD" w:rsidRDefault="00A45DCD" w:rsidP="00A45DCD">
      <w:pPr>
        <w:spacing w:line="360" w:lineRule="auto"/>
        <w:ind w:firstLine="1276"/>
        <w:jc w:val="both"/>
        <w:rPr>
          <w:rFonts w:ascii="Times New Roman" w:hAnsi="Times New Roman" w:cs="Times New Roman"/>
          <w:b/>
          <w:caps/>
          <w:sz w:val="24"/>
          <w:szCs w:val="24"/>
        </w:rPr>
      </w:pPr>
    </w:p>
    <w:p w:rsidR="00320875" w:rsidRDefault="00320875" w:rsidP="00C00E62">
      <w:pPr>
        <w:pStyle w:val="Sraopastraipa"/>
        <w:tabs>
          <w:tab w:val="left" w:pos="993"/>
        </w:tabs>
        <w:spacing w:after="0" w:line="240" w:lineRule="auto"/>
        <w:ind w:left="1080"/>
        <w:jc w:val="center"/>
        <w:rPr>
          <w:rFonts w:ascii="Times New Roman" w:hAnsi="Times New Roman" w:cs="Times New Roman"/>
          <w:b/>
          <w:caps/>
          <w:sz w:val="24"/>
          <w:szCs w:val="24"/>
        </w:rPr>
      </w:pPr>
    </w:p>
    <w:p w:rsidR="007356BE" w:rsidRDefault="00372A91" w:rsidP="00C00E62">
      <w:pPr>
        <w:pStyle w:val="Sraopastraipa"/>
        <w:tabs>
          <w:tab w:val="left" w:pos="993"/>
        </w:tabs>
        <w:spacing w:after="0" w:line="240" w:lineRule="auto"/>
        <w:ind w:left="1080"/>
        <w:jc w:val="center"/>
        <w:rPr>
          <w:rFonts w:ascii="Times New Roman" w:hAnsi="Times New Roman" w:cs="Times New Roman"/>
          <w:b/>
          <w:caps/>
          <w:sz w:val="24"/>
          <w:szCs w:val="24"/>
        </w:rPr>
      </w:pPr>
      <w:r w:rsidRPr="006912FD">
        <w:rPr>
          <w:rFonts w:ascii="Times New Roman" w:hAnsi="Times New Roman" w:cs="Times New Roman"/>
          <w:b/>
          <w:caps/>
          <w:sz w:val="24"/>
          <w:szCs w:val="24"/>
        </w:rPr>
        <w:t>Lab</w:t>
      </w:r>
      <w:r w:rsidR="007356BE">
        <w:rPr>
          <w:rFonts w:ascii="Times New Roman" w:hAnsi="Times New Roman" w:cs="Times New Roman"/>
          <w:b/>
          <w:caps/>
          <w:sz w:val="24"/>
          <w:szCs w:val="24"/>
        </w:rPr>
        <w:t>oratorinės diagnostikos skyriaus ataskaita</w:t>
      </w:r>
    </w:p>
    <w:p w:rsidR="006912FD" w:rsidRDefault="007356BE" w:rsidP="007356BE">
      <w:pPr>
        <w:pStyle w:val="Sraopastraipa"/>
        <w:tabs>
          <w:tab w:val="left" w:pos="993"/>
        </w:tabs>
        <w:spacing w:after="0" w:line="240" w:lineRule="auto"/>
        <w:ind w:left="1080"/>
        <w:jc w:val="center"/>
        <w:rPr>
          <w:rFonts w:ascii="Times New Roman" w:hAnsi="Times New Roman" w:cs="Times New Roman"/>
          <w:b/>
          <w:caps/>
          <w:sz w:val="24"/>
          <w:szCs w:val="24"/>
        </w:rPr>
      </w:pPr>
      <w:r>
        <w:rPr>
          <w:rFonts w:ascii="Times New Roman" w:hAnsi="Times New Roman" w:cs="Times New Roman"/>
          <w:b/>
          <w:caps/>
          <w:sz w:val="24"/>
          <w:szCs w:val="24"/>
        </w:rPr>
        <w:t xml:space="preserve">  </w:t>
      </w:r>
    </w:p>
    <w:p w:rsidR="007356BE" w:rsidRDefault="006C6018" w:rsidP="007356BE">
      <w:pPr>
        <w:tabs>
          <w:tab w:val="left" w:pos="4005"/>
        </w:tabs>
        <w:spacing w:after="0" w:line="360" w:lineRule="auto"/>
        <w:ind w:firstLine="1276"/>
        <w:rPr>
          <w:rFonts w:ascii="Times New Roman" w:hAnsi="Times New Roman" w:cs="Times New Roman"/>
          <w:sz w:val="20"/>
          <w:szCs w:val="20"/>
        </w:rPr>
      </w:pPr>
      <w:r>
        <w:rPr>
          <w:rFonts w:ascii="Times New Roman" w:hAnsi="Times New Roman" w:cs="Times New Roman"/>
          <w:sz w:val="24"/>
          <w:szCs w:val="24"/>
        </w:rPr>
        <w:t xml:space="preserve">Per 2015 </w:t>
      </w:r>
      <w:r w:rsidR="007356BE">
        <w:rPr>
          <w:rFonts w:ascii="Times New Roman" w:hAnsi="Times New Roman" w:cs="Times New Roman"/>
          <w:sz w:val="24"/>
          <w:szCs w:val="24"/>
        </w:rPr>
        <w:t xml:space="preserve">metus Laboratorinės medicinos skyriuje atlikti </w:t>
      </w:r>
      <w:r>
        <w:rPr>
          <w:rFonts w:ascii="Times New Roman" w:hAnsi="Times New Roman" w:cs="Times New Roman"/>
          <w:sz w:val="24"/>
          <w:szCs w:val="24"/>
        </w:rPr>
        <w:t>31490</w:t>
      </w:r>
      <w:r w:rsidR="007356BE">
        <w:rPr>
          <w:rFonts w:ascii="Times New Roman" w:hAnsi="Times New Roman" w:cs="Times New Roman"/>
          <w:sz w:val="24"/>
          <w:szCs w:val="24"/>
        </w:rPr>
        <w:t xml:space="preserve"> tyrimai</w:t>
      </w:r>
    </w:p>
    <w:p w:rsidR="00C00E62" w:rsidRPr="00941503" w:rsidRDefault="00941503" w:rsidP="00941503">
      <w:pPr>
        <w:tabs>
          <w:tab w:val="left" w:pos="4005"/>
        </w:tabs>
        <w:spacing w:after="0" w:line="360" w:lineRule="auto"/>
        <w:ind w:firstLine="1276"/>
        <w:rPr>
          <w:rFonts w:ascii="Times New Roman" w:hAnsi="Times New Roman" w:cs="Times New Roman"/>
          <w:sz w:val="20"/>
          <w:szCs w:val="20"/>
        </w:rPr>
        <w:sectPr w:rsidR="00C00E62" w:rsidRPr="00941503" w:rsidSect="00AD496D">
          <w:footerReference w:type="default" r:id="rId40"/>
          <w:pgSz w:w="11906" w:h="16838"/>
          <w:pgMar w:top="1134" w:right="567" w:bottom="1134" w:left="1701" w:header="567" w:footer="567" w:gutter="0"/>
          <w:cols w:space="1296"/>
          <w:docGrid w:linePitch="360"/>
        </w:sectPr>
      </w:pPr>
      <w:r>
        <w:rPr>
          <w:rFonts w:ascii="Times New Roman" w:hAnsi="Times New Roman" w:cs="Times New Roman"/>
          <w:sz w:val="20"/>
          <w:szCs w:val="20"/>
        </w:rPr>
        <w:t xml:space="preserve">                                   </w:t>
      </w:r>
      <w:r w:rsidR="007356BE">
        <w:rPr>
          <w:rFonts w:ascii="Times New Roman" w:hAnsi="Times New Roman" w:cs="Times New Roman"/>
          <w:sz w:val="20"/>
          <w:szCs w:val="20"/>
        </w:rPr>
        <w:t>30</w:t>
      </w:r>
      <w:r w:rsidR="00C00E62" w:rsidRPr="00F30CAB">
        <w:rPr>
          <w:rFonts w:ascii="Times New Roman" w:hAnsi="Times New Roman" w:cs="Times New Roman"/>
          <w:sz w:val="20"/>
          <w:szCs w:val="20"/>
        </w:rPr>
        <w:t xml:space="preserve"> diagrama</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31 diagrama</w:t>
      </w:r>
    </w:p>
    <w:p w:rsidR="00544D1B" w:rsidRDefault="00372A91" w:rsidP="00544D1B">
      <w:pPr>
        <w:pStyle w:val="Sraopastraipa"/>
        <w:tabs>
          <w:tab w:val="left" w:pos="0"/>
        </w:tabs>
        <w:spacing w:after="0" w:line="360" w:lineRule="auto"/>
        <w:ind w:left="0"/>
        <w:rPr>
          <w:rFonts w:ascii="Times New Roman" w:hAnsi="Times New Roman" w:cs="Times New Roman"/>
          <w:b/>
          <w:sz w:val="24"/>
          <w:szCs w:val="24"/>
        </w:rPr>
      </w:pPr>
      <w:r w:rsidRPr="00372A91">
        <w:rPr>
          <w:rFonts w:ascii="Times New Roman" w:hAnsi="Times New Roman" w:cs="Times New Roman"/>
          <w:b/>
          <w:noProof/>
          <w:sz w:val="24"/>
          <w:szCs w:val="24"/>
          <w:lang w:eastAsia="lt-LT"/>
        </w:rPr>
        <w:drawing>
          <wp:inline distT="0" distB="0" distL="0" distR="0">
            <wp:extent cx="2628900" cy="3235569"/>
            <wp:effectExtent l="19050" t="0" r="19050" b="2931"/>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44D1B" w:rsidRDefault="00544D1B" w:rsidP="00544D1B">
      <w:pPr>
        <w:pStyle w:val="Sraopastraipa"/>
        <w:tabs>
          <w:tab w:val="left" w:pos="0"/>
        </w:tabs>
        <w:spacing w:after="0" w:line="360" w:lineRule="auto"/>
        <w:ind w:left="0"/>
        <w:rPr>
          <w:rFonts w:ascii="Times New Roman" w:hAnsi="Times New Roman" w:cs="Times New Roman"/>
          <w:b/>
          <w:sz w:val="24"/>
          <w:szCs w:val="24"/>
        </w:rPr>
      </w:pPr>
    </w:p>
    <w:p w:rsidR="006912FD" w:rsidRPr="00544D1B" w:rsidRDefault="006912FD" w:rsidP="00544D1B">
      <w:pPr>
        <w:pStyle w:val="Sraopastraipa"/>
        <w:tabs>
          <w:tab w:val="left" w:pos="0"/>
        </w:tabs>
        <w:spacing w:after="0" w:line="360" w:lineRule="auto"/>
        <w:ind w:left="0"/>
        <w:rPr>
          <w:rFonts w:ascii="Times New Roman" w:hAnsi="Times New Roman" w:cs="Times New Roman"/>
          <w:b/>
          <w:sz w:val="24"/>
          <w:szCs w:val="24"/>
        </w:rPr>
      </w:pPr>
      <w:r w:rsidRPr="006912FD">
        <w:rPr>
          <w:noProof/>
          <w:lang w:eastAsia="lt-LT"/>
        </w:rPr>
        <w:drawing>
          <wp:inline distT="0" distB="0" distL="0" distR="0">
            <wp:extent cx="2600960" cy="3235325"/>
            <wp:effectExtent l="38100" t="0" r="889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41503" w:rsidRDefault="00941503" w:rsidP="005E4F17">
      <w:pPr>
        <w:spacing w:after="0"/>
      </w:pPr>
    </w:p>
    <w:p w:rsidR="00941503" w:rsidRDefault="00941503" w:rsidP="005E4F17">
      <w:pPr>
        <w:spacing w:after="0"/>
        <w:sectPr w:rsidR="00941503" w:rsidSect="00941503">
          <w:type w:val="continuous"/>
          <w:pgSz w:w="11906" w:h="16838"/>
          <w:pgMar w:top="1134" w:right="567" w:bottom="1134" w:left="1701" w:header="567" w:footer="567" w:gutter="0"/>
          <w:cols w:num="2" w:space="1298"/>
          <w:docGrid w:linePitch="360"/>
        </w:sectPr>
      </w:pPr>
    </w:p>
    <w:p w:rsidR="00FB0264" w:rsidRDefault="00941503" w:rsidP="00941503">
      <w:pPr>
        <w:tabs>
          <w:tab w:val="left" w:pos="4005"/>
        </w:tabs>
        <w:spacing w:after="0" w:line="360" w:lineRule="auto"/>
        <w:jc w:val="right"/>
        <w:rPr>
          <w:rFonts w:ascii="Times New Roman" w:hAnsi="Times New Roman" w:cs="Times New Roman"/>
          <w:b/>
          <w:sz w:val="24"/>
          <w:szCs w:val="24"/>
        </w:rPr>
      </w:pPr>
      <w:r>
        <w:rPr>
          <w:rFonts w:ascii="Times New Roman" w:hAnsi="Times New Roman" w:cs="Times New Roman"/>
          <w:sz w:val="20"/>
          <w:szCs w:val="20"/>
        </w:rPr>
        <w:tab/>
        <w:t>32</w:t>
      </w:r>
      <w:r w:rsidR="00C00E62" w:rsidRPr="00F30CAB">
        <w:rPr>
          <w:rFonts w:ascii="Times New Roman" w:hAnsi="Times New Roman" w:cs="Times New Roman"/>
          <w:sz w:val="20"/>
          <w:szCs w:val="20"/>
        </w:rPr>
        <w:t xml:space="preserve"> diagrama</w:t>
      </w:r>
    </w:p>
    <w:p w:rsidR="00320875" w:rsidRDefault="00320875" w:rsidP="00FB0264">
      <w:pPr>
        <w:tabs>
          <w:tab w:val="left" w:pos="993"/>
        </w:tabs>
        <w:spacing w:after="0" w:line="360" w:lineRule="auto"/>
        <w:jc w:val="center"/>
        <w:rPr>
          <w:rFonts w:ascii="Times New Roman" w:hAnsi="Times New Roman" w:cs="Times New Roman"/>
          <w:b/>
          <w:caps/>
          <w:sz w:val="24"/>
          <w:szCs w:val="24"/>
        </w:rPr>
      </w:pPr>
    </w:p>
    <w:p w:rsidR="00FB0264" w:rsidRDefault="00FB0264" w:rsidP="00FB0264">
      <w:pPr>
        <w:tabs>
          <w:tab w:val="left" w:pos="993"/>
        </w:tabs>
        <w:spacing w:after="0" w:line="360" w:lineRule="auto"/>
        <w:jc w:val="center"/>
        <w:rPr>
          <w:rFonts w:ascii="Times New Roman" w:hAnsi="Times New Roman" w:cs="Times New Roman"/>
          <w:b/>
          <w:sz w:val="24"/>
          <w:szCs w:val="24"/>
        </w:rPr>
      </w:pPr>
      <w:r w:rsidRPr="00FB0264">
        <w:rPr>
          <w:rFonts w:ascii="Times New Roman" w:hAnsi="Times New Roman" w:cs="Times New Roman"/>
          <w:b/>
          <w:caps/>
          <w:sz w:val="24"/>
          <w:szCs w:val="24"/>
        </w:rPr>
        <w:t>Laborator</w:t>
      </w:r>
      <w:r w:rsidR="00544D1B">
        <w:rPr>
          <w:rFonts w:ascii="Times New Roman" w:hAnsi="Times New Roman" w:cs="Times New Roman"/>
          <w:b/>
          <w:caps/>
          <w:sz w:val="24"/>
          <w:szCs w:val="24"/>
        </w:rPr>
        <w:t>inių tyrimų dinamika 2008 – 2015</w:t>
      </w:r>
      <w:r w:rsidRPr="00FB0264">
        <w:rPr>
          <w:rFonts w:ascii="Times New Roman" w:hAnsi="Times New Roman" w:cs="Times New Roman"/>
          <w:b/>
          <w:caps/>
          <w:sz w:val="24"/>
          <w:szCs w:val="24"/>
        </w:rPr>
        <w:t xml:space="preserve"> metais</w:t>
      </w:r>
    </w:p>
    <w:p w:rsidR="00FB0264" w:rsidRPr="00FB0264" w:rsidRDefault="00941503" w:rsidP="00C00E62">
      <w:pPr>
        <w:tabs>
          <w:tab w:val="left" w:pos="4005"/>
        </w:tabs>
        <w:spacing w:after="0" w:line="360" w:lineRule="auto"/>
        <w:ind w:firstLine="1276"/>
        <w:jc w:val="right"/>
        <w:rPr>
          <w:rFonts w:ascii="Times New Roman" w:hAnsi="Times New Roman" w:cs="Times New Roman"/>
          <w:b/>
          <w:sz w:val="24"/>
          <w:szCs w:val="24"/>
        </w:rPr>
      </w:pPr>
      <w:r>
        <w:rPr>
          <w:rFonts w:ascii="Times New Roman" w:hAnsi="Times New Roman" w:cs="Times New Roman"/>
          <w:sz w:val="20"/>
          <w:szCs w:val="20"/>
        </w:rPr>
        <w:t>33</w:t>
      </w:r>
      <w:r w:rsidR="00C00E62" w:rsidRPr="00F30CAB">
        <w:rPr>
          <w:rFonts w:ascii="Times New Roman" w:hAnsi="Times New Roman" w:cs="Times New Roman"/>
          <w:sz w:val="20"/>
          <w:szCs w:val="20"/>
        </w:rPr>
        <w:t xml:space="preserve"> diagrama</w:t>
      </w:r>
    </w:p>
    <w:p w:rsidR="00C00E62" w:rsidRDefault="00FB0264" w:rsidP="00FB0264">
      <w:pPr>
        <w:tabs>
          <w:tab w:val="left" w:pos="993"/>
        </w:tabs>
        <w:spacing w:after="0" w:line="360" w:lineRule="auto"/>
        <w:rPr>
          <w:rFonts w:ascii="Times New Roman" w:hAnsi="Times New Roman" w:cs="Times New Roman"/>
          <w:b/>
          <w:caps/>
          <w:sz w:val="24"/>
          <w:szCs w:val="24"/>
        </w:rPr>
      </w:pPr>
      <w:r w:rsidRPr="00FB0264">
        <w:rPr>
          <w:rFonts w:ascii="Times New Roman" w:hAnsi="Times New Roman" w:cs="Times New Roman"/>
          <w:b/>
          <w:caps/>
          <w:noProof/>
          <w:sz w:val="24"/>
          <w:szCs w:val="24"/>
          <w:lang w:eastAsia="lt-LT"/>
        </w:rPr>
        <w:drawing>
          <wp:inline distT="0" distB="0" distL="0" distR="0">
            <wp:extent cx="6120130" cy="3162300"/>
            <wp:effectExtent l="0" t="0" r="1397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356BE" w:rsidRPr="00544D1B" w:rsidRDefault="001A52D5" w:rsidP="001A52D5">
      <w:pPr>
        <w:tabs>
          <w:tab w:val="left" w:pos="99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260C08" w:rsidRPr="00544D1B">
        <w:rPr>
          <w:rFonts w:ascii="Times New Roman" w:hAnsi="Times New Roman" w:cs="Times New Roman"/>
          <w:sz w:val="24"/>
          <w:szCs w:val="24"/>
        </w:rPr>
        <w:t>S</w:t>
      </w:r>
      <w:r w:rsidR="007356BE" w:rsidRPr="00544D1B">
        <w:rPr>
          <w:rFonts w:ascii="Times New Roman" w:hAnsi="Times New Roman" w:cs="Times New Roman"/>
          <w:sz w:val="24"/>
          <w:szCs w:val="24"/>
        </w:rPr>
        <w:t xml:space="preserve">tacionarizuotų ligonių skaičius sumažėjęs, </w:t>
      </w:r>
      <w:r w:rsidR="00260C08" w:rsidRPr="00544D1B">
        <w:rPr>
          <w:rFonts w:ascii="Times New Roman" w:hAnsi="Times New Roman" w:cs="Times New Roman"/>
          <w:sz w:val="24"/>
          <w:szCs w:val="24"/>
        </w:rPr>
        <w:t xml:space="preserve">tačiau </w:t>
      </w:r>
      <w:r w:rsidR="007356BE" w:rsidRPr="00544D1B">
        <w:rPr>
          <w:rFonts w:ascii="Times New Roman" w:hAnsi="Times New Roman" w:cs="Times New Roman"/>
          <w:sz w:val="24"/>
          <w:szCs w:val="24"/>
        </w:rPr>
        <w:t>besikreipiančių ambulator</w:t>
      </w:r>
      <w:r w:rsidR="00260C08" w:rsidRPr="00544D1B">
        <w:rPr>
          <w:rFonts w:ascii="Times New Roman" w:hAnsi="Times New Roman" w:cs="Times New Roman"/>
          <w:sz w:val="24"/>
          <w:szCs w:val="24"/>
        </w:rPr>
        <w:t>iškai pacientų skaičius didesnis</w:t>
      </w:r>
      <w:r w:rsidR="007356BE" w:rsidRPr="00544D1B">
        <w:rPr>
          <w:rFonts w:ascii="Times New Roman" w:hAnsi="Times New Roman" w:cs="Times New Roman"/>
          <w:sz w:val="24"/>
          <w:szCs w:val="24"/>
        </w:rPr>
        <w:t xml:space="preserve"> lyginant su 201</w:t>
      </w:r>
      <w:r w:rsidR="00260C08" w:rsidRPr="00544D1B">
        <w:rPr>
          <w:rFonts w:ascii="Times New Roman" w:hAnsi="Times New Roman" w:cs="Times New Roman"/>
          <w:sz w:val="24"/>
          <w:szCs w:val="24"/>
        </w:rPr>
        <w:t>4</w:t>
      </w:r>
      <w:r w:rsidR="007356BE" w:rsidRPr="00544D1B">
        <w:rPr>
          <w:rFonts w:ascii="Times New Roman" w:hAnsi="Times New Roman" w:cs="Times New Roman"/>
          <w:sz w:val="24"/>
          <w:szCs w:val="24"/>
        </w:rPr>
        <w:t xml:space="preserve"> metais, </w:t>
      </w:r>
      <w:r w:rsidR="00260C08" w:rsidRPr="00544D1B">
        <w:rPr>
          <w:rFonts w:ascii="Times New Roman" w:hAnsi="Times New Roman" w:cs="Times New Roman"/>
          <w:sz w:val="24"/>
          <w:szCs w:val="24"/>
        </w:rPr>
        <w:t xml:space="preserve">vis dėlto </w:t>
      </w:r>
      <w:r w:rsidR="007356BE" w:rsidRPr="00544D1B">
        <w:rPr>
          <w:rFonts w:ascii="Times New Roman" w:hAnsi="Times New Roman" w:cs="Times New Roman"/>
          <w:sz w:val="24"/>
          <w:szCs w:val="24"/>
        </w:rPr>
        <w:t xml:space="preserve">stebimas laboratorinių tyrimų skaičiaus </w:t>
      </w:r>
      <w:r w:rsidR="00260C08" w:rsidRPr="00544D1B">
        <w:rPr>
          <w:rFonts w:ascii="Times New Roman" w:hAnsi="Times New Roman" w:cs="Times New Roman"/>
          <w:sz w:val="24"/>
          <w:szCs w:val="24"/>
        </w:rPr>
        <w:t>nežymus maž</w:t>
      </w:r>
      <w:r w:rsidR="007356BE" w:rsidRPr="00544D1B">
        <w:rPr>
          <w:rFonts w:ascii="Times New Roman" w:hAnsi="Times New Roman" w:cs="Times New Roman"/>
          <w:sz w:val="24"/>
          <w:szCs w:val="24"/>
        </w:rPr>
        <w:t xml:space="preserve">ėjimas. </w:t>
      </w:r>
    </w:p>
    <w:p w:rsidR="006F2BFD" w:rsidRPr="007356BE" w:rsidRDefault="006F2BFD" w:rsidP="00FB0264">
      <w:pPr>
        <w:tabs>
          <w:tab w:val="left" w:pos="993"/>
        </w:tabs>
        <w:spacing w:after="0" w:line="360" w:lineRule="auto"/>
        <w:rPr>
          <w:rFonts w:ascii="Times New Roman" w:hAnsi="Times New Roman" w:cs="Times New Roman"/>
          <w:b/>
          <w:caps/>
          <w:sz w:val="24"/>
          <w:szCs w:val="24"/>
        </w:rPr>
      </w:pPr>
    </w:p>
    <w:p w:rsidR="00972DCE" w:rsidRDefault="00972DCE" w:rsidP="00972DCE">
      <w:pPr>
        <w:tabs>
          <w:tab w:val="left" w:pos="993"/>
        </w:tabs>
        <w:spacing w:after="0" w:line="360" w:lineRule="auto"/>
        <w:jc w:val="center"/>
        <w:rPr>
          <w:rFonts w:ascii="Times New Roman" w:hAnsi="Times New Roman" w:cs="Times New Roman"/>
          <w:b/>
          <w:sz w:val="24"/>
          <w:szCs w:val="24"/>
        </w:rPr>
      </w:pPr>
      <w:r w:rsidRPr="00DB0DD6">
        <w:rPr>
          <w:rFonts w:ascii="Times New Roman" w:hAnsi="Times New Roman" w:cs="Times New Roman"/>
          <w:b/>
          <w:sz w:val="24"/>
          <w:szCs w:val="24"/>
        </w:rPr>
        <w:t xml:space="preserve">VšĮ Molėtų ligoninės </w:t>
      </w:r>
      <w:r w:rsidR="00721C73">
        <w:rPr>
          <w:rFonts w:ascii="Times New Roman" w:hAnsi="Times New Roman" w:cs="Times New Roman"/>
          <w:b/>
          <w:sz w:val="24"/>
          <w:szCs w:val="24"/>
        </w:rPr>
        <w:t>skyrių pajamų struktūra 2013</w:t>
      </w:r>
      <w:r w:rsidR="005F4171">
        <w:rPr>
          <w:rFonts w:ascii="Times New Roman" w:hAnsi="Times New Roman" w:cs="Times New Roman"/>
          <w:b/>
          <w:sz w:val="24"/>
          <w:szCs w:val="24"/>
        </w:rPr>
        <w:t xml:space="preserve"> – </w:t>
      </w:r>
      <w:r w:rsidRPr="00DB0DD6">
        <w:rPr>
          <w:rFonts w:ascii="Times New Roman" w:hAnsi="Times New Roman" w:cs="Times New Roman"/>
          <w:b/>
          <w:sz w:val="24"/>
          <w:szCs w:val="24"/>
        </w:rPr>
        <w:t xml:space="preserve"> 201</w:t>
      </w:r>
      <w:r w:rsidR="00721C73">
        <w:rPr>
          <w:rFonts w:ascii="Times New Roman" w:hAnsi="Times New Roman" w:cs="Times New Roman"/>
          <w:b/>
          <w:sz w:val="24"/>
          <w:szCs w:val="24"/>
        </w:rPr>
        <w:t>5</w:t>
      </w:r>
      <w:r w:rsidRPr="00DB0DD6">
        <w:rPr>
          <w:rFonts w:ascii="Times New Roman" w:hAnsi="Times New Roman" w:cs="Times New Roman"/>
          <w:b/>
          <w:sz w:val="24"/>
          <w:szCs w:val="24"/>
        </w:rPr>
        <w:t xml:space="preserve"> metus</w:t>
      </w:r>
      <w:r w:rsidR="00CA4822" w:rsidRPr="00DB0DD6">
        <w:rPr>
          <w:rFonts w:ascii="Times New Roman" w:hAnsi="Times New Roman" w:cs="Times New Roman"/>
          <w:b/>
          <w:sz w:val="24"/>
          <w:szCs w:val="24"/>
        </w:rPr>
        <w:t>:</w:t>
      </w:r>
    </w:p>
    <w:p w:rsidR="00052E4B" w:rsidRDefault="00941503" w:rsidP="00052E4B">
      <w:pPr>
        <w:tabs>
          <w:tab w:val="left" w:pos="4005"/>
        </w:tabs>
        <w:spacing w:after="0" w:line="360" w:lineRule="auto"/>
        <w:ind w:firstLine="1276"/>
        <w:jc w:val="right"/>
        <w:rPr>
          <w:rFonts w:ascii="Times New Roman" w:hAnsi="Times New Roman" w:cs="Times New Roman"/>
          <w:sz w:val="20"/>
          <w:szCs w:val="20"/>
        </w:rPr>
      </w:pPr>
      <w:r>
        <w:rPr>
          <w:rFonts w:ascii="Times New Roman" w:hAnsi="Times New Roman" w:cs="Times New Roman"/>
          <w:sz w:val="20"/>
          <w:szCs w:val="20"/>
        </w:rPr>
        <w:t>34</w:t>
      </w:r>
      <w:r w:rsidR="00052E4B" w:rsidRPr="00F30CAB">
        <w:rPr>
          <w:rFonts w:ascii="Times New Roman" w:hAnsi="Times New Roman" w:cs="Times New Roman"/>
          <w:sz w:val="20"/>
          <w:szCs w:val="20"/>
        </w:rPr>
        <w:t xml:space="preserve"> diagrama</w:t>
      </w:r>
    </w:p>
    <w:p w:rsidR="0060017A" w:rsidRPr="00DB0DD6" w:rsidRDefault="0060017A" w:rsidP="0060017A">
      <w:pPr>
        <w:tabs>
          <w:tab w:val="left" w:pos="4005"/>
        </w:tabs>
        <w:spacing w:after="0" w:line="360" w:lineRule="auto"/>
        <w:jc w:val="right"/>
        <w:rPr>
          <w:rFonts w:ascii="Times New Roman" w:hAnsi="Times New Roman" w:cs="Times New Roman"/>
          <w:b/>
          <w:sz w:val="24"/>
          <w:szCs w:val="24"/>
        </w:rPr>
      </w:pPr>
      <w:r>
        <w:rPr>
          <w:noProof/>
          <w:lang w:eastAsia="lt-LT"/>
        </w:rPr>
        <w:drawing>
          <wp:inline distT="0" distB="0" distL="0" distR="0" wp14:anchorId="32BD481C" wp14:editId="22843B0E">
            <wp:extent cx="6181725" cy="3257550"/>
            <wp:effectExtent l="0" t="0" r="952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F4171" w:rsidRDefault="005F4171" w:rsidP="005F4171">
      <w:pPr>
        <w:spacing w:after="0" w:line="360" w:lineRule="auto"/>
        <w:ind w:left="360" w:firstLine="633"/>
        <w:jc w:val="both"/>
        <w:rPr>
          <w:rFonts w:ascii="Times New Roman" w:hAnsi="Times New Roman" w:cs="Times New Roman"/>
          <w:sz w:val="24"/>
          <w:szCs w:val="24"/>
        </w:rPr>
      </w:pPr>
      <w:r w:rsidRPr="005F4171">
        <w:rPr>
          <w:rFonts w:ascii="Times New Roman" w:hAnsi="Times New Roman" w:cs="Times New Roman"/>
          <w:sz w:val="24"/>
          <w:szCs w:val="24"/>
        </w:rPr>
        <w:t>Didžiausios pajamos visais metais gaunamos iš Vidaus ligų skyriaus</w:t>
      </w:r>
      <w:r>
        <w:rPr>
          <w:rFonts w:ascii="Times New Roman" w:hAnsi="Times New Roman" w:cs="Times New Roman"/>
          <w:sz w:val="24"/>
          <w:szCs w:val="24"/>
        </w:rPr>
        <w:t>.</w:t>
      </w:r>
    </w:p>
    <w:p w:rsidR="00052E4B" w:rsidRDefault="00052E4B" w:rsidP="005F4171">
      <w:pPr>
        <w:spacing w:after="0" w:line="360" w:lineRule="auto"/>
        <w:ind w:left="360" w:firstLine="633"/>
        <w:jc w:val="both"/>
        <w:rPr>
          <w:rFonts w:ascii="Times New Roman" w:hAnsi="Times New Roman" w:cs="Times New Roman"/>
          <w:sz w:val="24"/>
          <w:szCs w:val="24"/>
        </w:rPr>
      </w:pPr>
    </w:p>
    <w:p w:rsidR="005F4171" w:rsidRDefault="005F4171" w:rsidP="005F4171">
      <w:pPr>
        <w:tabs>
          <w:tab w:val="left" w:pos="993"/>
        </w:tabs>
        <w:spacing w:after="0" w:line="360" w:lineRule="auto"/>
        <w:jc w:val="center"/>
        <w:rPr>
          <w:rFonts w:ascii="Times New Roman" w:hAnsi="Times New Roman" w:cs="Times New Roman"/>
          <w:b/>
          <w:sz w:val="24"/>
          <w:szCs w:val="24"/>
        </w:rPr>
      </w:pPr>
      <w:r w:rsidRPr="00DB0DD6">
        <w:rPr>
          <w:rFonts w:ascii="Times New Roman" w:hAnsi="Times New Roman" w:cs="Times New Roman"/>
          <w:b/>
          <w:sz w:val="24"/>
          <w:szCs w:val="24"/>
        </w:rPr>
        <w:t xml:space="preserve">VšĮ Molėtų ligoninės </w:t>
      </w:r>
      <w:r>
        <w:rPr>
          <w:rFonts w:ascii="Times New Roman" w:hAnsi="Times New Roman" w:cs="Times New Roman"/>
          <w:b/>
          <w:sz w:val="24"/>
          <w:szCs w:val="24"/>
        </w:rPr>
        <w:t xml:space="preserve">skyrių </w:t>
      </w:r>
      <w:r w:rsidR="008818BB">
        <w:rPr>
          <w:rFonts w:ascii="Times New Roman" w:hAnsi="Times New Roman" w:cs="Times New Roman"/>
          <w:b/>
          <w:sz w:val="24"/>
          <w:szCs w:val="24"/>
        </w:rPr>
        <w:t>sąnaudų</w:t>
      </w:r>
      <w:r w:rsidR="003D7AB4">
        <w:rPr>
          <w:rFonts w:ascii="Times New Roman" w:hAnsi="Times New Roman" w:cs="Times New Roman"/>
          <w:b/>
          <w:sz w:val="24"/>
          <w:szCs w:val="24"/>
        </w:rPr>
        <w:t xml:space="preserve"> struktūra 2013</w:t>
      </w:r>
      <w:r>
        <w:rPr>
          <w:rFonts w:ascii="Times New Roman" w:hAnsi="Times New Roman" w:cs="Times New Roman"/>
          <w:b/>
          <w:sz w:val="24"/>
          <w:szCs w:val="24"/>
        </w:rPr>
        <w:t xml:space="preserve"> – </w:t>
      </w:r>
      <w:r w:rsidR="003D7AB4">
        <w:rPr>
          <w:rFonts w:ascii="Times New Roman" w:hAnsi="Times New Roman" w:cs="Times New Roman"/>
          <w:b/>
          <w:sz w:val="24"/>
          <w:szCs w:val="24"/>
        </w:rPr>
        <w:t xml:space="preserve"> 2015</w:t>
      </w:r>
      <w:r w:rsidRPr="00DB0DD6">
        <w:rPr>
          <w:rFonts w:ascii="Times New Roman" w:hAnsi="Times New Roman" w:cs="Times New Roman"/>
          <w:b/>
          <w:sz w:val="24"/>
          <w:szCs w:val="24"/>
        </w:rPr>
        <w:t xml:space="preserve"> metus:</w:t>
      </w:r>
    </w:p>
    <w:p w:rsidR="00052E4B" w:rsidRDefault="00052E4B" w:rsidP="00052E4B">
      <w:pPr>
        <w:tabs>
          <w:tab w:val="left" w:pos="4005"/>
        </w:tabs>
        <w:spacing w:after="0" w:line="360" w:lineRule="auto"/>
        <w:ind w:firstLine="1276"/>
        <w:jc w:val="right"/>
        <w:rPr>
          <w:rFonts w:ascii="Times New Roman" w:hAnsi="Times New Roman" w:cs="Times New Roman"/>
          <w:sz w:val="20"/>
          <w:szCs w:val="20"/>
        </w:rPr>
      </w:pPr>
      <w:r>
        <w:rPr>
          <w:rFonts w:ascii="Times New Roman" w:hAnsi="Times New Roman" w:cs="Times New Roman"/>
          <w:sz w:val="20"/>
          <w:szCs w:val="20"/>
        </w:rPr>
        <w:t>3</w:t>
      </w:r>
      <w:r w:rsidR="00941503">
        <w:rPr>
          <w:rFonts w:ascii="Times New Roman" w:hAnsi="Times New Roman" w:cs="Times New Roman"/>
          <w:sz w:val="20"/>
          <w:szCs w:val="20"/>
        </w:rPr>
        <w:t>5</w:t>
      </w:r>
      <w:r w:rsidRPr="00F30CAB">
        <w:rPr>
          <w:rFonts w:ascii="Times New Roman" w:hAnsi="Times New Roman" w:cs="Times New Roman"/>
          <w:sz w:val="20"/>
          <w:szCs w:val="20"/>
        </w:rPr>
        <w:t xml:space="preserve"> diagrama</w:t>
      </w:r>
    </w:p>
    <w:p w:rsidR="00E3381E" w:rsidRPr="005F4171" w:rsidRDefault="00E3381E" w:rsidP="00E3381E">
      <w:pPr>
        <w:tabs>
          <w:tab w:val="left" w:pos="4005"/>
        </w:tabs>
        <w:spacing w:after="0" w:line="360" w:lineRule="auto"/>
        <w:jc w:val="right"/>
        <w:rPr>
          <w:rFonts w:ascii="Times New Roman" w:hAnsi="Times New Roman" w:cs="Times New Roman"/>
          <w:b/>
          <w:sz w:val="24"/>
          <w:szCs w:val="24"/>
        </w:rPr>
      </w:pPr>
      <w:r>
        <w:rPr>
          <w:noProof/>
          <w:lang w:eastAsia="lt-LT"/>
        </w:rPr>
        <w:drawing>
          <wp:inline distT="0" distB="0" distL="0" distR="0" wp14:anchorId="79D48B23" wp14:editId="69EAAC4F">
            <wp:extent cx="5991225" cy="2990850"/>
            <wp:effectExtent l="0" t="0" r="9525"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A4822" w:rsidRDefault="008818BB" w:rsidP="008818BB">
      <w:pPr>
        <w:spacing w:after="0" w:line="360" w:lineRule="auto"/>
        <w:ind w:firstLine="1134"/>
        <w:rPr>
          <w:rFonts w:ascii="Times New Roman" w:hAnsi="Times New Roman" w:cs="Times New Roman"/>
          <w:sz w:val="24"/>
          <w:szCs w:val="24"/>
        </w:rPr>
      </w:pPr>
      <w:r>
        <w:rPr>
          <w:rFonts w:ascii="Times New Roman" w:hAnsi="Times New Roman" w:cs="Times New Roman"/>
          <w:color w:val="FF0000"/>
          <w:sz w:val="24"/>
          <w:szCs w:val="24"/>
        </w:rPr>
        <w:tab/>
      </w:r>
      <w:r w:rsidRPr="006A5C17">
        <w:rPr>
          <w:rFonts w:ascii="Times New Roman" w:hAnsi="Times New Roman" w:cs="Times New Roman"/>
          <w:sz w:val="24"/>
          <w:szCs w:val="24"/>
        </w:rPr>
        <w:t>Didžiausios sąnaudos visais metais Konsultacinėje poliklinikoje.</w:t>
      </w:r>
    </w:p>
    <w:p w:rsidR="009061C6" w:rsidRDefault="00972DCE" w:rsidP="009061C6">
      <w:pPr>
        <w:pStyle w:val="Sraopastraipa"/>
        <w:numPr>
          <w:ilvl w:val="0"/>
          <w:numId w:val="4"/>
        </w:numPr>
        <w:spacing w:after="0" w:line="360" w:lineRule="auto"/>
        <w:jc w:val="center"/>
        <w:rPr>
          <w:rFonts w:ascii="Times New Roman" w:hAnsi="Times New Roman" w:cs="Times New Roman"/>
          <w:b/>
          <w:sz w:val="24"/>
          <w:szCs w:val="24"/>
        </w:rPr>
      </w:pPr>
      <w:r w:rsidRPr="00972DCE">
        <w:rPr>
          <w:rFonts w:ascii="Times New Roman" w:hAnsi="Times New Roman" w:cs="Times New Roman"/>
          <w:b/>
          <w:sz w:val="24"/>
          <w:szCs w:val="24"/>
        </w:rPr>
        <w:lastRenderedPageBreak/>
        <w:t>ŽMOGIŠKIEJI IŠTEKLIAI</w:t>
      </w:r>
    </w:p>
    <w:p w:rsidR="000F5EC6" w:rsidRPr="000F5EC6" w:rsidRDefault="000F5EC6" w:rsidP="000F5EC6">
      <w:pPr>
        <w:pStyle w:val="Sraopastraipa"/>
        <w:spacing w:after="0" w:line="360" w:lineRule="auto"/>
        <w:ind w:left="1080"/>
        <w:rPr>
          <w:rFonts w:ascii="Times New Roman" w:hAnsi="Times New Roman" w:cs="Times New Roman"/>
          <w:b/>
          <w:sz w:val="24"/>
          <w:szCs w:val="24"/>
        </w:rPr>
      </w:pPr>
    </w:p>
    <w:p w:rsidR="000F5EC6" w:rsidRPr="000F5EC6" w:rsidRDefault="000F5EC6" w:rsidP="000F5EC6">
      <w:pPr>
        <w:spacing w:after="0" w:line="360" w:lineRule="auto"/>
        <w:ind w:firstLine="1080"/>
        <w:jc w:val="both"/>
        <w:rPr>
          <w:rFonts w:ascii="Times New Roman" w:hAnsi="Times New Roman"/>
          <w:sz w:val="24"/>
          <w:szCs w:val="24"/>
        </w:rPr>
      </w:pPr>
      <w:r w:rsidRPr="000F5EC6">
        <w:rPr>
          <w:rFonts w:ascii="Times New Roman" w:hAnsi="Times New Roman"/>
          <w:sz w:val="24"/>
          <w:szCs w:val="24"/>
        </w:rPr>
        <w:t>2015 metais įstaigos vidutinis dirbančiųjų skaičius 161, vidutinis metinis darbo užmokestis dirbančiajam 495 Eur./ mėn.</w:t>
      </w:r>
    </w:p>
    <w:p w:rsidR="000F5EC6" w:rsidRPr="00F2793C" w:rsidRDefault="000F5EC6" w:rsidP="000F5EC6">
      <w:pPr>
        <w:spacing w:after="0" w:line="360" w:lineRule="auto"/>
        <w:ind w:firstLine="1080"/>
        <w:jc w:val="both"/>
        <w:rPr>
          <w:rFonts w:ascii="Times New Roman" w:hAnsi="Times New Roman"/>
          <w:color w:val="4F81BD"/>
          <w:sz w:val="24"/>
          <w:szCs w:val="24"/>
        </w:rPr>
      </w:pPr>
      <w:r w:rsidRPr="000F5EC6">
        <w:rPr>
          <w:rFonts w:ascii="Times New Roman" w:hAnsi="Times New Roman"/>
          <w:sz w:val="24"/>
          <w:szCs w:val="24"/>
        </w:rPr>
        <w:t>Patvirtinta 90 pareigybių. Iš jų 132,635 etatai, iš kurių yra gydytojų, slaugytojų, valytojų ir kito personalo</w:t>
      </w:r>
      <w:r w:rsidRPr="00F2793C">
        <w:rPr>
          <w:rFonts w:ascii="Times New Roman" w:hAnsi="Times New Roman"/>
          <w:color w:val="4F81BD"/>
          <w:sz w:val="24"/>
          <w:szCs w:val="24"/>
        </w:rPr>
        <w:t xml:space="preserve">. </w:t>
      </w:r>
    </w:p>
    <w:p w:rsidR="00BC2A62" w:rsidRDefault="00BC2A62" w:rsidP="00BC2A62">
      <w:pPr>
        <w:spacing w:after="0" w:line="360" w:lineRule="auto"/>
        <w:ind w:firstLine="1080"/>
        <w:jc w:val="center"/>
        <w:rPr>
          <w:rFonts w:ascii="Times New Roman" w:hAnsi="Times New Roman" w:cs="Times New Roman"/>
          <w:sz w:val="24"/>
          <w:szCs w:val="24"/>
        </w:rPr>
      </w:pPr>
    </w:p>
    <w:p w:rsidR="00BC2A62" w:rsidRPr="00BC2A62" w:rsidRDefault="00BC2A62" w:rsidP="00BC2A62">
      <w:pPr>
        <w:pStyle w:val="Sraopastraipa"/>
        <w:numPr>
          <w:ilvl w:val="0"/>
          <w:numId w:val="4"/>
        </w:numPr>
        <w:spacing w:after="0" w:line="360" w:lineRule="auto"/>
        <w:jc w:val="center"/>
        <w:rPr>
          <w:rFonts w:ascii="Times New Roman" w:hAnsi="Times New Roman" w:cs="Times New Roman"/>
          <w:b/>
          <w:sz w:val="24"/>
          <w:szCs w:val="24"/>
        </w:rPr>
      </w:pPr>
      <w:r w:rsidRPr="00BC2A62">
        <w:rPr>
          <w:rFonts w:ascii="Times New Roman" w:hAnsi="Times New Roman" w:cs="Times New Roman"/>
          <w:b/>
          <w:sz w:val="24"/>
          <w:szCs w:val="24"/>
        </w:rPr>
        <w:t xml:space="preserve">VALDYMO SĄNAUDOS </w:t>
      </w:r>
    </w:p>
    <w:p w:rsidR="00BC2A62" w:rsidRDefault="00BC2A62" w:rsidP="00BC2A62">
      <w:pPr>
        <w:pStyle w:val="Sraopastraipa"/>
        <w:spacing w:after="0" w:line="360" w:lineRule="auto"/>
        <w:ind w:left="1080"/>
        <w:rPr>
          <w:rFonts w:ascii="Times New Roman" w:hAnsi="Times New Roman" w:cs="Times New Roman"/>
          <w:b/>
          <w:sz w:val="24"/>
          <w:szCs w:val="24"/>
        </w:rPr>
      </w:pPr>
    </w:p>
    <w:p w:rsidR="006A0624" w:rsidRPr="002B5975" w:rsidRDefault="00D722E1" w:rsidP="00BC2A62">
      <w:pPr>
        <w:pStyle w:val="Sraopastraipa"/>
        <w:spacing w:after="0" w:line="360" w:lineRule="auto"/>
        <w:ind w:left="0" w:firstLine="1134"/>
        <w:jc w:val="both"/>
        <w:rPr>
          <w:rFonts w:ascii="Times New Roman" w:hAnsi="Times New Roman" w:cs="Times New Roman"/>
          <w:sz w:val="24"/>
          <w:szCs w:val="24"/>
        </w:rPr>
      </w:pPr>
      <w:r w:rsidRPr="002B5975">
        <w:rPr>
          <w:rFonts w:ascii="Times New Roman" w:hAnsi="Times New Roman" w:cs="Times New Roman"/>
          <w:sz w:val="24"/>
          <w:szCs w:val="24"/>
        </w:rPr>
        <w:t xml:space="preserve">Per ataskaitinį laikotarpį esminių pokyčių valdymo sąnaudose neįvyko. </w:t>
      </w:r>
      <w:r w:rsidR="002B5975" w:rsidRPr="002B5975">
        <w:rPr>
          <w:rFonts w:ascii="Times New Roman" w:hAnsi="Times New Roman" w:cs="Times New Roman"/>
          <w:sz w:val="24"/>
          <w:szCs w:val="24"/>
        </w:rPr>
        <w:t xml:space="preserve">Bendros darbo užmokesčio ir socialinio draudimo valdymo sąnaudos 2015 metais sudarė 45588 Eur. </w:t>
      </w:r>
    </w:p>
    <w:p w:rsidR="00320875" w:rsidRDefault="00320875" w:rsidP="00320875">
      <w:pPr>
        <w:pStyle w:val="Sraopastraipa"/>
        <w:spacing w:after="0" w:line="360" w:lineRule="auto"/>
        <w:ind w:left="1080"/>
        <w:rPr>
          <w:rFonts w:ascii="Times New Roman" w:hAnsi="Times New Roman" w:cs="Times New Roman"/>
          <w:b/>
          <w:sz w:val="24"/>
          <w:szCs w:val="24"/>
        </w:rPr>
      </w:pPr>
    </w:p>
    <w:p w:rsidR="006A0624" w:rsidRDefault="006A0624" w:rsidP="006A0624">
      <w:pPr>
        <w:pStyle w:val="Sraopastraipa"/>
        <w:numPr>
          <w:ilvl w:val="0"/>
          <w:numId w:val="4"/>
        </w:numPr>
        <w:spacing w:after="0" w:line="360" w:lineRule="auto"/>
        <w:jc w:val="center"/>
        <w:rPr>
          <w:rFonts w:ascii="Times New Roman" w:hAnsi="Times New Roman" w:cs="Times New Roman"/>
          <w:b/>
          <w:sz w:val="24"/>
          <w:szCs w:val="24"/>
        </w:rPr>
      </w:pPr>
      <w:r w:rsidRPr="006A0624">
        <w:rPr>
          <w:rFonts w:ascii="Times New Roman" w:hAnsi="Times New Roman" w:cs="Times New Roman"/>
          <w:b/>
          <w:sz w:val="24"/>
          <w:szCs w:val="24"/>
        </w:rPr>
        <w:t xml:space="preserve">ILGALAIKIO TURTO ĮSIGIJIMAS </w:t>
      </w:r>
    </w:p>
    <w:p w:rsidR="006A0624" w:rsidRDefault="006A0624" w:rsidP="006A0624">
      <w:pPr>
        <w:spacing w:after="0" w:line="360" w:lineRule="auto"/>
        <w:jc w:val="center"/>
        <w:rPr>
          <w:rFonts w:ascii="Times New Roman" w:hAnsi="Times New Roman" w:cs="Times New Roman"/>
          <w:b/>
          <w:sz w:val="24"/>
          <w:szCs w:val="24"/>
        </w:rPr>
      </w:pPr>
    </w:p>
    <w:p w:rsidR="000F5EC6" w:rsidRPr="000F5EC6" w:rsidRDefault="000F5EC6" w:rsidP="000F5EC6">
      <w:pPr>
        <w:spacing w:after="0" w:line="360" w:lineRule="auto"/>
        <w:ind w:firstLine="1134"/>
        <w:jc w:val="both"/>
        <w:rPr>
          <w:rFonts w:ascii="Times New Roman" w:hAnsi="Times New Roman"/>
          <w:sz w:val="24"/>
          <w:szCs w:val="24"/>
        </w:rPr>
      </w:pPr>
      <w:r w:rsidRPr="000F5EC6">
        <w:rPr>
          <w:rFonts w:ascii="Times New Roman" w:hAnsi="Times New Roman"/>
          <w:sz w:val="24"/>
          <w:szCs w:val="24"/>
        </w:rPr>
        <w:t xml:space="preserve">Viešoji įstaiga ligoninė per 2015 metus įsigijo ilgalaikio materialiojo turto už </w:t>
      </w:r>
      <w:r w:rsidRPr="000F5EC6">
        <w:rPr>
          <w:rFonts w:ascii="Times New Roman" w:hAnsi="Times New Roman"/>
          <w:b/>
          <w:sz w:val="24"/>
          <w:szCs w:val="24"/>
        </w:rPr>
        <w:t>5745,16 eur</w:t>
      </w:r>
      <w:r w:rsidRPr="000F5EC6">
        <w:rPr>
          <w:rFonts w:ascii="Times New Roman" w:hAnsi="Times New Roman"/>
          <w:sz w:val="24"/>
          <w:szCs w:val="24"/>
        </w:rPr>
        <w:t xml:space="preserve">., iš jų: </w:t>
      </w:r>
    </w:p>
    <w:p w:rsidR="000F5EC6" w:rsidRPr="000F5EC6" w:rsidRDefault="000F5EC6" w:rsidP="000F5EC6">
      <w:pPr>
        <w:spacing w:after="0" w:line="360" w:lineRule="auto"/>
        <w:ind w:firstLine="1134"/>
        <w:jc w:val="both"/>
        <w:rPr>
          <w:rFonts w:ascii="Times New Roman" w:hAnsi="Times New Roman"/>
          <w:sz w:val="24"/>
          <w:szCs w:val="24"/>
        </w:rPr>
      </w:pPr>
      <w:r w:rsidRPr="000F5EC6">
        <w:rPr>
          <w:rFonts w:ascii="Times New Roman" w:hAnsi="Times New Roman"/>
          <w:sz w:val="24"/>
          <w:szCs w:val="24"/>
        </w:rPr>
        <w:t xml:space="preserve">paramos lėšomis už 1500 Eur. (Arterinis kraujo spaudimo matuoklis Mobilograph C20678), </w:t>
      </w:r>
    </w:p>
    <w:p w:rsidR="000F5EC6" w:rsidRPr="000F5EC6" w:rsidRDefault="000F5EC6" w:rsidP="000F5EC6">
      <w:pPr>
        <w:spacing w:after="0" w:line="360" w:lineRule="auto"/>
        <w:ind w:firstLine="1134"/>
        <w:jc w:val="both"/>
        <w:rPr>
          <w:rFonts w:ascii="Times New Roman" w:hAnsi="Times New Roman"/>
          <w:sz w:val="24"/>
          <w:szCs w:val="24"/>
        </w:rPr>
      </w:pPr>
      <w:r w:rsidRPr="000F5EC6">
        <w:rPr>
          <w:rFonts w:ascii="Times New Roman" w:hAnsi="Times New Roman"/>
          <w:sz w:val="24"/>
          <w:szCs w:val="24"/>
        </w:rPr>
        <w:t>ligoninės lėšomis – 4245.16 Eur. (Arterinis kraujo spaudimo matuoklis Mobilograph C20678 – 73 Eur, bandomieji rėmeliai UB4ESS304 – 549 Eur, kompiuterinė įranga (3 vnt.) – 1730 Eur., buhalterinė apskaitos programa – 1893.16 Eur.)</w:t>
      </w:r>
    </w:p>
    <w:p w:rsidR="000F5EC6" w:rsidRPr="000F5EC6" w:rsidRDefault="000F5EC6" w:rsidP="000F5EC6">
      <w:pPr>
        <w:spacing w:after="0" w:line="360" w:lineRule="auto"/>
        <w:ind w:left="1080"/>
        <w:jc w:val="both"/>
        <w:rPr>
          <w:rFonts w:ascii="Times New Roman" w:hAnsi="Times New Roman"/>
          <w:sz w:val="24"/>
          <w:szCs w:val="24"/>
        </w:rPr>
      </w:pPr>
      <w:r w:rsidRPr="000F5EC6">
        <w:rPr>
          <w:rFonts w:ascii="Times New Roman" w:hAnsi="Times New Roman"/>
          <w:sz w:val="24"/>
          <w:szCs w:val="24"/>
        </w:rPr>
        <w:t xml:space="preserve">Per finansinius metus įsigyto ilgalaikio materialaus turto neperleido. </w:t>
      </w:r>
    </w:p>
    <w:p w:rsidR="004F4047" w:rsidRPr="007A1DB5" w:rsidRDefault="004F4047" w:rsidP="00832A64">
      <w:pPr>
        <w:pStyle w:val="Sraopastraipa"/>
        <w:spacing w:line="360" w:lineRule="auto"/>
        <w:ind w:left="0" w:firstLine="1211"/>
        <w:rPr>
          <w:rFonts w:ascii="Times New Roman" w:hAnsi="Times New Roman" w:cs="Times New Roman"/>
          <w:color w:val="FF0000"/>
          <w:sz w:val="24"/>
          <w:szCs w:val="24"/>
        </w:rPr>
      </w:pPr>
    </w:p>
    <w:p w:rsidR="006A5C17" w:rsidRDefault="006A5C17" w:rsidP="006A5C17">
      <w:pPr>
        <w:pStyle w:val="Sraopastraipa"/>
        <w:numPr>
          <w:ilvl w:val="0"/>
          <w:numId w:val="4"/>
        </w:numPr>
        <w:jc w:val="center"/>
        <w:rPr>
          <w:rFonts w:ascii="Times New Roman" w:hAnsi="Times New Roman" w:cs="Times New Roman"/>
          <w:b/>
          <w:caps/>
          <w:sz w:val="24"/>
          <w:szCs w:val="24"/>
        </w:rPr>
      </w:pPr>
      <w:r>
        <w:rPr>
          <w:rFonts w:ascii="Times New Roman" w:hAnsi="Times New Roman" w:cs="Times New Roman"/>
          <w:b/>
          <w:caps/>
          <w:sz w:val="24"/>
          <w:szCs w:val="24"/>
        </w:rPr>
        <w:t>Ligoninės tikslai 201</w:t>
      </w:r>
      <w:r w:rsidR="000F5EC6">
        <w:rPr>
          <w:rFonts w:ascii="Times New Roman" w:hAnsi="Times New Roman" w:cs="Times New Roman"/>
          <w:b/>
          <w:caps/>
          <w:sz w:val="24"/>
          <w:szCs w:val="24"/>
        </w:rPr>
        <w:t>6</w:t>
      </w:r>
      <w:r>
        <w:rPr>
          <w:rFonts w:ascii="Times New Roman" w:hAnsi="Times New Roman" w:cs="Times New Roman"/>
          <w:b/>
          <w:caps/>
          <w:sz w:val="24"/>
          <w:szCs w:val="24"/>
        </w:rPr>
        <w:t xml:space="preserve"> metams </w:t>
      </w:r>
    </w:p>
    <w:p w:rsidR="006A5C17" w:rsidRPr="006A5C17" w:rsidRDefault="006A5C17" w:rsidP="006A5C17">
      <w:pPr>
        <w:pStyle w:val="Sraopastraipa"/>
        <w:ind w:left="1080"/>
        <w:rPr>
          <w:rFonts w:ascii="Times New Roman" w:hAnsi="Times New Roman" w:cs="Times New Roman"/>
          <w:b/>
          <w:caps/>
          <w:sz w:val="24"/>
          <w:szCs w:val="24"/>
        </w:rPr>
      </w:pPr>
    </w:p>
    <w:p w:rsidR="006A5C17" w:rsidRDefault="006A5C17" w:rsidP="006A5C17">
      <w:pPr>
        <w:pStyle w:val="Sraopastraipa"/>
        <w:numPr>
          <w:ilvl w:val="0"/>
          <w:numId w:val="12"/>
        </w:numPr>
        <w:spacing w:after="200" w:line="360" w:lineRule="auto"/>
        <w:rPr>
          <w:rFonts w:ascii="Times New Roman" w:hAnsi="Times New Roman" w:cs="Times New Roman"/>
          <w:sz w:val="24"/>
          <w:szCs w:val="24"/>
        </w:rPr>
      </w:pPr>
      <w:r>
        <w:rPr>
          <w:rFonts w:ascii="Times New Roman" w:hAnsi="Times New Roman" w:cs="Times New Roman"/>
          <w:sz w:val="24"/>
          <w:szCs w:val="24"/>
        </w:rPr>
        <w:t xml:space="preserve">Maksimaliai </w:t>
      </w:r>
      <w:r w:rsidR="006D5342">
        <w:rPr>
          <w:rFonts w:ascii="Times New Roman" w:hAnsi="Times New Roman" w:cs="Times New Roman"/>
          <w:sz w:val="24"/>
          <w:szCs w:val="24"/>
        </w:rPr>
        <w:t>optimizuoti</w:t>
      </w:r>
      <w:r>
        <w:rPr>
          <w:rFonts w:ascii="Times New Roman" w:hAnsi="Times New Roman" w:cs="Times New Roman"/>
          <w:sz w:val="24"/>
          <w:szCs w:val="24"/>
        </w:rPr>
        <w:t xml:space="preserve"> ligoninės valdymo išlaidas.</w:t>
      </w:r>
    </w:p>
    <w:p w:rsidR="006A5C17" w:rsidRDefault="00B74C3D" w:rsidP="006A5C17">
      <w:pPr>
        <w:pStyle w:val="Sraopastraipa"/>
        <w:numPr>
          <w:ilvl w:val="0"/>
          <w:numId w:val="12"/>
        </w:numPr>
        <w:spacing w:after="200" w:line="360" w:lineRule="auto"/>
        <w:rPr>
          <w:rFonts w:ascii="Times New Roman" w:hAnsi="Times New Roman" w:cs="Times New Roman"/>
          <w:sz w:val="24"/>
          <w:szCs w:val="24"/>
        </w:rPr>
      </w:pPr>
      <w:r>
        <w:rPr>
          <w:rFonts w:ascii="Times New Roman" w:hAnsi="Times New Roman" w:cs="Times New Roman"/>
          <w:sz w:val="24"/>
          <w:szCs w:val="24"/>
        </w:rPr>
        <w:t xml:space="preserve">Restruktūrizuoti vidaus ligų skyrių į </w:t>
      </w:r>
      <w:r w:rsidR="006D5342">
        <w:rPr>
          <w:rFonts w:ascii="Times New Roman" w:hAnsi="Times New Roman" w:cs="Times New Roman"/>
          <w:sz w:val="24"/>
          <w:szCs w:val="24"/>
        </w:rPr>
        <w:t xml:space="preserve"> geriatrijos ir vidau ligų skyrių su intensyvios terapijos ir dienos chirurgijos poskyriu.</w:t>
      </w:r>
    </w:p>
    <w:p w:rsidR="006D5342" w:rsidRDefault="006D5342" w:rsidP="006A5C17">
      <w:pPr>
        <w:pStyle w:val="Sraopastraipa"/>
        <w:numPr>
          <w:ilvl w:val="0"/>
          <w:numId w:val="12"/>
        </w:numPr>
        <w:spacing w:after="200" w:line="360" w:lineRule="auto"/>
        <w:rPr>
          <w:rFonts w:ascii="Times New Roman" w:hAnsi="Times New Roman" w:cs="Times New Roman"/>
          <w:sz w:val="24"/>
          <w:szCs w:val="24"/>
        </w:rPr>
      </w:pPr>
      <w:r>
        <w:rPr>
          <w:rFonts w:ascii="Times New Roman" w:hAnsi="Times New Roman" w:cs="Times New Roman"/>
          <w:sz w:val="24"/>
          <w:szCs w:val="24"/>
        </w:rPr>
        <w:t>Sumažinti aktyvaus gydymo lovų skaičių iki 32.</w:t>
      </w:r>
    </w:p>
    <w:p w:rsidR="006D5342" w:rsidRDefault="006D5342" w:rsidP="006A5C17">
      <w:pPr>
        <w:pStyle w:val="Sraopastraipa"/>
        <w:numPr>
          <w:ilvl w:val="0"/>
          <w:numId w:val="12"/>
        </w:numPr>
        <w:spacing w:after="200" w:line="360" w:lineRule="auto"/>
        <w:rPr>
          <w:rFonts w:ascii="Times New Roman" w:hAnsi="Times New Roman" w:cs="Times New Roman"/>
          <w:sz w:val="24"/>
          <w:szCs w:val="24"/>
        </w:rPr>
      </w:pPr>
      <w:r>
        <w:rPr>
          <w:rFonts w:ascii="Times New Roman" w:hAnsi="Times New Roman" w:cs="Times New Roman"/>
          <w:sz w:val="24"/>
          <w:szCs w:val="24"/>
        </w:rPr>
        <w:t>P</w:t>
      </w:r>
      <w:r w:rsidR="00B74C3D">
        <w:rPr>
          <w:rFonts w:ascii="Times New Roman" w:hAnsi="Times New Roman" w:cs="Times New Roman"/>
          <w:sz w:val="24"/>
          <w:szCs w:val="24"/>
        </w:rPr>
        <w:t xml:space="preserve">adidinti slaugos ir palaikomojo gydymo lovų skaičių iki 60. </w:t>
      </w:r>
    </w:p>
    <w:p w:rsidR="00FE4A48" w:rsidRDefault="00FE4A48" w:rsidP="006A5C17">
      <w:pPr>
        <w:pStyle w:val="Sraopastraipa"/>
        <w:numPr>
          <w:ilvl w:val="0"/>
          <w:numId w:val="12"/>
        </w:numPr>
        <w:spacing w:after="200" w:line="360" w:lineRule="auto"/>
        <w:rPr>
          <w:rFonts w:ascii="Times New Roman" w:hAnsi="Times New Roman" w:cs="Times New Roman"/>
          <w:sz w:val="24"/>
          <w:szCs w:val="24"/>
        </w:rPr>
      </w:pPr>
      <w:r>
        <w:rPr>
          <w:rFonts w:ascii="Times New Roman" w:hAnsi="Times New Roman" w:cs="Times New Roman"/>
          <w:sz w:val="24"/>
          <w:szCs w:val="24"/>
        </w:rPr>
        <w:t>Suburti anesteziologų –</w:t>
      </w:r>
      <w:r w:rsidR="000D2A06">
        <w:rPr>
          <w:rFonts w:ascii="Times New Roman" w:hAnsi="Times New Roman" w:cs="Times New Roman"/>
          <w:sz w:val="24"/>
          <w:szCs w:val="24"/>
        </w:rPr>
        <w:t xml:space="preserve"> </w:t>
      </w:r>
      <w:r>
        <w:rPr>
          <w:rFonts w:ascii="Times New Roman" w:hAnsi="Times New Roman" w:cs="Times New Roman"/>
          <w:sz w:val="24"/>
          <w:szCs w:val="24"/>
        </w:rPr>
        <w:t xml:space="preserve">reanimatologų komandą, kuri užtikrintų intensyvios terapijos paslaugų teikimą visą parą. </w:t>
      </w:r>
    </w:p>
    <w:p w:rsidR="00FE4A48" w:rsidRDefault="00FE4A48" w:rsidP="006A5C17">
      <w:pPr>
        <w:pStyle w:val="Sraopastraipa"/>
        <w:numPr>
          <w:ilvl w:val="0"/>
          <w:numId w:val="12"/>
        </w:numPr>
        <w:spacing w:after="200" w:line="360" w:lineRule="auto"/>
        <w:rPr>
          <w:rFonts w:ascii="Times New Roman" w:hAnsi="Times New Roman" w:cs="Times New Roman"/>
          <w:sz w:val="24"/>
          <w:szCs w:val="24"/>
        </w:rPr>
      </w:pPr>
      <w:r>
        <w:rPr>
          <w:rFonts w:ascii="Times New Roman" w:hAnsi="Times New Roman" w:cs="Times New Roman"/>
          <w:sz w:val="24"/>
          <w:szCs w:val="24"/>
        </w:rPr>
        <w:t xml:space="preserve">Optimizuoti laboratorijos darbo procesus įstaigoje bendradarbiaujant su Molėtų PSPC. </w:t>
      </w:r>
    </w:p>
    <w:p w:rsidR="006A5C17" w:rsidRDefault="00B74C3D" w:rsidP="006A5C17">
      <w:pPr>
        <w:pStyle w:val="Sraopastraipa"/>
        <w:numPr>
          <w:ilvl w:val="0"/>
          <w:numId w:val="12"/>
        </w:numPr>
        <w:spacing w:after="200" w:line="360" w:lineRule="auto"/>
        <w:rPr>
          <w:rFonts w:ascii="Times New Roman" w:hAnsi="Times New Roman" w:cs="Times New Roman"/>
          <w:sz w:val="24"/>
          <w:szCs w:val="24"/>
        </w:rPr>
      </w:pPr>
      <w:r>
        <w:rPr>
          <w:rFonts w:ascii="Times New Roman" w:hAnsi="Times New Roman" w:cs="Times New Roman"/>
          <w:sz w:val="24"/>
          <w:szCs w:val="24"/>
        </w:rPr>
        <w:t>To</w:t>
      </w:r>
      <w:r w:rsidR="006D5342">
        <w:rPr>
          <w:rFonts w:ascii="Times New Roman" w:hAnsi="Times New Roman" w:cs="Times New Roman"/>
          <w:sz w:val="24"/>
          <w:szCs w:val="24"/>
        </w:rPr>
        <w:t>liau i</w:t>
      </w:r>
      <w:r w:rsidR="006A5C17">
        <w:rPr>
          <w:rFonts w:ascii="Times New Roman" w:hAnsi="Times New Roman" w:cs="Times New Roman"/>
          <w:sz w:val="24"/>
          <w:szCs w:val="24"/>
        </w:rPr>
        <w:t>e</w:t>
      </w:r>
      <w:r w:rsidR="00FE4A48">
        <w:rPr>
          <w:rFonts w:ascii="Times New Roman" w:hAnsi="Times New Roman" w:cs="Times New Roman"/>
          <w:sz w:val="24"/>
          <w:szCs w:val="24"/>
        </w:rPr>
        <w:t>škoti finansinių galimybių didinti</w:t>
      </w:r>
      <w:r w:rsidR="006A5C17">
        <w:rPr>
          <w:rFonts w:ascii="Times New Roman" w:hAnsi="Times New Roman" w:cs="Times New Roman"/>
          <w:sz w:val="24"/>
          <w:szCs w:val="24"/>
        </w:rPr>
        <w:t xml:space="preserve"> atlyginimus bendrosios praktikos slaugytojoms.</w:t>
      </w:r>
    </w:p>
    <w:p w:rsidR="006A5C17" w:rsidRPr="009B0D15" w:rsidRDefault="006A5C17" w:rsidP="006A5C17">
      <w:pPr>
        <w:pStyle w:val="Sraopastraipa"/>
        <w:numPr>
          <w:ilvl w:val="0"/>
          <w:numId w:val="12"/>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Įsi</w:t>
      </w:r>
      <w:r w:rsidR="006D5342">
        <w:rPr>
          <w:rFonts w:ascii="Times New Roman" w:hAnsi="Times New Roman" w:cs="Times New Roman"/>
          <w:sz w:val="24"/>
          <w:szCs w:val="24"/>
        </w:rPr>
        <w:t>savinti iš valstybės biudžeto  apie 75</w:t>
      </w:r>
      <w:r>
        <w:rPr>
          <w:rFonts w:ascii="Times New Roman" w:hAnsi="Times New Roman" w:cs="Times New Roman"/>
          <w:sz w:val="24"/>
          <w:szCs w:val="24"/>
        </w:rPr>
        <w:t xml:space="preserve">.000 eurų, skirtų  sveikatos priežiūros įstaigų pastatų ir jų inžinierinių tinklų atnaujinimo, rekonstravimo ir modernizavimo investicijų projektų įgyvendinimo programai. </w:t>
      </w:r>
    </w:p>
    <w:p w:rsidR="006A5C17" w:rsidRDefault="006A5C17" w:rsidP="006A5C17">
      <w:pPr>
        <w:pStyle w:val="Sraopastraipa"/>
        <w:numPr>
          <w:ilvl w:val="0"/>
          <w:numId w:val="12"/>
        </w:numPr>
        <w:spacing w:after="200" w:line="360" w:lineRule="auto"/>
        <w:rPr>
          <w:rFonts w:ascii="Times New Roman" w:hAnsi="Times New Roman" w:cs="Times New Roman"/>
          <w:sz w:val="24"/>
          <w:szCs w:val="24"/>
        </w:rPr>
      </w:pPr>
      <w:r>
        <w:rPr>
          <w:rFonts w:ascii="Times New Roman" w:hAnsi="Times New Roman" w:cs="Times New Roman"/>
          <w:sz w:val="24"/>
          <w:szCs w:val="24"/>
        </w:rPr>
        <w:t>Pradėti teikti pal</w:t>
      </w:r>
      <w:r w:rsidR="00FA5A5C">
        <w:rPr>
          <w:rFonts w:ascii="Times New Roman" w:hAnsi="Times New Roman" w:cs="Times New Roman"/>
          <w:sz w:val="24"/>
          <w:szCs w:val="24"/>
        </w:rPr>
        <w:t>iatyviosios</w:t>
      </w:r>
      <w:r>
        <w:rPr>
          <w:rFonts w:ascii="Times New Roman" w:hAnsi="Times New Roman" w:cs="Times New Roman"/>
          <w:sz w:val="24"/>
          <w:szCs w:val="24"/>
        </w:rPr>
        <w:t xml:space="preserve"> slaugos paslaugas.</w:t>
      </w:r>
    </w:p>
    <w:p w:rsidR="006A5C17" w:rsidRDefault="006F2BFD" w:rsidP="006A5C17">
      <w:pPr>
        <w:pStyle w:val="Sraopastraipa"/>
        <w:numPr>
          <w:ilvl w:val="0"/>
          <w:numId w:val="12"/>
        </w:numPr>
        <w:spacing w:after="200" w:line="360" w:lineRule="auto"/>
        <w:rPr>
          <w:rFonts w:ascii="Times New Roman" w:hAnsi="Times New Roman" w:cs="Times New Roman"/>
          <w:sz w:val="24"/>
          <w:szCs w:val="24"/>
        </w:rPr>
      </w:pPr>
      <w:r>
        <w:rPr>
          <w:rFonts w:ascii="Times New Roman" w:hAnsi="Times New Roman" w:cs="Times New Roman"/>
          <w:sz w:val="24"/>
          <w:szCs w:val="24"/>
        </w:rPr>
        <w:t xml:space="preserve">Plėsti </w:t>
      </w:r>
      <w:r w:rsidR="006A5C17">
        <w:rPr>
          <w:rFonts w:ascii="Times New Roman" w:hAnsi="Times New Roman" w:cs="Times New Roman"/>
          <w:sz w:val="24"/>
          <w:szCs w:val="24"/>
        </w:rPr>
        <w:t xml:space="preserve">mokamas slaugos ir palaikomojo gydymo paslaugas. </w:t>
      </w:r>
    </w:p>
    <w:p w:rsidR="006A5C17" w:rsidRDefault="006F2BFD" w:rsidP="006A5C17">
      <w:pPr>
        <w:pStyle w:val="Sraopastraipa"/>
        <w:numPr>
          <w:ilvl w:val="0"/>
          <w:numId w:val="12"/>
        </w:numPr>
        <w:spacing w:after="200" w:line="360" w:lineRule="auto"/>
        <w:rPr>
          <w:rFonts w:ascii="Times New Roman" w:hAnsi="Times New Roman" w:cs="Times New Roman"/>
          <w:sz w:val="24"/>
          <w:szCs w:val="24"/>
        </w:rPr>
      </w:pPr>
      <w:r>
        <w:rPr>
          <w:rFonts w:ascii="Times New Roman" w:hAnsi="Times New Roman" w:cs="Times New Roman"/>
          <w:sz w:val="24"/>
          <w:szCs w:val="24"/>
        </w:rPr>
        <w:t>Didinti dienos chirurgijos</w:t>
      </w:r>
      <w:r w:rsidR="00B74C3D">
        <w:rPr>
          <w:rFonts w:ascii="Times New Roman" w:hAnsi="Times New Roman" w:cs="Times New Roman"/>
          <w:sz w:val="24"/>
          <w:szCs w:val="24"/>
        </w:rPr>
        <w:t>, dienos stacionaro, stebėjimo paslaugas, II</w:t>
      </w:r>
      <w:r w:rsidR="000D2A06">
        <w:rPr>
          <w:rFonts w:ascii="Times New Roman" w:hAnsi="Times New Roman" w:cs="Times New Roman"/>
          <w:sz w:val="24"/>
          <w:szCs w:val="24"/>
        </w:rPr>
        <w:t xml:space="preserve"> – </w:t>
      </w:r>
      <w:r w:rsidR="00B74C3D">
        <w:rPr>
          <w:rFonts w:ascii="Times New Roman" w:hAnsi="Times New Roman" w:cs="Times New Roman"/>
          <w:sz w:val="24"/>
          <w:szCs w:val="24"/>
        </w:rPr>
        <w:t xml:space="preserve">o lygio konsultacijų apimtis. </w:t>
      </w:r>
    </w:p>
    <w:p w:rsidR="0060782E" w:rsidRPr="0060782E" w:rsidRDefault="0060782E" w:rsidP="0060782E">
      <w:pPr>
        <w:pStyle w:val="Sraopastraipa"/>
        <w:numPr>
          <w:ilvl w:val="0"/>
          <w:numId w:val="12"/>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Pritraukti į ligoninę naujų ir kvalifikuotų specialistų, kurie teiktų kokybiškas ir savalaikes paslaugas.</w:t>
      </w:r>
    </w:p>
    <w:p w:rsidR="00B74C3D" w:rsidRDefault="00B74C3D" w:rsidP="006A5C17">
      <w:pPr>
        <w:pStyle w:val="Sraopastraipa"/>
        <w:numPr>
          <w:ilvl w:val="0"/>
          <w:numId w:val="12"/>
        </w:numPr>
        <w:spacing w:after="200" w:line="360" w:lineRule="auto"/>
        <w:rPr>
          <w:rFonts w:ascii="Times New Roman" w:hAnsi="Times New Roman" w:cs="Times New Roman"/>
          <w:sz w:val="24"/>
          <w:szCs w:val="24"/>
        </w:rPr>
      </w:pPr>
      <w:r>
        <w:rPr>
          <w:rFonts w:ascii="Times New Roman" w:hAnsi="Times New Roman" w:cs="Times New Roman"/>
          <w:sz w:val="24"/>
          <w:szCs w:val="24"/>
        </w:rPr>
        <w:t xml:space="preserve">Didinti storosios žarnos vėžio prevencinės programos apimtis. </w:t>
      </w:r>
    </w:p>
    <w:p w:rsidR="00FE4A48" w:rsidRDefault="00817C37" w:rsidP="006A5C17">
      <w:pPr>
        <w:pStyle w:val="Sraopastraipa"/>
        <w:numPr>
          <w:ilvl w:val="0"/>
          <w:numId w:val="12"/>
        </w:numPr>
        <w:spacing w:after="200" w:line="360" w:lineRule="auto"/>
        <w:rPr>
          <w:rFonts w:ascii="Times New Roman" w:hAnsi="Times New Roman" w:cs="Times New Roman"/>
          <w:sz w:val="24"/>
          <w:szCs w:val="24"/>
        </w:rPr>
      </w:pPr>
      <w:r>
        <w:rPr>
          <w:rFonts w:ascii="Times New Roman" w:hAnsi="Times New Roman" w:cs="Times New Roman"/>
          <w:sz w:val="24"/>
          <w:szCs w:val="24"/>
        </w:rPr>
        <w:t>Ieškoti sprendimų įstaigos inte</w:t>
      </w:r>
      <w:r w:rsidR="00FE4A48">
        <w:rPr>
          <w:rFonts w:ascii="Times New Roman" w:hAnsi="Times New Roman" w:cs="Times New Roman"/>
          <w:sz w:val="24"/>
          <w:szCs w:val="24"/>
        </w:rPr>
        <w:t xml:space="preserve">gracijai į elektroninę sveikatos sistemą. </w:t>
      </w:r>
    </w:p>
    <w:p w:rsidR="00FE4A48" w:rsidRDefault="00FE4A48" w:rsidP="00FE4A48">
      <w:pPr>
        <w:pStyle w:val="Sraopastraipa"/>
        <w:spacing w:after="200" w:line="360" w:lineRule="auto"/>
        <w:rPr>
          <w:rFonts w:ascii="Times New Roman" w:hAnsi="Times New Roman" w:cs="Times New Roman"/>
          <w:sz w:val="24"/>
          <w:szCs w:val="24"/>
        </w:rPr>
      </w:pPr>
    </w:p>
    <w:p w:rsidR="00832A64" w:rsidRPr="00882F71" w:rsidRDefault="00A45DCD" w:rsidP="00882F71">
      <w:pPr>
        <w:spacing w:line="360" w:lineRule="auto"/>
        <w:rPr>
          <w:rFonts w:ascii="Times New Roman" w:hAnsi="Times New Roman" w:cs="Times New Roman"/>
          <w:sz w:val="24"/>
          <w:szCs w:val="24"/>
        </w:rPr>
      </w:pPr>
      <w:r>
        <w:rPr>
          <w:rFonts w:ascii="Times New Roman" w:hAnsi="Times New Roman" w:cs="Times New Roman"/>
          <w:sz w:val="24"/>
          <w:szCs w:val="24"/>
        </w:rPr>
        <w:t xml:space="preserve">Direktorius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Vaidotas Grigas</w:t>
      </w:r>
    </w:p>
    <w:sectPr w:rsidR="00832A64" w:rsidRPr="00882F71" w:rsidSect="006912FD">
      <w:type w:val="continuous"/>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66AC" w:rsidRDefault="006966AC" w:rsidP="00D13708">
      <w:pPr>
        <w:spacing w:after="0" w:line="240" w:lineRule="auto"/>
      </w:pPr>
      <w:r>
        <w:separator/>
      </w:r>
    </w:p>
  </w:endnote>
  <w:endnote w:type="continuationSeparator" w:id="0">
    <w:p w:rsidR="006966AC" w:rsidRDefault="006966AC" w:rsidP="00D137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0613549"/>
      <w:docPartObj>
        <w:docPartGallery w:val="Page Numbers (Bottom of Page)"/>
        <w:docPartUnique/>
      </w:docPartObj>
    </w:sdtPr>
    <w:sdtEndPr>
      <w:rPr>
        <w:noProof/>
      </w:rPr>
    </w:sdtEndPr>
    <w:sdtContent>
      <w:p w:rsidR="00E166B0" w:rsidRDefault="00271AFB">
        <w:pPr>
          <w:pStyle w:val="Porat"/>
          <w:jc w:val="center"/>
        </w:pPr>
        <w:r>
          <w:fldChar w:fldCharType="begin"/>
        </w:r>
        <w:r>
          <w:instrText xml:space="preserve"> PAGE   \* MERGEFORMAT </w:instrText>
        </w:r>
        <w:r>
          <w:fldChar w:fldCharType="separate"/>
        </w:r>
        <w:r w:rsidR="00724F6C">
          <w:rPr>
            <w:noProof/>
          </w:rPr>
          <w:t>2</w:t>
        </w:r>
        <w:r>
          <w:rPr>
            <w:noProof/>
          </w:rPr>
          <w:fldChar w:fldCharType="end"/>
        </w:r>
      </w:p>
    </w:sdtContent>
  </w:sdt>
  <w:p w:rsidR="00E166B0" w:rsidRDefault="00E166B0">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302978"/>
      <w:docPartObj>
        <w:docPartGallery w:val="Page Numbers (Bottom of Page)"/>
        <w:docPartUnique/>
      </w:docPartObj>
    </w:sdtPr>
    <w:sdtEndPr>
      <w:rPr>
        <w:noProof/>
      </w:rPr>
    </w:sdtEndPr>
    <w:sdtContent>
      <w:p w:rsidR="00E166B0" w:rsidRDefault="00271AFB">
        <w:pPr>
          <w:pStyle w:val="Porat"/>
          <w:jc w:val="center"/>
        </w:pPr>
        <w:r>
          <w:fldChar w:fldCharType="begin"/>
        </w:r>
        <w:r>
          <w:instrText xml:space="preserve"> PAGE   \* MERGEFORMAT </w:instrText>
        </w:r>
        <w:r>
          <w:fldChar w:fldCharType="separate"/>
        </w:r>
        <w:r w:rsidR="00724F6C">
          <w:rPr>
            <w:noProof/>
          </w:rPr>
          <w:t>28</w:t>
        </w:r>
        <w:r>
          <w:rPr>
            <w:noProof/>
          </w:rPr>
          <w:fldChar w:fldCharType="end"/>
        </w:r>
      </w:p>
    </w:sdtContent>
  </w:sdt>
  <w:p w:rsidR="00E166B0" w:rsidRDefault="00E166B0">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66AC" w:rsidRDefault="006966AC" w:rsidP="00D13708">
      <w:pPr>
        <w:spacing w:after="0" w:line="240" w:lineRule="auto"/>
      </w:pPr>
      <w:r>
        <w:separator/>
      </w:r>
    </w:p>
  </w:footnote>
  <w:footnote w:type="continuationSeparator" w:id="0">
    <w:p w:rsidR="006966AC" w:rsidRDefault="006966AC" w:rsidP="00D137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53FB7"/>
    <w:multiLevelType w:val="hybridMultilevel"/>
    <w:tmpl w:val="51A20DC6"/>
    <w:lvl w:ilvl="0" w:tplc="C280547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113597"/>
    <w:multiLevelType w:val="hybridMultilevel"/>
    <w:tmpl w:val="9536B41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2AD20673"/>
    <w:multiLevelType w:val="multilevel"/>
    <w:tmpl w:val="6C265E7E"/>
    <w:lvl w:ilvl="0">
      <w:start w:val="1"/>
      <w:numFmt w:val="decimal"/>
      <w:lvlText w:val="%1."/>
      <w:lvlJc w:val="left"/>
      <w:pPr>
        <w:ind w:left="1353" w:hanging="360"/>
      </w:pPr>
      <w:rPr>
        <w:rFonts w:hint="default"/>
      </w:rPr>
    </w:lvl>
    <w:lvl w:ilvl="1">
      <w:start w:val="1"/>
      <w:numFmt w:val="decimal"/>
      <w:isLgl/>
      <w:lvlText w:val="%1.%2."/>
      <w:lvlJc w:val="left"/>
      <w:pPr>
        <w:ind w:left="1713" w:hanging="360"/>
      </w:pPr>
      <w:rPr>
        <w:rFonts w:hint="default"/>
      </w:rPr>
    </w:lvl>
    <w:lvl w:ilvl="2">
      <w:start w:val="1"/>
      <w:numFmt w:val="decimal"/>
      <w:isLgl/>
      <w:lvlText w:val="%1.%2.%3."/>
      <w:lvlJc w:val="left"/>
      <w:pPr>
        <w:ind w:left="2433" w:hanging="720"/>
      </w:pPr>
      <w:rPr>
        <w:rFonts w:hint="default"/>
      </w:rPr>
    </w:lvl>
    <w:lvl w:ilvl="3">
      <w:start w:val="1"/>
      <w:numFmt w:val="decimal"/>
      <w:isLgl/>
      <w:lvlText w:val="%1.%2.%3.%4."/>
      <w:lvlJc w:val="left"/>
      <w:pPr>
        <w:ind w:left="2793" w:hanging="720"/>
      </w:pPr>
      <w:rPr>
        <w:rFonts w:hint="default"/>
      </w:rPr>
    </w:lvl>
    <w:lvl w:ilvl="4">
      <w:start w:val="1"/>
      <w:numFmt w:val="decimal"/>
      <w:isLgl/>
      <w:lvlText w:val="%1.%2.%3.%4.%5."/>
      <w:lvlJc w:val="left"/>
      <w:pPr>
        <w:ind w:left="3513" w:hanging="1080"/>
      </w:pPr>
      <w:rPr>
        <w:rFonts w:hint="default"/>
      </w:rPr>
    </w:lvl>
    <w:lvl w:ilvl="5">
      <w:start w:val="1"/>
      <w:numFmt w:val="decimal"/>
      <w:isLgl/>
      <w:lvlText w:val="%1.%2.%3.%4.%5.%6."/>
      <w:lvlJc w:val="left"/>
      <w:pPr>
        <w:ind w:left="3873" w:hanging="1080"/>
      </w:pPr>
      <w:rPr>
        <w:rFonts w:hint="default"/>
      </w:rPr>
    </w:lvl>
    <w:lvl w:ilvl="6">
      <w:start w:val="1"/>
      <w:numFmt w:val="decimal"/>
      <w:isLgl/>
      <w:lvlText w:val="%1.%2.%3.%4.%5.%6.%7."/>
      <w:lvlJc w:val="left"/>
      <w:pPr>
        <w:ind w:left="4593" w:hanging="1440"/>
      </w:pPr>
      <w:rPr>
        <w:rFonts w:hint="default"/>
      </w:rPr>
    </w:lvl>
    <w:lvl w:ilvl="7">
      <w:start w:val="1"/>
      <w:numFmt w:val="decimal"/>
      <w:isLgl/>
      <w:lvlText w:val="%1.%2.%3.%4.%5.%6.%7.%8."/>
      <w:lvlJc w:val="left"/>
      <w:pPr>
        <w:ind w:left="4953" w:hanging="1440"/>
      </w:pPr>
      <w:rPr>
        <w:rFonts w:hint="default"/>
      </w:rPr>
    </w:lvl>
    <w:lvl w:ilvl="8">
      <w:start w:val="1"/>
      <w:numFmt w:val="decimal"/>
      <w:isLgl/>
      <w:lvlText w:val="%1.%2.%3.%4.%5.%6.%7.%8.%9."/>
      <w:lvlJc w:val="left"/>
      <w:pPr>
        <w:ind w:left="5673" w:hanging="1800"/>
      </w:pPr>
      <w:rPr>
        <w:rFonts w:hint="default"/>
      </w:rPr>
    </w:lvl>
  </w:abstractNum>
  <w:abstractNum w:abstractNumId="3" w15:restartNumberingAfterBreak="0">
    <w:nsid w:val="2C190262"/>
    <w:multiLevelType w:val="hybridMultilevel"/>
    <w:tmpl w:val="BACCBC60"/>
    <w:lvl w:ilvl="0" w:tplc="902C873E">
      <w:start w:val="1"/>
      <w:numFmt w:val="decimal"/>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4" w15:restartNumberingAfterBreak="0">
    <w:nsid w:val="442038C5"/>
    <w:multiLevelType w:val="hybridMultilevel"/>
    <w:tmpl w:val="1942761C"/>
    <w:lvl w:ilvl="0" w:tplc="806ADFFC">
      <w:start w:val="1"/>
      <w:numFmt w:val="decimal"/>
      <w:lvlText w:val="%1."/>
      <w:lvlJc w:val="left"/>
      <w:pPr>
        <w:ind w:left="1636" w:hanging="360"/>
      </w:pPr>
      <w:rPr>
        <w:rFonts w:hint="default"/>
        <w:color w:val="auto"/>
      </w:rPr>
    </w:lvl>
    <w:lvl w:ilvl="1" w:tplc="04270019" w:tentative="1">
      <w:start w:val="1"/>
      <w:numFmt w:val="lowerLetter"/>
      <w:lvlText w:val="%2."/>
      <w:lvlJc w:val="left"/>
      <w:pPr>
        <w:ind w:left="2356" w:hanging="360"/>
      </w:pPr>
    </w:lvl>
    <w:lvl w:ilvl="2" w:tplc="0427001B" w:tentative="1">
      <w:start w:val="1"/>
      <w:numFmt w:val="lowerRoman"/>
      <w:lvlText w:val="%3."/>
      <w:lvlJc w:val="right"/>
      <w:pPr>
        <w:ind w:left="3076" w:hanging="180"/>
      </w:pPr>
    </w:lvl>
    <w:lvl w:ilvl="3" w:tplc="0427000F" w:tentative="1">
      <w:start w:val="1"/>
      <w:numFmt w:val="decimal"/>
      <w:lvlText w:val="%4."/>
      <w:lvlJc w:val="left"/>
      <w:pPr>
        <w:ind w:left="3796" w:hanging="360"/>
      </w:pPr>
    </w:lvl>
    <w:lvl w:ilvl="4" w:tplc="04270019" w:tentative="1">
      <w:start w:val="1"/>
      <w:numFmt w:val="lowerLetter"/>
      <w:lvlText w:val="%5."/>
      <w:lvlJc w:val="left"/>
      <w:pPr>
        <w:ind w:left="4516" w:hanging="360"/>
      </w:pPr>
    </w:lvl>
    <w:lvl w:ilvl="5" w:tplc="0427001B" w:tentative="1">
      <w:start w:val="1"/>
      <w:numFmt w:val="lowerRoman"/>
      <w:lvlText w:val="%6."/>
      <w:lvlJc w:val="right"/>
      <w:pPr>
        <w:ind w:left="5236" w:hanging="180"/>
      </w:pPr>
    </w:lvl>
    <w:lvl w:ilvl="6" w:tplc="0427000F" w:tentative="1">
      <w:start w:val="1"/>
      <w:numFmt w:val="decimal"/>
      <w:lvlText w:val="%7."/>
      <w:lvlJc w:val="left"/>
      <w:pPr>
        <w:ind w:left="5956" w:hanging="360"/>
      </w:pPr>
    </w:lvl>
    <w:lvl w:ilvl="7" w:tplc="04270019" w:tentative="1">
      <w:start w:val="1"/>
      <w:numFmt w:val="lowerLetter"/>
      <w:lvlText w:val="%8."/>
      <w:lvlJc w:val="left"/>
      <w:pPr>
        <w:ind w:left="6676" w:hanging="360"/>
      </w:pPr>
    </w:lvl>
    <w:lvl w:ilvl="8" w:tplc="0427001B" w:tentative="1">
      <w:start w:val="1"/>
      <w:numFmt w:val="lowerRoman"/>
      <w:lvlText w:val="%9."/>
      <w:lvlJc w:val="right"/>
      <w:pPr>
        <w:ind w:left="7396" w:hanging="180"/>
      </w:pPr>
    </w:lvl>
  </w:abstractNum>
  <w:abstractNum w:abstractNumId="5" w15:restartNumberingAfterBreak="0">
    <w:nsid w:val="472D5BEC"/>
    <w:multiLevelType w:val="hybridMultilevel"/>
    <w:tmpl w:val="1F649BEC"/>
    <w:lvl w:ilvl="0" w:tplc="0427000F">
      <w:start w:val="1"/>
      <w:numFmt w:val="decimal"/>
      <w:lvlText w:val="%1."/>
      <w:lvlJc w:val="left"/>
      <w:pPr>
        <w:tabs>
          <w:tab w:val="num" w:pos="720"/>
        </w:tabs>
        <w:ind w:left="720" w:hanging="360"/>
      </w:pPr>
      <w:rPr>
        <w:rFonts w:cs="Times New Roman" w:hint="default"/>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52A83416"/>
    <w:multiLevelType w:val="hybridMultilevel"/>
    <w:tmpl w:val="0046D4E2"/>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5CC8208A"/>
    <w:multiLevelType w:val="hybridMultilevel"/>
    <w:tmpl w:val="DEF60B4E"/>
    <w:lvl w:ilvl="0" w:tplc="D67E545C">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64C402D8"/>
    <w:multiLevelType w:val="hybridMultilevel"/>
    <w:tmpl w:val="9536B41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6B7C5196"/>
    <w:multiLevelType w:val="hybridMultilevel"/>
    <w:tmpl w:val="70329ABE"/>
    <w:lvl w:ilvl="0" w:tplc="6A8628E6">
      <w:start w:val="2014"/>
      <w:numFmt w:val="decimal"/>
      <w:lvlText w:val="%1"/>
      <w:lvlJc w:val="left"/>
      <w:pPr>
        <w:ind w:left="1756" w:hanging="480"/>
      </w:pPr>
      <w:rPr>
        <w:rFonts w:hint="default"/>
      </w:rPr>
    </w:lvl>
    <w:lvl w:ilvl="1" w:tplc="04270019" w:tentative="1">
      <w:start w:val="1"/>
      <w:numFmt w:val="lowerLetter"/>
      <w:lvlText w:val="%2."/>
      <w:lvlJc w:val="left"/>
      <w:pPr>
        <w:ind w:left="2356" w:hanging="360"/>
      </w:pPr>
    </w:lvl>
    <w:lvl w:ilvl="2" w:tplc="0427001B" w:tentative="1">
      <w:start w:val="1"/>
      <w:numFmt w:val="lowerRoman"/>
      <w:lvlText w:val="%3."/>
      <w:lvlJc w:val="right"/>
      <w:pPr>
        <w:ind w:left="3076" w:hanging="180"/>
      </w:pPr>
    </w:lvl>
    <w:lvl w:ilvl="3" w:tplc="0427000F" w:tentative="1">
      <w:start w:val="1"/>
      <w:numFmt w:val="decimal"/>
      <w:lvlText w:val="%4."/>
      <w:lvlJc w:val="left"/>
      <w:pPr>
        <w:ind w:left="3796" w:hanging="360"/>
      </w:pPr>
    </w:lvl>
    <w:lvl w:ilvl="4" w:tplc="04270019" w:tentative="1">
      <w:start w:val="1"/>
      <w:numFmt w:val="lowerLetter"/>
      <w:lvlText w:val="%5."/>
      <w:lvlJc w:val="left"/>
      <w:pPr>
        <w:ind w:left="4516" w:hanging="360"/>
      </w:pPr>
    </w:lvl>
    <w:lvl w:ilvl="5" w:tplc="0427001B" w:tentative="1">
      <w:start w:val="1"/>
      <w:numFmt w:val="lowerRoman"/>
      <w:lvlText w:val="%6."/>
      <w:lvlJc w:val="right"/>
      <w:pPr>
        <w:ind w:left="5236" w:hanging="180"/>
      </w:pPr>
    </w:lvl>
    <w:lvl w:ilvl="6" w:tplc="0427000F" w:tentative="1">
      <w:start w:val="1"/>
      <w:numFmt w:val="decimal"/>
      <w:lvlText w:val="%7."/>
      <w:lvlJc w:val="left"/>
      <w:pPr>
        <w:ind w:left="5956" w:hanging="360"/>
      </w:pPr>
    </w:lvl>
    <w:lvl w:ilvl="7" w:tplc="04270019" w:tentative="1">
      <w:start w:val="1"/>
      <w:numFmt w:val="lowerLetter"/>
      <w:lvlText w:val="%8."/>
      <w:lvlJc w:val="left"/>
      <w:pPr>
        <w:ind w:left="6676" w:hanging="360"/>
      </w:pPr>
    </w:lvl>
    <w:lvl w:ilvl="8" w:tplc="0427001B" w:tentative="1">
      <w:start w:val="1"/>
      <w:numFmt w:val="lowerRoman"/>
      <w:lvlText w:val="%9."/>
      <w:lvlJc w:val="right"/>
      <w:pPr>
        <w:ind w:left="7396" w:hanging="180"/>
      </w:pPr>
    </w:lvl>
  </w:abstractNum>
  <w:abstractNum w:abstractNumId="10" w15:restartNumberingAfterBreak="0">
    <w:nsid w:val="73D03DCC"/>
    <w:multiLevelType w:val="hybridMultilevel"/>
    <w:tmpl w:val="2D381BD0"/>
    <w:lvl w:ilvl="0" w:tplc="DE62FCA6">
      <w:start w:val="1"/>
      <w:numFmt w:val="decimal"/>
      <w:lvlText w:val="%1."/>
      <w:lvlJc w:val="left"/>
      <w:pPr>
        <w:ind w:left="1211"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1" w15:restartNumberingAfterBreak="0">
    <w:nsid w:val="74AA5DED"/>
    <w:multiLevelType w:val="hybridMultilevel"/>
    <w:tmpl w:val="153AD3C8"/>
    <w:lvl w:ilvl="0" w:tplc="6DFAA810">
      <w:start w:val="1"/>
      <w:numFmt w:val="decimal"/>
      <w:lvlText w:val="%1."/>
      <w:lvlJc w:val="left"/>
      <w:pPr>
        <w:ind w:left="1353" w:hanging="360"/>
      </w:pPr>
      <w:rPr>
        <w:rFonts w:hint="default"/>
      </w:rPr>
    </w:lvl>
    <w:lvl w:ilvl="1" w:tplc="04270019" w:tentative="1">
      <w:start w:val="1"/>
      <w:numFmt w:val="lowerLetter"/>
      <w:lvlText w:val="%2."/>
      <w:lvlJc w:val="left"/>
      <w:pPr>
        <w:ind w:left="2073" w:hanging="360"/>
      </w:pPr>
    </w:lvl>
    <w:lvl w:ilvl="2" w:tplc="0427001B" w:tentative="1">
      <w:start w:val="1"/>
      <w:numFmt w:val="lowerRoman"/>
      <w:lvlText w:val="%3."/>
      <w:lvlJc w:val="right"/>
      <w:pPr>
        <w:ind w:left="2793" w:hanging="180"/>
      </w:pPr>
    </w:lvl>
    <w:lvl w:ilvl="3" w:tplc="0427000F" w:tentative="1">
      <w:start w:val="1"/>
      <w:numFmt w:val="decimal"/>
      <w:lvlText w:val="%4."/>
      <w:lvlJc w:val="left"/>
      <w:pPr>
        <w:ind w:left="3513" w:hanging="360"/>
      </w:pPr>
    </w:lvl>
    <w:lvl w:ilvl="4" w:tplc="04270019" w:tentative="1">
      <w:start w:val="1"/>
      <w:numFmt w:val="lowerLetter"/>
      <w:lvlText w:val="%5."/>
      <w:lvlJc w:val="left"/>
      <w:pPr>
        <w:ind w:left="4233" w:hanging="360"/>
      </w:pPr>
    </w:lvl>
    <w:lvl w:ilvl="5" w:tplc="0427001B" w:tentative="1">
      <w:start w:val="1"/>
      <w:numFmt w:val="lowerRoman"/>
      <w:lvlText w:val="%6."/>
      <w:lvlJc w:val="right"/>
      <w:pPr>
        <w:ind w:left="4953" w:hanging="180"/>
      </w:pPr>
    </w:lvl>
    <w:lvl w:ilvl="6" w:tplc="0427000F" w:tentative="1">
      <w:start w:val="1"/>
      <w:numFmt w:val="decimal"/>
      <w:lvlText w:val="%7."/>
      <w:lvlJc w:val="left"/>
      <w:pPr>
        <w:ind w:left="5673" w:hanging="360"/>
      </w:pPr>
    </w:lvl>
    <w:lvl w:ilvl="7" w:tplc="04270019" w:tentative="1">
      <w:start w:val="1"/>
      <w:numFmt w:val="lowerLetter"/>
      <w:lvlText w:val="%8."/>
      <w:lvlJc w:val="left"/>
      <w:pPr>
        <w:ind w:left="6393" w:hanging="360"/>
      </w:pPr>
    </w:lvl>
    <w:lvl w:ilvl="8" w:tplc="0427001B" w:tentative="1">
      <w:start w:val="1"/>
      <w:numFmt w:val="lowerRoman"/>
      <w:lvlText w:val="%9."/>
      <w:lvlJc w:val="right"/>
      <w:pPr>
        <w:ind w:left="7113" w:hanging="180"/>
      </w:pPr>
    </w:lvl>
  </w:abstractNum>
  <w:abstractNum w:abstractNumId="12" w15:restartNumberingAfterBreak="0">
    <w:nsid w:val="78B457C6"/>
    <w:multiLevelType w:val="hybridMultilevel"/>
    <w:tmpl w:val="2E167BF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7F861DAE"/>
    <w:multiLevelType w:val="hybridMultilevel"/>
    <w:tmpl w:val="F0D4BF44"/>
    <w:lvl w:ilvl="0" w:tplc="FFF02B14">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
  </w:num>
  <w:num w:numId="2">
    <w:abstractNumId w:val="8"/>
  </w:num>
  <w:num w:numId="3">
    <w:abstractNumId w:val="13"/>
  </w:num>
  <w:num w:numId="4">
    <w:abstractNumId w:val="7"/>
  </w:num>
  <w:num w:numId="5">
    <w:abstractNumId w:val="4"/>
  </w:num>
  <w:num w:numId="6">
    <w:abstractNumId w:val="9"/>
  </w:num>
  <w:num w:numId="7">
    <w:abstractNumId w:val="10"/>
  </w:num>
  <w:num w:numId="8">
    <w:abstractNumId w:val="12"/>
  </w:num>
  <w:num w:numId="9">
    <w:abstractNumId w:val="2"/>
  </w:num>
  <w:num w:numId="10">
    <w:abstractNumId w:val="11"/>
  </w:num>
  <w:num w:numId="11">
    <w:abstractNumId w:val="6"/>
  </w:num>
  <w:num w:numId="12">
    <w:abstractNumId w:val="0"/>
  </w:num>
  <w:num w:numId="13">
    <w:abstractNumId w:val="5"/>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296"/>
  <w:hyphenationZone w:val="396"/>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96D"/>
    <w:rsid w:val="00000FBC"/>
    <w:rsid w:val="00001B99"/>
    <w:rsid w:val="0000534F"/>
    <w:rsid w:val="0001390D"/>
    <w:rsid w:val="0001534E"/>
    <w:rsid w:val="000153B8"/>
    <w:rsid w:val="000228BA"/>
    <w:rsid w:val="0002346C"/>
    <w:rsid w:val="00023E72"/>
    <w:rsid w:val="00026BB5"/>
    <w:rsid w:val="00045B3B"/>
    <w:rsid w:val="00052E4B"/>
    <w:rsid w:val="0008187A"/>
    <w:rsid w:val="00084647"/>
    <w:rsid w:val="00085498"/>
    <w:rsid w:val="00093DE9"/>
    <w:rsid w:val="00094F76"/>
    <w:rsid w:val="0009616D"/>
    <w:rsid w:val="000D2A06"/>
    <w:rsid w:val="000D4376"/>
    <w:rsid w:val="000E58BD"/>
    <w:rsid w:val="000F5EC6"/>
    <w:rsid w:val="001470A6"/>
    <w:rsid w:val="0015671F"/>
    <w:rsid w:val="00166FDA"/>
    <w:rsid w:val="00173EE9"/>
    <w:rsid w:val="00174F2D"/>
    <w:rsid w:val="00185E08"/>
    <w:rsid w:val="00187B85"/>
    <w:rsid w:val="00190565"/>
    <w:rsid w:val="00196958"/>
    <w:rsid w:val="001972D5"/>
    <w:rsid w:val="001A0E17"/>
    <w:rsid w:val="001A52D5"/>
    <w:rsid w:val="001B3662"/>
    <w:rsid w:val="001C6C4F"/>
    <w:rsid w:val="001D2443"/>
    <w:rsid w:val="001E02DC"/>
    <w:rsid w:val="001E26C8"/>
    <w:rsid w:val="001F2C6F"/>
    <w:rsid w:val="001F374C"/>
    <w:rsid w:val="002246BF"/>
    <w:rsid w:val="00233668"/>
    <w:rsid w:val="00242457"/>
    <w:rsid w:val="00244E22"/>
    <w:rsid w:val="00251513"/>
    <w:rsid w:val="00257190"/>
    <w:rsid w:val="00260C08"/>
    <w:rsid w:val="00271AFB"/>
    <w:rsid w:val="00277D4C"/>
    <w:rsid w:val="002825C9"/>
    <w:rsid w:val="002B1975"/>
    <w:rsid w:val="002B44F3"/>
    <w:rsid w:val="002B5975"/>
    <w:rsid w:val="002D296E"/>
    <w:rsid w:val="002F2AF2"/>
    <w:rsid w:val="003043E1"/>
    <w:rsid w:val="00313D60"/>
    <w:rsid w:val="00320875"/>
    <w:rsid w:val="00332326"/>
    <w:rsid w:val="00337A13"/>
    <w:rsid w:val="003446FF"/>
    <w:rsid w:val="00354309"/>
    <w:rsid w:val="00372A91"/>
    <w:rsid w:val="00381311"/>
    <w:rsid w:val="00381377"/>
    <w:rsid w:val="003874F5"/>
    <w:rsid w:val="0039042B"/>
    <w:rsid w:val="003954AC"/>
    <w:rsid w:val="003A6D25"/>
    <w:rsid w:val="003B71E5"/>
    <w:rsid w:val="003C2324"/>
    <w:rsid w:val="003C610E"/>
    <w:rsid w:val="003D3C15"/>
    <w:rsid w:val="003D7AB4"/>
    <w:rsid w:val="004026F6"/>
    <w:rsid w:val="00405CAA"/>
    <w:rsid w:val="00413829"/>
    <w:rsid w:val="00417D20"/>
    <w:rsid w:val="00457784"/>
    <w:rsid w:val="00460952"/>
    <w:rsid w:val="0046278F"/>
    <w:rsid w:val="0048753D"/>
    <w:rsid w:val="0049697E"/>
    <w:rsid w:val="004A325E"/>
    <w:rsid w:val="004F4047"/>
    <w:rsid w:val="00501D1F"/>
    <w:rsid w:val="00517840"/>
    <w:rsid w:val="00531FDB"/>
    <w:rsid w:val="005339BA"/>
    <w:rsid w:val="00536654"/>
    <w:rsid w:val="00544D1B"/>
    <w:rsid w:val="00555E91"/>
    <w:rsid w:val="00582099"/>
    <w:rsid w:val="00585E27"/>
    <w:rsid w:val="0059043F"/>
    <w:rsid w:val="005A33D0"/>
    <w:rsid w:val="005B05E7"/>
    <w:rsid w:val="005B408B"/>
    <w:rsid w:val="005D58E2"/>
    <w:rsid w:val="005E160F"/>
    <w:rsid w:val="005E4F17"/>
    <w:rsid w:val="005F4171"/>
    <w:rsid w:val="0060017A"/>
    <w:rsid w:val="006048A7"/>
    <w:rsid w:val="0060782E"/>
    <w:rsid w:val="00616F3D"/>
    <w:rsid w:val="00625A5B"/>
    <w:rsid w:val="00641885"/>
    <w:rsid w:val="0065348A"/>
    <w:rsid w:val="0066200B"/>
    <w:rsid w:val="006646D4"/>
    <w:rsid w:val="00673A37"/>
    <w:rsid w:val="00673E69"/>
    <w:rsid w:val="00676095"/>
    <w:rsid w:val="006832FE"/>
    <w:rsid w:val="0068647F"/>
    <w:rsid w:val="006912FD"/>
    <w:rsid w:val="006966AC"/>
    <w:rsid w:val="006A0624"/>
    <w:rsid w:val="006A5C17"/>
    <w:rsid w:val="006A638E"/>
    <w:rsid w:val="006C56D5"/>
    <w:rsid w:val="006C6018"/>
    <w:rsid w:val="006D5342"/>
    <w:rsid w:val="006F2BFD"/>
    <w:rsid w:val="006F79D1"/>
    <w:rsid w:val="0071264A"/>
    <w:rsid w:val="00721C73"/>
    <w:rsid w:val="00724221"/>
    <w:rsid w:val="00724F6C"/>
    <w:rsid w:val="007324C0"/>
    <w:rsid w:val="00733788"/>
    <w:rsid w:val="007356BE"/>
    <w:rsid w:val="00746733"/>
    <w:rsid w:val="00752B81"/>
    <w:rsid w:val="00766677"/>
    <w:rsid w:val="00772E78"/>
    <w:rsid w:val="007A0F79"/>
    <w:rsid w:val="007A1DB5"/>
    <w:rsid w:val="007B66A8"/>
    <w:rsid w:val="007C5588"/>
    <w:rsid w:val="007E4CDA"/>
    <w:rsid w:val="007E5637"/>
    <w:rsid w:val="007F0BB2"/>
    <w:rsid w:val="00812665"/>
    <w:rsid w:val="00817C37"/>
    <w:rsid w:val="00832A64"/>
    <w:rsid w:val="008331A9"/>
    <w:rsid w:val="008723E7"/>
    <w:rsid w:val="00877527"/>
    <w:rsid w:val="008818BB"/>
    <w:rsid w:val="00882F71"/>
    <w:rsid w:val="0088535D"/>
    <w:rsid w:val="008B442F"/>
    <w:rsid w:val="008D52D1"/>
    <w:rsid w:val="008E0A3C"/>
    <w:rsid w:val="008F2D53"/>
    <w:rsid w:val="009061C6"/>
    <w:rsid w:val="009062DB"/>
    <w:rsid w:val="00931290"/>
    <w:rsid w:val="00941503"/>
    <w:rsid w:val="00957D10"/>
    <w:rsid w:val="00972DCE"/>
    <w:rsid w:val="009A087E"/>
    <w:rsid w:val="009A10C1"/>
    <w:rsid w:val="009A5B66"/>
    <w:rsid w:val="009B1302"/>
    <w:rsid w:val="009B1FA6"/>
    <w:rsid w:val="009B3603"/>
    <w:rsid w:val="009B6D6D"/>
    <w:rsid w:val="009C1A53"/>
    <w:rsid w:val="009C3B59"/>
    <w:rsid w:val="009D1292"/>
    <w:rsid w:val="009D14C3"/>
    <w:rsid w:val="009E3493"/>
    <w:rsid w:val="009E7859"/>
    <w:rsid w:val="00A036C0"/>
    <w:rsid w:val="00A10DBB"/>
    <w:rsid w:val="00A14D1F"/>
    <w:rsid w:val="00A27343"/>
    <w:rsid w:val="00A420A4"/>
    <w:rsid w:val="00A45DCD"/>
    <w:rsid w:val="00A644D8"/>
    <w:rsid w:val="00A82B4D"/>
    <w:rsid w:val="00AA30A4"/>
    <w:rsid w:val="00AA6D1E"/>
    <w:rsid w:val="00AB1D92"/>
    <w:rsid w:val="00AB53F7"/>
    <w:rsid w:val="00AB7BCF"/>
    <w:rsid w:val="00AD1C69"/>
    <w:rsid w:val="00AD496D"/>
    <w:rsid w:val="00AF74D1"/>
    <w:rsid w:val="00AF7D4D"/>
    <w:rsid w:val="00B03F23"/>
    <w:rsid w:val="00B21327"/>
    <w:rsid w:val="00B32EA9"/>
    <w:rsid w:val="00B3514B"/>
    <w:rsid w:val="00B5564B"/>
    <w:rsid w:val="00B74C3D"/>
    <w:rsid w:val="00B768DD"/>
    <w:rsid w:val="00B83414"/>
    <w:rsid w:val="00B937E0"/>
    <w:rsid w:val="00BB224B"/>
    <w:rsid w:val="00BB4AAB"/>
    <w:rsid w:val="00BC0D7B"/>
    <w:rsid w:val="00BC2A62"/>
    <w:rsid w:val="00BD42C6"/>
    <w:rsid w:val="00BE1535"/>
    <w:rsid w:val="00BE6241"/>
    <w:rsid w:val="00BF4388"/>
    <w:rsid w:val="00BF44F0"/>
    <w:rsid w:val="00C00E62"/>
    <w:rsid w:val="00C02EC5"/>
    <w:rsid w:val="00C05C69"/>
    <w:rsid w:val="00C1785F"/>
    <w:rsid w:val="00C272CE"/>
    <w:rsid w:val="00C31A28"/>
    <w:rsid w:val="00C34E2E"/>
    <w:rsid w:val="00C42B44"/>
    <w:rsid w:val="00C5144E"/>
    <w:rsid w:val="00C5258D"/>
    <w:rsid w:val="00C7473A"/>
    <w:rsid w:val="00C9602C"/>
    <w:rsid w:val="00CA1385"/>
    <w:rsid w:val="00CA4822"/>
    <w:rsid w:val="00CA5661"/>
    <w:rsid w:val="00CA74B6"/>
    <w:rsid w:val="00CB4498"/>
    <w:rsid w:val="00CB6D6A"/>
    <w:rsid w:val="00CD2D34"/>
    <w:rsid w:val="00CE605B"/>
    <w:rsid w:val="00CF28EB"/>
    <w:rsid w:val="00D02E7A"/>
    <w:rsid w:val="00D13708"/>
    <w:rsid w:val="00D15C69"/>
    <w:rsid w:val="00D33620"/>
    <w:rsid w:val="00D56C87"/>
    <w:rsid w:val="00D60E3C"/>
    <w:rsid w:val="00D711BF"/>
    <w:rsid w:val="00D71CF8"/>
    <w:rsid w:val="00D722E1"/>
    <w:rsid w:val="00D81A74"/>
    <w:rsid w:val="00DA207B"/>
    <w:rsid w:val="00DB0DD6"/>
    <w:rsid w:val="00DC41B8"/>
    <w:rsid w:val="00DC77E8"/>
    <w:rsid w:val="00DD39AD"/>
    <w:rsid w:val="00DE1D47"/>
    <w:rsid w:val="00DE4215"/>
    <w:rsid w:val="00E02F48"/>
    <w:rsid w:val="00E1134C"/>
    <w:rsid w:val="00E166B0"/>
    <w:rsid w:val="00E21531"/>
    <w:rsid w:val="00E3327D"/>
    <w:rsid w:val="00E3381E"/>
    <w:rsid w:val="00E42FEB"/>
    <w:rsid w:val="00E51954"/>
    <w:rsid w:val="00E878D6"/>
    <w:rsid w:val="00EA59DA"/>
    <w:rsid w:val="00EC302B"/>
    <w:rsid w:val="00EE4E24"/>
    <w:rsid w:val="00EE5BF3"/>
    <w:rsid w:val="00EE797F"/>
    <w:rsid w:val="00EF4317"/>
    <w:rsid w:val="00F0638E"/>
    <w:rsid w:val="00F12BC4"/>
    <w:rsid w:val="00F30CAB"/>
    <w:rsid w:val="00F348F8"/>
    <w:rsid w:val="00F429BE"/>
    <w:rsid w:val="00F43EAE"/>
    <w:rsid w:val="00F45184"/>
    <w:rsid w:val="00F601E2"/>
    <w:rsid w:val="00F622E4"/>
    <w:rsid w:val="00F80859"/>
    <w:rsid w:val="00FA5A5C"/>
    <w:rsid w:val="00FA5A86"/>
    <w:rsid w:val="00FA7C77"/>
    <w:rsid w:val="00FB0264"/>
    <w:rsid w:val="00FB6031"/>
    <w:rsid w:val="00FC2758"/>
    <w:rsid w:val="00FC3B55"/>
    <w:rsid w:val="00FC77C1"/>
    <w:rsid w:val="00FD17AB"/>
    <w:rsid w:val="00FE4A4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8132898-1D7B-4388-AB7E-8F8111C71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1F2C6F"/>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5B05E7"/>
    <w:pPr>
      <w:ind w:left="720"/>
      <w:contextualSpacing/>
    </w:pPr>
  </w:style>
  <w:style w:type="character" w:styleId="Grietas">
    <w:name w:val="Strong"/>
    <w:basedOn w:val="Numatytasispastraiposriftas"/>
    <w:uiPriority w:val="22"/>
    <w:qFormat/>
    <w:rsid w:val="00BB4AAB"/>
    <w:rPr>
      <w:b/>
      <w:bCs/>
    </w:rPr>
  </w:style>
  <w:style w:type="paragraph" w:customStyle="1" w:styleId="tajtip">
    <w:name w:val="tajtip"/>
    <w:basedOn w:val="prastasis"/>
    <w:rsid w:val="00832A64"/>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Hipersaitas">
    <w:name w:val="Hyperlink"/>
    <w:basedOn w:val="Numatytasispastraiposriftas"/>
    <w:uiPriority w:val="99"/>
    <w:unhideWhenUsed/>
    <w:rsid w:val="00673E69"/>
    <w:rPr>
      <w:color w:val="0563C1" w:themeColor="hyperlink"/>
      <w:u w:val="single"/>
    </w:rPr>
  </w:style>
  <w:style w:type="table" w:styleId="Lentelstinklelis">
    <w:name w:val="Table Grid"/>
    <w:basedOn w:val="prastojilentel"/>
    <w:uiPriority w:val="39"/>
    <w:rsid w:val="004875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FC3B55"/>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FC3B55"/>
    <w:rPr>
      <w:rFonts w:ascii="Segoe UI" w:hAnsi="Segoe UI" w:cs="Segoe UI"/>
      <w:sz w:val="18"/>
      <w:szCs w:val="18"/>
    </w:rPr>
  </w:style>
  <w:style w:type="paragraph" w:styleId="Betarp">
    <w:name w:val="No Spacing"/>
    <w:uiPriority w:val="1"/>
    <w:qFormat/>
    <w:rsid w:val="005E4F17"/>
    <w:pPr>
      <w:spacing w:after="0" w:line="240" w:lineRule="auto"/>
    </w:pPr>
  </w:style>
  <w:style w:type="paragraph" w:styleId="prastasiniatinklio">
    <w:name w:val="Normal (Web)"/>
    <w:basedOn w:val="prastasis"/>
    <w:uiPriority w:val="99"/>
    <w:semiHidden/>
    <w:unhideWhenUsed/>
    <w:rsid w:val="00FB0264"/>
    <w:pPr>
      <w:spacing w:before="100" w:beforeAutospacing="1" w:after="100" w:afterAutospacing="1" w:line="240" w:lineRule="auto"/>
    </w:pPr>
    <w:rPr>
      <w:rFonts w:ascii="Times New Roman" w:eastAsiaTheme="minorEastAsia" w:hAnsi="Times New Roman" w:cs="Times New Roman"/>
      <w:sz w:val="24"/>
      <w:szCs w:val="24"/>
      <w:lang w:eastAsia="lt-LT"/>
    </w:rPr>
  </w:style>
  <w:style w:type="paragraph" w:styleId="Antrats">
    <w:name w:val="header"/>
    <w:basedOn w:val="prastasis"/>
    <w:link w:val="AntratsDiagrama"/>
    <w:uiPriority w:val="99"/>
    <w:unhideWhenUsed/>
    <w:rsid w:val="00D1370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13708"/>
  </w:style>
  <w:style w:type="paragraph" w:styleId="Porat">
    <w:name w:val="footer"/>
    <w:basedOn w:val="prastasis"/>
    <w:link w:val="PoratDiagrama"/>
    <w:uiPriority w:val="99"/>
    <w:unhideWhenUsed/>
    <w:rsid w:val="00D13708"/>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13708"/>
  </w:style>
  <w:style w:type="character" w:styleId="Komentaronuoroda">
    <w:name w:val="annotation reference"/>
    <w:basedOn w:val="Numatytasispastraiposriftas"/>
    <w:uiPriority w:val="99"/>
    <w:semiHidden/>
    <w:unhideWhenUsed/>
    <w:rsid w:val="00812665"/>
    <w:rPr>
      <w:sz w:val="16"/>
      <w:szCs w:val="16"/>
    </w:rPr>
  </w:style>
  <w:style w:type="paragraph" w:styleId="Komentarotekstas">
    <w:name w:val="annotation text"/>
    <w:basedOn w:val="prastasis"/>
    <w:link w:val="KomentarotekstasDiagrama"/>
    <w:uiPriority w:val="99"/>
    <w:semiHidden/>
    <w:unhideWhenUsed/>
    <w:rsid w:val="00812665"/>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812665"/>
    <w:rPr>
      <w:sz w:val="20"/>
      <w:szCs w:val="20"/>
    </w:rPr>
  </w:style>
  <w:style w:type="paragraph" w:styleId="Komentarotema">
    <w:name w:val="annotation subject"/>
    <w:basedOn w:val="Komentarotekstas"/>
    <w:next w:val="Komentarotekstas"/>
    <w:link w:val="KomentarotemaDiagrama"/>
    <w:uiPriority w:val="99"/>
    <w:semiHidden/>
    <w:unhideWhenUsed/>
    <w:rsid w:val="00812665"/>
    <w:rPr>
      <w:b/>
      <w:bCs/>
    </w:rPr>
  </w:style>
  <w:style w:type="character" w:customStyle="1" w:styleId="KomentarotemaDiagrama">
    <w:name w:val="Komentaro tema Diagrama"/>
    <w:basedOn w:val="KomentarotekstasDiagrama"/>
    <w:link w:val="Komentarotema"/>
    <w:uiPriority w:val="99"/>
    <w:semiHidden/>
    <w:rsid w:val="00812665"/>
    <w:rPr>
      <w:b/>
      <w:bCs/>
      <w:sz w:val="20"/>
      <w:szCs w:val="20"/>
    </w:rPr>
  </w:style>
  <w:style w:type="character" w:styleId="Eilutsnumeris">
    <w:name w:val="line number"/>
    <w:basedOn w:val="Numatytasispastraiposriftas"/>
    <w:uiPriority w:val="99"/>
    <w:semiHidden/>
    <w:unhideWhenUsed/>
    <w:rsid w:val="001470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0846846">
      <w:bodyDiv w:val="1"/>
      <w:marLeft w:val="0"/>
      <w:marRight w:val="0"/>
      <w:marTop w:val="0"/>
      <w:marBottom w:val="0"/>
      <w:divBdr>
        <w:top w:val="none" w:sz="0" w:space="0" w:color="auto"/>
        <w:left w:val="none" w:sz="0" w:space="0" w:color="auto"/>
        <w:bottom w:val="none" w:sz="0" w:space="0" w:color="auto"/>
        <w:right w:val="none" w:sz="0" w:space="0" w:color="auto"/>
      </w:divBdr>
    </w:div>
    <w:div w:id="1909462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letuligonine.lt" TargetMode="External"/><Relationship Id="rId13" Type="http://schemas.openxmlformats.org/officeDocument/2006/relationships/chart" Target="charts/chart5.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8.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chart" Target="charts/chart23.xml"/><Relationship Id="rId42" Type="http://schemas.openxmlformats.org/officeDocument/2006/relationships/chart" Target="charts/chart30.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chart" Target="charts/chart10.xml"/><Relationship Id="rId29" Type="http://schemas.openxmlformats.org/officeDocument/2006/relationships/chart" Target="charts/chart19.xml"/><Relationship Id="rId41" Type="http://schemas.openxmlformats.org/officeDocument/2006/relationships/chart" Target="charts/chart2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4.xml"/><Relationship Id="rId32" Type="http://schemas.openxmlformats.org/officeDocument/2006/relationships/footer" Target="footer1.xml"/><Relationship Id="rId37" Type="http://schemas.openxmlformats.org/officeDocument/2006/relationships/chart" Target="charts/chart26.xml"/><Relationship Id="rId40" Type="http://schemas.openxmlformats.org/officeDocument/2006/relationships/footer" Target="footer2.xml"/><Relationship Id="rId45" Type="http://schemas.openxmlformats.org/officeDocument/2006/relationships/chart" Target="charts/chart33.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5.xml"/><Relationship Id="rId10" Type="http://schemas.openxmlformats.org/officeDocument/2006/relationships/chart" Target="charts/chart2.xml"/><Relationship Id="rId19" Type="http://schemas.openxmlformats.org/officeDocument/2006/relationships/chart" Target="charts/chart9.xml"/><Relationship Id="rId31" Type="http://schemas.openxmlformats.org/officeDocument/2006/relationships/chart" Target="charts/chart21.xml"/><Relationship Id="rId44" Type="http://schemas.openxmlformats.org/officeDocument/2006/relationships/chart" Target="charts/chart3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4.xml"/><Relationship Id="rId43" Type="http://schemas.openxmlformats.org/officeDocument/2006/relationships/chart" Target="charts/chart3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darbalapis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darbalapis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darbalapis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darbalapis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darbalapis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darbalapis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darbalapis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darbalapis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darbalapis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darbalapis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darbalapis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darbalapis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darbalapis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darbalapis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darbalapis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darbalapis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darbalapis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darbalapis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darbalapis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darbalapis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darbalapis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darbalapis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darbalapis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darbalapis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darbalapis31.xlsx"/></Relationships>
</file>

<file path=word/charts/_rels/chart3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33.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darbalapis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darbalapis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darbalapis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darbalapis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darbalapis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darbalapis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 Visos pajamos'!$B$4</c:f>
              <c:strCache>
                <c:ptCount val="1"/>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Visos pajamos'!$C$3:$K$3</c:f>
              <c:strCache>
                <c:ptCount val="6"/>
                <c:pt idx="0">
                  <c:v>PSDF</c:v>
                </c:pt>
                <c:pt idx="1">
                  <c:v>Savivaldybės</c:v>
                </c:pt>
                <c:pt idx="2">
                  <c:v>Mokamos paslaugos</c:v>
                </c:pt>
                <c:pt idx="3">
                  <c:v>Finansinė parama</c:v>
                </c:pt>
                <c:pt idx="4">
                  <c:v>Valstybės biudžeto</c:v>
                </c:pt>
                <c:pt idx="5">
                  <c:v>ES Struktūrinis fondas</c:v>
                </c:pt>
              </c:strCache>
            </c:strRef>
          </c:cat>
          <c:val>
            <c:numRef>
              <c:f>' Visos pajamos'!$C$4:$K$4</c:f>
              <c:numCache>
                <c:formatCode>General</c:formatCode>
                <c:ptCount val="6"/>
                <c:pt idx="0">
                  <c:v>1540723</c:v>
                </c:pt>
                <c:pt idx="1">
                  <c:v>918</c:v>
                </c:pt>
                <c:pt idx="2">
                  <c:v>62671</c:v>
                </c:pt>
                <c:pt idx="3">
                  <c:v>9557</c:v>
                </c:pt>
                <c:pt idx="4">
                  <c:v>14880</c:v>
                </c:pt>
                <c:pt idx="5">
                  <c:v>75191</c:v>
                </c:pt>
              </c:numCache>
            </c:numRef>
          </c:val>
        </c:ser>
        <c:dLbls>
          <c:showLegendKey val="0"/>
          <c:showVal val="1"/>
          <c:showCatName val="0"/>
          <c:showSerName val="0"/>
          <c:showPercent val="0"/>
          <c:showBubbleSize val="0"/>
        </c:dLbls>
        <c:gapWidth val="150"/>
        <c:shape val="box"/>
        <c:axId val="142066992"/>
        <c:axId val="142067384"/>
        <c:axId val="139113800"/>
      </c:bar3DChart>
      <c:catAx>
        <c:axId val="142066992"/>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2067384"/>
        <c:crosses val="autoZero"/>
        <c:auto val="1"/>
        <c:lblAlgn val="ctr"/>
        <c:lblOffset val="100"/>
        <c:noMultiLvlLbl val="0"/>
      </c:catAx>
      <c:valAx>
        <c:axId val="14206738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one"/>
        <c:crossAx val="142066992"/>
        <c:crosses val="autoZero"/>
        <c:crossBetween val="between"/>
      </c:valAx>
      <c:serAx>
        <c:axId val="139113800"/>
        <c:scaling>
          <c:orientation val="minMax"/>
        </c:scaling>
        <c:delete val="1"/>
        <c:axPos val="b"/>
        <c:majorTickMark val="out"/>
        <c:minorTickMark val="none"/>
        <c:tickLblPos val="none"/>
        <c:crossAx val="142067384"/>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lt-LT"/>
              <a:t>Pagrindinės diagnozės</a:t>
            </a:r>
          </a:p>
        </c:rich>
      </c:tx>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1625805297065148"/>
          <c:w val="1"/>
          <c:h val="0.53132635409210216"/>
        </c:manualLayout>
      </c:layout>
      <c:pie3D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'Pagrindinės diagnozės'!$B$4:$Q$4</c:f>
              <c:strCache>
                <c:ptCount val="15"/>
                <c:pt idx="0">
                  <c:v>Lėtinė galvos smegenų išėmija</c:v>
                </c:pt>
                <c:pt idx="1">
                  <c:v>cukrinis diabetas</c:v>
                </c:pt>
                <c:pt idx="2">
                  <c:v>išsėtinė sklerozė</c:v>
                </c:pt>
                <c:pt idx="3">
                  <c:v>Onkologiniai ligoniai</c:v>
                </c:pt>
                <c:pt idx="4">
                  <c:v>Po galvos smegenų insultų</c:v>
                </c:pt>
                <c:pt idx="5">
                  <c:v>Po lūžimų</c:v>
                </c:pt>
                <c:pt idx="6">
                  <c:v>Po amputacijų</c:v>
                </c:pt>
                <c:pt idx="7">
                  <c:v>Polineuropatijos</c:v>
                </c:pt>
                <c:pt idx="8">
                  <c:v>Po galvos traumų</c:v>
                </c:pt>
                <c:pt idx="9">
                  <c:v>Parkinsono liga</c:v>
                </c:pt>
                <c:pt idx="10">
                  <c:v>Alzheimerio</c:v>
                </c:pt>
                <c:pt idx="11">
                  <c:v>Pragulos</c:v>
                </c:pt>
                <c:pt idx="12">
                  <c:v>Trofinės opos</c:v>
                </c:pt>
                <c:pt idx="13">
                  <c:v>Sąnarių ligos</c:v>
                </c:pt>
                <c:pt idx="14">
                  <c:v>Lėtinis nepakankamumas</c:v>
                </c:pt>
              </c:strCache>
            </c:strRef>
          </c:cat>
          <c:val>
            <c:numRef>
              <c:f>'Pagrindinės diagnozės'!$B$5:$Q$5</c:f>
            </c:numRef>
          </c:val>
        </c:ser>
        <c:ser>
          <c:idx val="1"/>
          <c:order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'Pagrindinės diagnozės'!$B$4:$Q$4</c:f>
              <c:strCache>
                <c:ptCount val="15"/>
                <c:pt idx="0">
                  <c:v>Lėtinė galvos smegenų išėmija</c:v>
                </c:pt>
                <c:pt idx="1">
                  <c:v>cukrinis diabetas</c:v>
                </c:pt>
                <c:pt idx="2">
                  <c:v>išsėtinė sklerozė</c:v>
                </c:pt>
                <c:pt idx="3">
                  <c:v>Onkologiniai ligoniai</c:v>
                </c:pt>
                <c:pt idx="4">
                  <c:v>Po galvos smegenų insultų</c:v>
                </c:pt>
                <c:pt idx="5">
                  <c:v>Po lūžimų</c:v>
                </c:pt>
                <c:pt idx="6">
                  <c:v>Po amputacijų</c:v>
                </c:pt>
                <c:pt idx="7">
                  <c:v>Polineuropatijos</c:v>
                </c:pt>
                <c:pt idx="8">
                  <c:v>Po galvos traumų</c:v>
                </c:pt>
                <c:pt idx="9">
                  <c:v>Parkinsono liga</c:v>
                </c:pt>
                <c:pt idx="10">
                  <c:v>Alzheimerio</c:v>
                </c:pt>
                <c:pt idx="11">
                  <c:v>Pragulos</c:v>
                </c:pt>
                <c:pt idx="12">
                  <c:v>Trofinės opos</c:v>
                </c:pt>
                <c:pt idx="13">
                  <c:v>Sąnarių ligos</c:v>
                </c:pt>
                <c:pt idx="14">
                  <c:v>Lėtinis nepakankamumas</c:v>
                </c:pt>
              </c:strCache>
            </c:strRef>
          </c:cat>
          <c:val>
            <c:numRef>
              <c:f>'Pagrindinės diagnozės'!$B$6:$Q$6</c:f>
            </c:numRef>
          </c:val>
        </c:ser>
        <c:ser>
          <c:idx val="2"/>
          <c:order val="2"/>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sp3d/>
            </c:spPr>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sp3d/>
            </c:spPr>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sp3d/>
            </c:spPr>
          </c:dPt>
          <c:dPt>
            <c:idx val="13"/>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sp3d/>
            </c:spPr>
          </c:dPt>
          <c:dPt>
            <c:idx val="14"/>
            <c:bubble3D val="0"/>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a:sp3d/>
            </c:spPr>
          </c:dPt>
          <c:dLbls>
            <c:dLbl>
              <c:idx val="4"/>
              <c:layout>
                <c:manualLayout>
                  <c:x val="-2.8875315819167503E-2"/>
                  <c:y val="-1.834705320925795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layout/>
              </c:ext>
            </c:extLst>
          </c:dLbls>
          <c:cat>
            <c:strRef>
              <c:f>'Pagrindinės diagnozės'!$B$4:$Q$4</c:f>
              <c:strCache>
                <c:ptCount val="15"/>
                <c:pt idx="0">
                  <c:v>Lėtinė galvos smegenų išėmija</c:v>
                </c:pt>
                <c:pt idx="1">
                  <c:v>cukrinis diabetas</c:v>
                </c:pt>
                <c:pt idx="2">
                  <c:v>išsėtinė sklerozė</c:v>
                </c:pt>
                <c:pt idx="3">
                  <c:v>Onkologiniai ligoniai</c:v>
                </c:pt>
                <c:pt idx="4">
                  <c:v>Po galvos smegenų insultų</c:v>
                </c:pt>
                <c:pt idx="5">
                  <c:v>Po lūžimų</c:v>
                </c:pt>
                <c:pt idx="6">
                  <c:v>Po amputacijų</c:v>
                </c:pt>
                <c:pt idx="7">
                  <c:v>Polineuropatijos</c:v>
                </c:pt>
                <c:pt idx="8">
                  <c:v>Po galvos traumų</c:v>
                </c:pt>
                <c:pt idx="9">
                  <c:v>Parkinsono liga</c:v>
                </c:pt>
                <c:pt idx="10">
                  <c:v>Alzheimerio</c:v>
                </c:pt>
                <c:pt idx="11">
                  <c:v>Pragulos</c:v>
                </c:pt>
                <c:pt idx="12">
                  <c:v>Trofinės opos</c:v>
                </c:pt>
                <c:pt idx="13">
                  <c:v>Sąnarių ligos</c:v>
                </c:pt>
                <c:pt idx="14">
                  <c:v>Lėtinis nepakankamumas</c:v>
                </c:pt>
              </c:strCache>
            </c:strRef>
          </c:cat>
          <c:val>
            <c:numRef>
              <c:f>'Pagrindinės diagnozės'!$B$7:$Q$7</c:f>
              <c:numCache>
                <c:formatCode>General</c:formatCode>
                <c:ptCount val="15"/>
                <c:pt idx="0">
                  <c:v>125</c:v>
                </c:pt>
                <c:pt idx="1">
                  <c:v>9</c:v>
                </c:pt>
                <c:pt idx="2">
                  <c:v>1</c:v>
                </c:pt>
                <c:pt idx="3">
                  <c:v>25</c:v>
                </c:pt>
                <c:pt idx="4">
                  <c:v>136</c:v>
                </c:pt>
                <c:pt idx="5">
                  <c:v>23</c:v>
                </c:pt>
                <c:pt idx="6">
                  <c:v>4</c:v>
                </c:pt>
                <c:pt idx="7">
                  <c:v>16</c:v>
                </c:pt>
                <c:pt idx="8">
                  <c:v>3</c:v>
                </c:pt>
                <c:pt idx="9">
                  <c:v>2</c:v>
                </c:pt>
                <c:pt idx="10">
                  <c:v>5</c:v>
                </c:pt>
                <c:pt idx="11">
                  <c:v>6</c:v>
                </c:pt>
                <c:pt idx="12">
                  <c:v>6</c:v>
                </c:pt>
                <c:pt idx="13">
                  <c:v>2</c:v>
                </c:pt>
                <c:pt idx="14">
                  <c:v>8</c:v>
                </c:pt>
              </c:numCache>
            </c:numRef>
          </c:val>
        </c:ser>
        <c:dLbls>
          <c:showLegendKey val="0"/>
          <c:showVal val="1"/>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Ligonių skaičiaus</a:t>
            </a:r>
            <a:r>
              <a:rPr lang="lt-LT" baseline="0"/>
              <a:t> dinamika</a:t>
            </a:r>
            <a:endParaRPr lang="lt-LT"/>
          </a:p>
        </c:rich>
      </c:tx>
      <c:layout/>
      <c:overlay val="0"/>
      <c:spPr>
        <a:noFill/>
        <a:ln>
          <a:noFill/>
        </a:ln>
        <a:effectLst/>
      </c:spPr>
    </c:title>
    <c:autoTitleDeleted val="0"/>
    <c:plotArea>
      <c:layout/>
      <c:barChart>
        <c:barDir val="col"/>
        <c:grouping val="clustered"/>
        <c:varyColors val="0"/>
        <c:ser>
          <c:idx val="0"/>
          <c:order val="0"/>
          <c:tx>
            <c:strRef>
              <c:f>Sheet2!$C$6</c:f>
              <c:strCache>
                <c:ptCount val="1"/>
                <c:pt idx="0">
                  <c:v>Ligonių skaičius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Sheet2!$B$7:$B$9</c:f>
              <c:strCache>
                <c:ptCount val="3"/>
                <c:pt idx="0">
                  <c:v>2013 m. </c:v>
                </c:pt>
                <c:pt idx="1">
                  <c:v>2014 m. </c:v>
                </c:pt>
                <c:pt idx="2">
                  <c:v>2015 m. </c:v>
                </c:pt>
              </c:strCache>
            </c:strRef>
          </c:cat>
          <c:val>
            <c:numRef>
              <c:f>Sheet2!$C$7:$C$9</c:f>
              <c:numCache>
                <c:formatCode>General</c:formatCode>
                <c:ptCount val="3"/>
                <c:pt idx="0">
                  <c:v>101</c:v>
                </c:pt>
                <c:pt idx="1">
                  <c:v>62</c:v>
                </c:pt>
                <c:pt idx="2">
                  <c:v>50</c:v>
                </c:pt>
              </c:numCache>
            </c:numRef>
          </c:val>
        </c:ser>
        <c:dLbls>
          <c:showLegendKey val="0"/>
          <c:showVal val="1"/>
          <c:showCatName val="0"/>
          <c:showSerName val="0"/>
          <c:showPercent val="0"/>
          <c:showBubbleSize val="0"/>
        </c:dLbls>
        <c:gapWidth val="219"/>
        <c:overlap val="-27"/>
        <c:axId val="212941272"/>
        <c:axId val="212941664"/>
      </c:barChart>
      <c:catAx>
        <c:axId val="2129412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2941664"/>
        <c:crosses val="autoZero"/>
        <c:auto val="1"/>
        <c:lblAlgn val="ctr"/>
        <c:lblOffset val="100"/>
        <c:noMultiLvlLbl val="0"/>
      </c:catAx>
      <c:valAx>
        <c:axId val="21294166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one"/>
        <c:crossAx val="212941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Sheet1!$A$3</c:f>
              <c:strCache>
                <c:ptCount val="1"/>
                <c:pt idx="0">
                  <c:v>Ligonių pasiskirstymas pagal atliekamų operacijų grupes</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Sheet1!$B$2:$E$2</c:f>
              <c:strCache>
                <c:ptCount val="3"/>
                <c:pt idx="0">
                  <c:v>I grupė</c:v>
                </c:pt>
                <c:pt idx="1">
                  <c:v>II grupė</c:v>
                </c:pt>
                <c:pt idx="2">
                  <c:v>III grupė </c:v>
                </c:pt>
              </c:strCache>
            </c:strRef>
          </c:cat>
          <c:val>
            <c:numRef>
              <c:f>Sheet1!$B$3:$E$3</c:f>
              <c:numCache>
                <c:formatCode>General</c:formatCode>
                <c:ptCount val="4"/>
                <c:pt idx="0">
                  <c:v>8</c:v>
                </c:pt>
                <c:pt idx="1">
                  <c:v>19</c:v>
                </c:pt>
                <c:pt idx="2">
                  <c:v>23</c:v>
                </c:pt>
              </c:numCache>
            </c:numRef>
          </c:val>
        </c:ser>
        <c:dLbls>
          <c:showLegendKey val="0"/>
          <c:showVal val="0"/>
          <c:showCatName val="0"/>
          <c:showSerName val="0"/>
          <c:showPercent val="0"/>
          <c:showBubbleSize val="0"/>
          <c:showLeaderLines val="1"/>
        </c:dLbls>
      </c:pie3DChart>
      <c:spPr>
        <a:noFill/>
        <a:ln>
          <a:noFill/>
        </a:ln>
        <a:effectLst/>
      </c:spPr>
    </c:plotArea>
    <c:legend>
      <c:legendPos val="b"/>
      <c:legendEntry>
        <c:idx val="3"/>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Ambulatorinių paslaugų veikla 2013 - 2015 m.</a:t>
            </a:r>
          </a:p>
        </c:rich>
      </c:tx>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Sheet2!$G$3</c:f>
              <c:strCache>
                <c:ptCount val="1"/>
                <c:pt idx="0">
                  <c:v>2013 m. </c:v>
                </c:pt>
              </c:strCache>
            </c:strRef>
          </c:tx>
          <c:spPr>
            <a:solidFill>
              <a:schemeClr val="accent1"/>
            </a:solidFill>
            <a:ln>
              <a:noFill/>
            </a:ln>
            <a:effectLst/>
            <a:sp3d/>
          </c:spPr>
          <c:invertIfNegative val="0"/>
          <c:dLbls>
            <c:dLbl>
              <c:idx val="0"/>
              <c:layout>
                <c:manualLayout>
                  <c:x val="2.6915113871635612E-2"/>
                  <c:y val="-5.07936507936508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8985507246376812E-2"/>
                  <c:y val="-4.656084656084663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Sheet2!$F$4:$F$5</c:f>
              <c:strCache>
                <c:ptCount val="2"/>
                <c:pt idx="0">
                  <c:v>Apsilankymai</c:v>
                </c:pt>
                <c:pt idx="1">
                  <c:v>Konsultacijos</c:v>
                </c:pt>
              </c:strCache>
            </c:strRef>
          </c:cat>
          <c:val>
            <c:numRef>
              <c:f>Sheet2!$G$4:$G$5</c:f>
              <c:numCache>
                <c:formatCode>General</c:formatCode>
                <c:ptCount val="2"/>
                <c:pt idx="0">
                  <c:v>41597</c:v>
                </c:pt>
                <c:pt idx="1">
                  <c:v>30855</c:v>
                </c:pt>
              </c:numCache>
            </c:numRef>
          </c:val>
        </c:ser>
        <c:ser>
          <c:idx val="1"/>
          <c:order val="1"/>
          <c:tx>
            <c:strRef>
              <c:f>Sheet2!$H$3</c:f>
              <c:strCache>
                <c:ptCount val="1"/>
                <c:pt idx="0">
                  <c:v>2014 m.</c:v>
                </c:pt>
              </c:strCache>
            </c:strRef>
          </c:tx>
          <c:spPr>
            <a:solidFill>
              <a:schemeClr val="accent2"/>
            </a:solidFill>
            <a:ln>
              <a:noFill/>
            </a:ln>
            <a:effectLst/>
            <a:sp3d/>
          </c:spPr>
          <c:invertIfNegative val="0"/>
          <c:dLbls>
            <c:dLbl>
              <c:idx val="0"/>
              <c:layout>
                <c:manualLayout>
                  <c:x val="2.4844720496894412E-2"/>
                  <c:y val="-6.349206349206351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915113871635556E-2"/>
                  <c:y val="-5.07936507936508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Sheet2!$F$4:$F$5</c:f>
              <c:strCache>
                <c:ptCount val="2"/>
                <c:pt idx="0">
                  <c:v>Apsilankymai</c:v>
                </c:pt>
                <c:pt idx="1">
                  <c:v>Konsultacijos</c:v>
                </c:pt>
              </c:strCache>
            </c:strRef>
          </c:cat>
          <c:val>
            <c:numRef>
              <c:f>Sheet2!$H$4:$H$5</c:f>
              <c:numCache>
                <c:formatCode>General</c:formatCode>
                <c:ptCount val="2"/>
                <c:pt idx="0">
                  <c:v>40191</c:v>
                </c:pt>
                <c:pt idx="1">
                  <c:v>29627</c:v>
                </c:pt>
              </c:numCache>
            </c:numRef>
          </c:val>
        </c:ser>
        <c:ser>
          <c:idx val="2"/>
          <c:order val="2"/>
          <c:tx>
            <c:strRef>
              <c:f>Sheet2!$I$3</c:f>
              <c:strCache>
                <c:ptCount val="1"/>
                <c:pt idx="0">
                  <c:v>2015 m.</c:v>
                </c:pt>
              </c:strCache>
            </c:strRef>
          </c:tx>
          <c:spPr>
            <a:solidFill>
              <a:schemeClr val="accent3"/>
            </a:solidFill>
            <a:ln>
              <a:noFill/>
            </a:ln>
            <a:effectLst/>
            <a:sp3d/>
          </c:spPr>
          <c:invertIfNegative val="0"/>
          <c:dLbls>
            <c:dLbl>
              <c:idx val="0"/>
              <c:layout>
                <c:manualLayout>
                  <c:x val="3.5196687370600409E-2"/>
                  <c:y val="-4.232804232804233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105590062111804E-2"/>
                  <c:y val="-4.65608465608464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Sheet2!$F$4:$F$5</c:f>
              <c:strCache>
                <c:ptCount val="2"/>
                <c:pt idx="0">
                  <c:v>Apsilankymai</c:v>
                </c:pt>
                <c:pt idx="1">
                  <c:v>Konsultacijos</c:v>
                </c:pt>
              </c:strCache>
            </c:strRef>
          </c:cat>
          <c:val>
            <c:numRef>
              <c:f>Sheet2!$I$4:$I$5</c:f>
              <c:numCache>
                <c:formatCode>General</c:formatCode>
                <c:ptCount val="2"/>
                <c:pt idx="0">
                  <c:v>41548</c:v>
                </c:pt>
                <c:pt idx="1">
                  <c:v>30392</c:v>
                </c:pt>
              </c:numCache>
            </c:numRef>
          </c:val>
        </c:ser>
        <c:dLbls>
          <c:showLegendKey val="0"/>
          <c:showVal val="1"/>
          <c:showCatName val="0"/>
          <c:showSerName val="0"/>
          <c:showPercent val="0"/>
          <c:showBubbleSize val="0"/>
        </c:dLbls>
        <c:gapWidth val="150"/>
        <c:shape val="box"/>
        <c:axId val="212942840"/>
        <c:axId val="213331912"/>
        <c:axId val="0"/>
      </c:bar3DChart>
      <c:catAx>
        <c:axId val="212942840"/>
        <c:scaling>
          <c:orientation val="minMax"/>
        </c:scaling>
        <c:delete val="1"/>
        <c:axPos val="b"/>
        <c:numFmt formatCode="General" sourceLinked="1"/>
        <c:majorTickMark val="none"/>
        <c:minorTickMark val="none"/>
        <c:tickLblPos val="none"/>
        <c:crossAx val="213331912"/>
        <c:crosses val="autoZero"/>
        <c:auto val="1"/>
        <c:lblAlgn val="ctr"/>
        <c:lblOffset val="100"/>
        <c:noMultiLvlLbl val="0"/>
      </c:catAx>
      <c:valAx>
        <c:axId val="21333191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2129428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lt-LT"/>
              <a:t>Instrumentiniai tyrimai 2015m. </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Lapas1!$B$1</c:f>
              <c:strCache>
                <c:ptCount val="1"/>
                <c:pt idx="0">
                  <c:v>Ambulatoriniai</c:v>
                </c:pt>
              </c:strCache>
            </c:strRef>
          </c:tx>
          <c:invertIfNegative val="0"/>
          <c:cat>
            <c:strRef>
              <c:f>Lapas1!$A$2:$A$7</c:f>
              <c:strCache>
                <c:ptCount val="6"/>
                <c:pt idx="0">
                  <c:v>Vidaus organų UG</c:v>
                </c:pt>
                <c:pt idx="1">
                  <c:v>Ginekologiniai UG</c:v>
                </c:pt>
                <c:pt idx="2">
                  <c:v>Urologiniai UG</c:v>
                </c:pt>
                <c:pt idx="3">
                  <c:v>Endoskopiniai</c:v>
                </c:pt>
                <c:pt idx="4">
                  <c:v>Širdies UG</c:v>
                </c:pt>
                <c:pt idx="5">
                  <c:v>EKG</c:v>
                </c:pt>
              </c:strCache>
            </c:strRef>
          </c:cat>
          <c:val>
            <c:numRef>
              <c:f>Lapas1!$B$2:$B$7</c:f>
              <c:numCache>
                <c:formatCode>General</c:formatCode>
                <c:ptCount val="6"/>
                <c:pt idx="0">
                  <c:v>2204</c:v>
                </c:pt>
                <c:pt idx="1">
                  <c:v>600</c:v>
                </c:pt>
                <c:pt idx="2">
                  <c:v>430</c:v>
                </c:pt>
                <c:pt idx="3">
                  <c:v>904</c:v>
                </c:pt>
                <c:pt idx="4">
                  <c:v>621</c:v>
                </c:pt>
                <c:pt idx="5">
                  <c:v>87</c:v>
                </c:pt>
              </c:numCache>
            </c:numRef>
          </c:val>
        </c:ser>
        <c:ser>
          <c:idx val="1"/>
          <c:order val="1"/>
          <c:tx>
            <c:strRef>
              <c:f>Lapas1!$C$1</c:f>
              <c:strCache>
                <c:ptCount val="1"/>
                <c:pt idx="0">
                  <c:v>Stacionariniai</c:v>
                </c:pt>
              </c:strCache>
            </c:strRef>
          </c:tx>
          <c:invertIfNegative val="0"/>
          <c:cat>
            <c:strRef>
              <c:f>Lapas1!$A$2:$A$7</c:f>
              <c:strCache>
                <c:ptCount val="6"/>
                <c:pt idx="0">
                  <c:v>Vidaus organų UG</c:v>
                </c:pt>
                <c:pt idx="1">
                  <c:v>Ginekologiniai UG</c:v>
                </c:pt>
                <c:pt idx="2">
                  <c:v>Urologiniai UG</c:v>
                </c:pt>
                <c:pt idx="3">
                  <c:v>Endoskopiniai</c:v>
                </c:pt>
                <c:pt idx="4">
                  <c:v>Širdies UG</c:v>
                </c:pt>
                <c:pt idx="5">
                  <c:v>EKG</c:v>
                </c:pt>
              </c:strCache>
            </c:strRef>
          </c:cat>
          <c:val>
            <c:numRef>
              <c:f>Lapas1!$C$2:$C$7</c:f>
              <c:numCache>
                <c:formatCode>General</c:formatCode>
                <c:ptCount val="6"/>
                <c:pt idx="0">
                  <c:v>269</c:v>
                </c:pt>
                <c:pt idx="1">
                  <c:v>29</c:v>
                </c:pt>
                <c:pt idx="2">
                  <c:v>0</c:v>
                </c:pt>
                <c:pt idx="3">
                  <c:v>182</c:v>
                </c:pt>
                <c:pt idx="4">
                  <c:v>25</c:v>
                </c:pt>
                <c:pt idx="5">
                  <c:v>1771</c:v>
                </c:pt>
              </c:numCache>
            </c:numRef>
          </c:val>
        </c:ser>
        <c:dLbls>
          <c:showLegendKey val="0"/>
          <c:showVal val="0"/>
          <c:showCatName val="0"/>
          <c:showSerName val="0"/>
          <c:showPercent val="0"/>
          <c:showBubbleSize val="0"/>
        </c:dLbls>
        <c:gapWidth val="95"/>
        <c:gapDepth val="95"/>
        <c:shape val="box"/>
        <c:axId val="213333088"/>
        <c:axId val="213333480"/>
        <c:axId val="0"/>
      </c:bar3DChart>
      <c:catAx>
        <c:axId val="213333088"/>
        <c:scaling>
          <c:orientation val="minMax"/>
        </c:scaling>
        <c:delete val="0"/>
        <c:axPos val="b"/>
        <c:numFmt formatCode="General" sourceLinked="0"/>
        <c:majorTickMark val="none"/>
        <c:minorTickMark val="none"/>
        <c:tickLblPos val="nextTo"/>
        <c:txPr>
          <a:bodyPr rot="-5400000" vert="horz"/>
          <a:lstStyle/>
          <a:p>
            <a:pPr>
              <a:defRPr/>
            </a:pPr>
            <a:endParaRPr lang="lt-LT"/>
          </a:p>
        </c:txPr>
        <c:crossAx val="213333480"/>
        <c:crosses val="autoZero"/>
        <c:auto val="1"/>
        <c:lblAlgn val="ctr"/>
        <c:lblOffset val="100"/>
        <c:noMultiLvlLbl val="0"/>
      </c:catAx>
      <c:valAx>
        <c:axId val="213333480"/>
        <c:scaling>
          <c:orientation val="minMax"/>
        </c:scaling>
        <c:delete val="0"/>
        <c:axPos val="l"/>
        <c:majorGridlines/>
        <c:title>
          <c:tx>
            <c:rich>
              <a:bodyPr/>
              <a:lstStyle/>
              <a:p>
                <a:pPr>
                  <a:defRPr/>
                </a:pPr>
                <a:r>
                  <a:rPr lang="lt-LT"/>
                  <a:t>Tyrimų skaičius</a:t>
                </a:r>
              </a:p>
            </c:rich>
          </c:tx>
          <c:layout/>
          <c:overlay val="0"/>
        </c:title>
        <c:numFmt formatCode="General" sourceLinked="1"/>
        <c:majorTickMark val="none"/>
        <c:minorTickMark val="none"/>
        <c:tickLblPos val="nextTo"/>
        <c:txPr>
          <a:bodyPr/>
          <a:lstStyle/>
          <a:p>
            <a:pPr>
              <a:defRPr sz="1100"/>
            </a:pPr>
            <a:endParaRPr lang="lt-LT"/>
          </a:p>
        </c:txPr>
        <c:crossAx val="213333088"/>
        <c:crosses val="autoZero"/>
        <c:crossBetween val="between"/>
      </c:valAx>
      <c:dTable>
        <c:showHorzBorder val="1"/>
        <c:showVertBorder val="1"/>
        <c:showOutline val="1"/>
        <c:showKeys val="1"/>
        <c:txPr>
          <a:bodyPr/>
          <a:lstStyle/>
          <a:p>
            <a:pPr rtl="0">
              <a:defRPr sz="1100"/>
            </a:pPr>
            <a:endParaRPr lang="lt-LT"/>
          </a:p>
        </c:txPr>
      </c:dTable>
    </c:plotArea>
    <c:plotVisOnly val="1"/>
    <c:dispBlanksAs val="gap"/>
    <c:showDLblsOverMax val="0"/>
  </c:chart>
  <c:txPr>
    <a:bodyPr/>
    <a:lstStyle/>
    <a:p>
      <a:pPr>
        <a:defRPr sz="1800"/>
      </a:pPr>
      <a:endParaRPr lang="lt-LT"/>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lt-LT"/>
              <a:t>Instrumentiniai tyrimai 2015m</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Lapas1!$B$1</c:f>
              <c:strCache>
                <c:ptCount val="1"/>
                <c:pt idx="0">
                  <c:v>Ambulatoriniai</c:v>
                </c:pt>
              </c:strCache>
            </c:strRef>
          </c:tx>
          <c:invertIfNegative val="0"/>
          <c:cat>
            <c:strRef>
              <c:f>Lapas1!$A$2:$A$7</c:f>
              <c:strCache>
                <c:ptCount val="6"/>
                <c:pt idx="0">
                  <c:v>KŽI</c:v>
                </c:pt>
                <c:pt idx="1">
                  <c:v>Spirometrijos</c:v>
                </c:pt>
                <c:pt idx="2">
                  <c:v>VEM</c:v>
                </c:pt>
                <c:pt idx="3">
                  <c:v>Holteris</c:v>
                </c:pt>
                <c:pt idx="4">
                  <c:v>Kraujagyslių UG</c:v>
                </c:pt>
                <c:pt idx="5">
                  <c:v>endokrinologiniai UG</c:v>
                </c:pt>
              </c:strCache>
            </c:strRef>
          </c:cat>
          <c:val>
            <c:numRef>
              <c:f>Lapas1!$B$2:$B$7</c:f>
              <c:numCache>
                <c:formatCode>General</c:formatCode>
                <c:ptCount val="6"/>
                <c:pt idx="0">
                  <c:v>40</c:v>
                </c:pt>
                <c:pt idx="1">
                  <c:v>297</c:v>
                </c:pt>
                <c:pt idx="2">
                  <c:v>153</c:v>
                </c:pt>
                <c:pt idx="3" formatCode="_-* #,##0\ _L_t_-;\-* #,##0\ _L_t_-;_-* &quot;-&quot;??\ _L_t_-;_-@_-">
                  <c:v>67</c:v>
                </c:pt>
                <c:pt idx="4">
                  <c:v>0</c:v>
                </c:pt>
                <c:pt idx="5">
                  <c:v>124</c:v>
                </c:pt>
              </c:numCache>
            </c:numRef>
          </c:val>
        </c:ser>
        <c:ser>
          <c:idx val="1"/>
          <c:order val="1"/>
          <c:tx>
            <c:strRef>
              <c:f>Lapas1!$C$1</c:f>
              <c:strCache>
                <c:ptCount val="1"/>
                <c:pt idx="0">
                  <c:v>Stacionariniai</c:v>
                </c:pt>
              </c:strCache>
            </c:strRef>
          </c:tx>
          <c:invertIfNegative val="0"/>
          <c:cat>
            <c:strRef>
              <c:f>Lapas1!$A$2:$A$7</c:f>
              <c:strCache>
                <c:ptCount val="6"/>
                <c:pt idx="0">
                  <c:v>KŽI</c:v>
                </c:pt>
                <c:pt idx="1">
                  <c:v>Spirometrijos</c:v>
                </c:pt>
                <c:pt idx="2">
                  <c:v>VEM</c:v>
                </c:pt>
                <c:pt idx="3">
                  <c:v>Holteris</c:v>
                </c:pt>
                <c:pt idx="4">
                  <c:v>Kraujagyslių UG</c:v>
                </c:pt>
                <c:pt idx="5">
                  <c:v>endokrinologiniai UG</c:v>
                </c:pt>
              </c:strCache>
            </c:strRef>
          </c:cat>
          <c:val>
            <c:numRef>
              <c:f>Lapas1!$C$2:$C$7</c:f>
              <c:numCache>
                <c:formatCode>General</c:formatCode>
                <c:ptCount val="6"/>
                <c:pt idx="0">
                  <c:v>13</c:v>
                </c:pt>
                <c:pt idx="1">
                  <c:v>14</c:v>
                </c:pt>
                <c:pt idx="2">
                  <c:v>15</c:v>
                </c:pt>
                <c:pt idx="3">
                  <c:v>2</c:v>
                </c:pt>
                <c:pt idx="4">
                  <c:v>8</c:v>
                </c:pt>
                <c:pt idx="5">
                  <c:v>0</c:v>
                </c:pt>
              </c:numCache>
            </c:numRef>
          </c:val>
        </c:ser>
        <c:dLbls>
          <c:showLegendKey val="0"/>
          <c:showVal val="0"/>
          <c:showCatName val="0"/>
          <c:showSerName val="0"/>
          <c:showPercent val="0"/>
          <c:showBubbleSize val="0"/>
        </c:dLbls>
        <c:gapWidth val="95"/>
        <c:gapDepth val="95"/>
        <c:shape val="box"/>
        <c:axId val="213334656"/>
        <c:axId val="213335048"/>
        <c:axId val="0"/>
      </c:bar3DChart>
      <c:catAx>
        <c:axId val="213334656"/>
        <c:scaling>
          <c:orientation val="minMax"/>
        </c:scaling>
        <c:delete val="0"/>
        <c:axPos val="b"/>
        <c:numFmt formatCode="General" sourceLinked="0"/>
        <c:majorTickMark val="none"/>
        <c:minorTickMark val="none"/>
        <c:tickLblPos val="nextTo"/>
        <c:crossAx val="213335048"/>
        <c:crosses val="autoZero"/>
        <c:auto val="1"/>
        <c:lblAlgn val="ctr"/>
        <c:lblOffset val="100"/>
        <c:noMultiLvlLbl val="0"/>
      </c:catAx>
      <c:valAx>
        <c:axId val="213335048"/>
        <c:scaling>
          <c:orientation val="minMax"/>
        </c:scaling>
        <c:delete val="0"/>
        <c:axPos val="l"/>
        <c:majorGridlines/>
        <c:title>
          <c:tx>
            <c:rich>
              <a:bodyPr/>
              <a:lstStyle/>
              <a:p>
                <a:pPr>
                  <a:defRPr/>
                </a:pPr>
                <a:r>
                  <a:rPr lang="lt-LT"/>
                  <a:t>Tyrimų skaičius</a:t>
                </a:r>
              </a:p>
            </c:rich>
          </c:tx>
          <c:layout/>
          <c:overlay val="0"/>
        </c:title>
        <c:numFmt formatCode="General" sourceLinked="1"/>
        <c:majorTickMark val="none"/>
        <c:minorTickMark val="none"/>
        <c:tickLblPos val="nextTo"/>
        <c:txPr>
          <a:bodyPr/>
          <a:lstStyle/>
          <a:p>
            <a:pPr>
              <a:defRPr sz="1100"/>
            </a:pPr>
            <a:endParaRPr lang="lt-LT"/>
          </a:p>
        </c:txPr>
        <c:crossAx val="213334656"/>
        <c:crosses val="autoZero"/>
        <c:crossBetween val="between"/>
      </c:valAx>
      <c:dTable>
        <c:showHorzBorder val="1"/>
        <c:showVertBorder val="1"/>
        <c:showOutline val="1"/>
        <c:showKeys val="1"/>
        <c:txPr>
          <a:bodyPr/>
          <a:lstStyle/>
          <a:p>
            <a:pPr rtl="0">
              <a:defRPr sz="1100"/>
            </a:pPr>
            <a:endParaRPr lang="lt-LT"/>
          </a:p>
        </c:txPr>
      </c:dTable>
    </c:plotArea>
    <c:plotVisOnly val="1"/>
    <c:dispBlanksAs val="gap"/>
    <c:showDLblsOverMax val="0"/>
  </c:chart>
  <c:txPr>
    <a:bodyPr/>
    <a:lstStyle/>
    <a:p>
      <a:pPr>
        <a:defRPr sz="1800"/>
      </a:pPr>
      <a:endParaRPr lang="lt-LT"/>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lt-LT"/>
              <a:t>Instrumentinių tyrimų dinamika </a:t>
            </a:r>
          </a:p>
        </c:rich>
      </c:tx>
      <c:layout/>
      <c:overlay val="0"/>
    </c:title>
    <c:autoTitleDeleted val="0"/>
    <c:plotArea>
      <c:layout/>
      <c:lineChart>
        <c:grouping val="standard"/>
        <c:varyColors val="0"/>
        <c:ser>
          <c:idx val="0"/>
          <c:order val="0"/>
          <c:tx>
            <c:strRef>
              <c:f>Lapas1!$B$1</c:f>
              <c:strCache>
                <c:ptCount val="1"/>
                <c:pt idx="0">
                  <c:v>Vid.organų UG</c:v>
                </c:pt>
              </c:strCache>
            </c:strRef>
          </c:tx>
          <c:marker>
            <c:symbol val="none"/>
          </c:marker>
          <c:cat>
            <c:strRef>
              <c:f>Lapas1!$A$2:$A$6</c:f>
              <c:strCache>
                <c:ptCount val="5"/>
                <c:pt idx="0">
                  <c:v>2011 m.</c:v>
                </c:pt>
                <c:pt idx="1">
                  <c:v>2012 m.</c:v>
                </c:pt>
                <c:pt idx="2">
                  <c:v>2013 m.</c:v>
                </c:pt>
                <c:pt idx="3">
                  <c:v>2014 m.</c:v>
                </c:pt>
                <c:pt idx="4">
                  <c:v>2015 m.</c:v>
                </c:pt>
              </c:strCache>
            </c:strRef>
          </c:cat>
          <c:val>
            <c:numRef>
              <c:f>Lapas1!$B$2:$B$6</c:f>
              <c:numCache>
                <c:formatCode>General</c:formatCode>
                <c:ptCount val="5"/>
                <c:pt idx="0">
                  <c:v>972</c:v>
                </c:pt>
                <c:pt idx="1">
                  <c:v>925</c:v>
                </c:pt>
                <c:pt idx="2">
                  <c:v>1195</c:v>
                </c:pt>
                <c:pt idx="3">
                  <c:v>1377</c:v>
                </c:pt>
                <c:pt idx="4">
                  <c:v>2473</c:v>
                </c:pt>
              </c:numCache>
            </c:numRef>
          </c:val>
          <c:smooth val="0"/>
        </c:ser>
        <c:ser>
          <c:idx val="1"/>
          <c:order val="1"/>
          <c:tx>
            <c:strRef>
              <c:f>Lapas1!$C$1</c:f>
              <c:strCache>
                <c:ptCount val="1"/>
                <c:pt idx="0">
                  <c:v>Ginekol.UG</c:v>
                </c:pt>
              </c:strCache>
            </c:strRef>
          </c:tx>
          <c:marker>
            <c:symbol val="none"/>
          </c:marker>
          <c:cat>
            <c:strRef>
              <c:f>Lapas1!$A$2:$A$6</c:f>
              <c:strCache>
                <c:ptCount val="5"/>
                <c:pt idx="0">
                  <c:v>2011 m.</c:v>
                </c:pt>
                <c:pt idx="1">
                  <c:v>2012 m.</c:v>
                </c:pt>
                <c:pt idx="2">
                  <c:v>2013 m.</c:v>
                </c:pt>
                <c:pt idx="3">
                  <c:v>2014 m.</c:v>
                </c:pt>
                <c:pt idx="4">
                  <c:v>2015 m.</c:v>
                </c:pt>
              </c:strCache>
            </c:strRef>
          </c:cat>
          <c:val>
            <c:numRef>
              <c:f>Lapas1!$C$2:$C$6</c:f>
              <c:numCache>
                <c:formatCode>General</c:formatCode>
                <c:ptCount val="5"/>
                <c:pt idx="0">
                  <c:v>576</c:v>
                </c:pt>
                <c:pt idx="1">
                  <c:v>577</c:v>
                </c:pt>
                <c:pt idx="2">
                  <c:v>460</c:v>
                </c:pt>
                <c:pt idx="3">
                  <c:v>576</c:v>
                </c:pt>
                <c:pt idx="4">
                  <c:v>629</c:v>
                </c:pt>
              </c:numCache>
            </c:numRef>
          </c:val>
          <c:smooth val="0"/>
        </c:ser>
        <c:ser>
          <c:idx val="2"/>
          <c:order val="2"/>
          <c:tx>
            <c:strRef>
              <c:f>Lapas1!$D$1</c:f>
              <c:strCache>
                <c:ptCount val="1"/>
                <c:pt idx="0">
                  <c:v>Urologin.UG</c:v>
                </c:pt>
              </c:strCache>
            </c:strRef>
          </c:tx>
          <c:marker>
            <c:symbol val="none"/>
          </c:marker>
          <c:cat>
            <c:strRef>
              <c:f>Lapas1!$A$2:$A$6</c:f>
              <c:strCache>
                <c:ptCount val="5"/>
                <c:pt idx="0">
                  <c:v>2011 m.</c:v>
                </c:pt>
                <c:pt idx="1">
                  <c:v>2012 m.</c:v>
                </c:pt>
                <c:pt idx="2">
                  <c:v>2013 m.</c:v>
                </c:pt>
                <c:pt idx="3">
                  <c:v>2014 m.</c:v>
                </c:pt>
                <c:pt idx="4">
                  <c:v>2015 m.</c:v>
                </c:pt>
              </c:strCache>
            </c:strRef>
          </c:cat>
          <c:val>
            <c:numRef>
              <c:f>Lapas1!$D$2:$D$6</c:f>
              <c:numCache>
                <c:formatCode>General</c:formatCode>
                <c:ptCount val="5"/>
                <c:pt idx="0">
                  <c:v>118</c:v>
                </c:pt>
                <c:pt idx="1">
                  <c:v>180</c:v>
                </c:pt>
                <c:pt idx="2">
                  <c:v>267</c:v>
                </c:pt>
                <c:pt idx="3">
                  <c:v>420</c:v>
                </c:pt>
                <c:pt idx="4">
                  <c:v>430</c:v>
                </c:pt>
              </c:numCache>
            </c:numRef>
          </c:val>
          <c:smooth val="0"/>
        </c:ser>
        <c:ser>
          <c:idx val="3"/>
          <c:order val="3"/>
          <c:tx>
            <c:strRef>
              <c:f>Lapas1!$E$1</c:f>
              <c:strCache>
                <c:ptCount val="1"/>
                <c:pt idx="0">
                  <c:v>Endoskopiniai</c:v>
                </c:pt>
              </c:strCache>
            </c:strRef>
          </c:tx>
          <c:marker>
            <c:symbol val="none"/>
          </c:marker>
          <c:cat>
            <c:strRef>
              <c:f>Lapas1!$A$2:$A$6</c:f>
              <c:strCache>
                <c:ptCount val="5"/>
                <c:pt idx="0">
                  <c:v>2011 m.</c:v>
                </c:pt>
                <c:pt idx="1">
                  <c:v>2012 m.</c:v>
                </c:pt>
                <c:pt idx="2">
                  <c:v>2013 m.</c:v>
                </c:pt>
                <c:pt idx="3">
                  <c:v>2014 m.</c:v>
                </c:pt>
                <c:pt idx="4">
                  <c:v>2015 m.</c:v>
                </c:pt>
              </c:strCache>
            </c:strRef>
          </c:cat>
          <c:val>
            <c:numRef>
              <c:f>Lapas1!$E$2:$E$6</c:f>
              <c:numCache>
                <c:formatCode>General</c:formatCode>
                <c:ptCount val="5"/>
                <c:pt idx="0">
                  <c:v>846</c:v>
                </c:pt>
                <c:pt idx="1">
                  <c:v>788</c:v>
                </c:pt>
                <c:pt idx="2">
                  <c:v>881</c:v>
                </c:pt>
                <c:pt idx="3">
                  <c:v>1029</c:v>
                </c:pt>
                <c:pt idx="4">
                  <c:v>1087</c:v>
                </c:pt>
              </c:numCache>
            </c:numRef>
          </c:val>
          <c:smooth val="0"/>
        </c:ser>
        <c:dLbls>
          <c:showLegendKey val="0"/>
          <c:showVal val="0"/>
          <c:showCatName val="0"/>
          <c:showSerName val="0"/>
          <c:showPercent val="0"/>
          <c:showBubbleSize val="0"/>
        </c:dLbls>
        <c:smooth val="0"/>
        <c:axId val="213789256"/>
        <c:axId val="213789648"/>
      </c:lineChart>
      <c:catAx>
        <c:axId val="213789256"/>
        <c:scaling>
          <c:orientation val="minMax"/>
        </c:scaling>
        <c:delete val="0"/>
        <c:axPos val="b"/>
        <c:numFmt formatCode="General" sourceLinked="0"/>
        <c:majorTickMark val="none"/>
        <c:minorTickMark val="none"/>
        <c:tickLblPos val="nextTo"/>
        <c:crossAx val="213789648"/>
        <c:crosses val="autoZero"/>
        <c:auto val="1"/>
        <c:lblAlgn val="ctr"/>
        <c:lblOffset val="100"/>
        <c:noMultiLvlLbl val="0"/>
      </c:catAx>
      <c:valAx>
        <c:axId val="213789648"/>
        <c:scaling>
          <c:orientation val="minMax"/>
        </c:scaling>
        <c:delete val="0"/>
        <c:axPos val="l"/>
        <c:majorGridlines/>
        <c:numFmt formatCode="General" sourceLinked="1"/>
        <c:majorTickMark val="none"/>
        <c:minorTickMark val="none"/>
        <c:tickLblPos val="nextTo"/>
        <c:txPr>
          <a:bodyPr/>
          <a:lstStyle/>
          <a:p>
            <a:pPr>
              <a:defRPr sz="1100"/>
            </a:pPr>
            <a:endParaRPr lang="lt-LT"/>
          </a:p>
        </c:txPr>
        <c:crossAx val="213789256"/>
        <c:crosses val="autoZero"/>
        <c:crossBetween val="between"/>
      </c:valAx>
      <c:dTable>
        <c:showHorzBorder val="1"/>
        <c:showVertBorder val="1"/>
        <c:showOutline val="1"/>
        <c:showKeys val="1"/>
        <c:txPr>
          <a:bodyPr/>
          <a:lstStyle/>
          <a:p>
            <a:pPr rtl="0">
              <a:defRPr sz="1100"/>
            </a:pPr>
            <a:endParaRPr lang="lt-LT"/>
          </a:p>
        </c:txPr>
      </c:dTable>
    </c:plotArea>
    <c:plotVisOnly val="1"/>
    <c:dispBlanksAs val="gap"/>
    <c:showDLblsOverMax val="0"/>
  </c:chart>
  <c:txPr>
    <a:bodyPr/>
    <a:lstStyle/>
    <a:p>
      <a:pPr>
        <a:defRPr sz="1800"/>
      </a:pPr>
      <a:endParaRPr lang="lt-LT"/>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lt-LT"/>
              <a:t>Instrumentinių tyrimų dinamika</a:t>
            </a:r>
          </a:p>
        </c:rich>
      </c:tx>
      <c:layout/>
      <c:overlay val="0"/>
    </c:title>
    <c:autoTitleDeleted val="0"/>
    <c:plotArea>
      <c:layout/>
      <c:lineChart>
        <c:grouping val="standard"/>
        <c:varyColors val="0"/>
        <c:ser>
          <c:idx val="0"/>
          <c:order val="0"/>
          <c:tx>
            <c:strRef>
              <c:f>Lapas1!$B$1</c:f>
              <c:strCache>
                <c:ptCount val="1"/>
                <c:pt idx="0">
                  <c:v>EKG</c:v>
                </c:pt>
              </c:strCache>
            </c:strRef>
          </c:tx>
          <c:marker>
            <c:symbol val="none"/>
          </c:marker>
          <c:cat>
            <c:strRef>
              <c:f>Lapas1!$A$2:$A$6</c:f>
              <c:strCache>
                <c:ptCount val="5"/>
                <c:pt idx="0">
                  <c:v>2011 m.</c:v>
                </c:pt>
                <c:pt idx="1">
                  <c:v>2012 m.</c:v>
                </c:pt>
                <c:pt idx="2">
                  <c:v>2013 m.</c:v>
                </c:pt>
                <c:pt idx="3">
                  <c:v>2014 m</c:v>
                </c:pt>
                <c:pt idx="4">
                  <c:v>2015 m.</c:v>
                </c:pt>
              </c:strCache>
            </c:strRef>
          </c:cat>
          <c:val>
            <c:numRef>
              <c:f>Lapas1!$B$2:$B$6</c:f>
              <c:numCache>
                <c:formatCode>General</c:formatCode>
                <c:ptCount val="5"/>
                <c:pt idx="0">
                  <c:v>4000</c:v>
                </c:pt>
                <c:pt idx="1">
                  <c:v>4139</c:v>
                </c:pt>
                <c:pt idx="2">
                  <c:v>2004</c:v>
                </c:pt>
                <c:pt idx="3">
                  <c:v>1862</c:v>
                </c:pt>
                <c:pt idx="4">
                  <c:v>1858</c:v>
                </c:pt>
              </c:numCache>
            </c:numRef>
          </c:val>
          <c:smooth val="0"/>
        </c:ser>
        <c:ser>
          <c:idx val="1"/>
          <c:order val="1"/>
          <c:tx>
            <c:strRef>
              <c:f>Lapas1!$C$1</c:f>
              <c:strCache>
                <c:ptCount val="1"/>
                <c:pt idx="0">
                  <c:v>Širdies UG</c:v>
                </c:pt>
              </c:strCache>
            </c:strRef>
          </c:tx>
          <c:marker>
            <c:symbol val="none"/>
          </c:marker>
          <c:cat>
            <c:strRef>
              <c:f>Lapas1!$A$2:$A$6</c:f>
              <c:strCache>
                <c:ptCount val="5"/>
                <c:pt idx="0">
                  <c:v>2011 m.</c:v>
                </c:pt>
                <c:pt idx="1">
                  <c:v>2012 m.</c:v>
                </c:pt>
                <c:pt idx="2">
                  <c:v>2013 m.</c:v>
                </c:pt>
                <c:pt idx="3">
                  <c:v>2014 m</c:v>
                </c:pt>
                <c:pt idx="4">
                  <c:v>2015 m.</c:v>
                </c:pt>
              </c:strCache>
            </c:strRef>
          </c:cat>
          <c:val>
            <c:numRef>
              <c:f>Lapas1!$C$2:$C$6</c:f>
              <c:numCache>
                <c:formatCode>General</c:formatCode>
                <c:ptCount val="5"/>
                <c:pt idx="0">
                  <c:v>172</c:v>
                </c:pt>
                <c:pt idx="1">
                  <c:v>173</c:v>
                </c:pt>
                <c:pt idx="2">
                  <c:v>349</c:v>
                </c:pt>
                <c:pt idx="3">
                  <c:v>437</c:v>
                </c:pt>
                <c:pt idx="4">
                  <c:v>646</c:v>
                </c:pt>
              </c:numCache>
            </c:numRef>
          </c:val>
          <c:smooth val="0"/>
        </c:ser>
        <c:ser>
          <c:idx val="2"/>
          <c:order val="2"/>
          <c:tx>
            <c:strRef>
              <c:f>Lapas1!$D$1</c:f>
              <c:strCache>
                <c:ptCount val="1"/>
                <c:pt idx="0">
                  <c:v>Spirometrijos</c:v>
                </c:pt>
              </c:strCache>
            </c:strRef>
          </c:tx>
          <c:marker>
            <c:symbol val="none"/>
          </c:marker>
          <c:cat>
            <c:strRef>
              <c:f>Lapas1!$A$2:$A$6</c:f>
              <c:strCache>
                <c:ptCount val="5"/>
                <c:pt idx="0">
                  <c:v>2011 m.</c:v>
                </c:pt>
                <c:pt idx="1">
                  <c:v>2012 m.</c:v>
                </c:pt>
                <c:pt idx="2">
                  <c:v>2013 m.</c:v>
                </c:pt>
                <c:pt idx="3">
                  <c:v>2014 m</c:v>
                </c:pt>
                <c:pt idx="4">
                  <c:v>2015 m.</c:v>
                </c:pt>
              </c:strCache>
            </c:strRef>
          </c:cat>
          <c:val>
            <c:numRef>
              <c:f>Lapas1!$D$2:$D$6</c:f>
              <c:numCache>
                <c:formatCode>General</c:formatCode>
                <c:ptCount val="5"/>
                <c:pt idx="0">
                  <c:v>0</c:v>
                </c:pt>
                <c:pt idx="1">
                  <c:v>288</c:v>
                </c:pt>
                <c:pt idx="2">
                  <c:v>255</c:v>
                </c:pt>
                <c:pt idx="3">
                  <c:v>263</c:v>
                </c:pt>
                <c:pt idx="4">
                  <c:v>311</c:v>
                </c:pt>
              </c:numCache>
            </c:numRef>
          </c:val>
          <c:smooth val="0"/>
        </c:ser>
        <c:ser>
          <c:idx val="3"/>
          <c:order val="3"/>
          <c:tx>
            <c:strRef>
              <c:f>Lapas1!$E$1</c:f>
              <c:strCache>
                <c:ptCount val="1"/>
                <c:pt idx="0">
                  <c:v>Endokr.UG</c:v>
                </c:pt>
              </c:strCache>
            </c:strRef>
          </c:tx>
          <c:marker>
            <c:symbol val="none"/>
          </c:marker>
          <c:cat>
            <c:strRef>
              <c:f>Lapas1!$A$2:$A$6</c:f>
              <c:strCache>
                <c:ptCount val="5"/>
                <c:pt idx="0">
                  <c:v>2011 m.</c:v>
                </c:pt>
                <c:pt idx="1">
                  <c:v>2012 m.</c:v>
                </c:pt>
                <c:pt idx="2">
                  <c:v>2013 m.</c:v>
                </c:pt>
                <c:pt idx="3">
                  <c:v>2014 m</c:v>
                </c:pt>
                <c:pt idx="4">
                  <c:v>2015 m.</c:v>
                </c:pt>
              </c:strCache>
            </c:strRef>
          </c:cat>
          <c:val>
            <c:numRef>
              <c:f>Lapas1!$E$2:$E$6</c:f>
              <c:numCache>
                <c:formatCode>General</c:formatCode>
                <c:ptCount val="5"/>
                <c:pt idx="0">
                  <c:v>122</c:v>
                </c:pt>
                <c:pt idx="1">
                  <c:v>68</c:v>
                </c:pt>
                <c:pt idx="2">
                  <c:v>95</c:v>
                </c:pt>
                <c:pt idx="3">
                  <c:v>142</c:v>
                </c:pt>
                <c:pt idx="4">
                  <c:v>124</c:v>
                </c:pt>
              </c:numCache>
            </c:numRef>
          </c:val>
          <c:smooth val="0"/>
        </c:ser>
        <c:dLbls>
          <c:showLegendKey val="0"/>
          <c:showVal val="0"/>
          <c:showCatName val="0"/>
          <c:showSerName val="0"/>
          <c:showPercent val="0"/>
          <c:showBubbleSize val="0"/>
        </c:dLbls>
        <c:smooth val="0"/>
        <c:axId val="213790824"/>
        <c:axId val="213791216"/>
      </c:lineChart>
      <c:catAx>
        <c:axId val="213790824"/>
        <c:scaling>
          <c:orientation val="minMax"/>
        </c:scaling>
        <c:delete val="0"/>
        <c:axPos val="b"/>
        <c:numFmt formatCode="General" sourceLinked="0"/>
        <c:majorTickMark val="none"/>
        <c:minorTickMark val="none"/>
        <c:tickLblPos val="nextTo"/>
        <c:crossAx val="213791216"/>
        <c:crosses val="autoZero"/>
        <c:auto val="1"/>
        <c:lblAlgn val="ctr"/>
        <c:lblOffset val="100"/>
        <c:noMultiLvlLbl val="0"/>
      </c:catAx>
      <c:valAx>
        <c:axId val="213791216"/>
        <c:scaling>
          <c:orientation val="minMax"/>
        </c:scaling>
        <c:delete val="0"/>
        <c:axPos val="l"/>
        <c:majorGridlines/>
        <c:numFmt formatCode="General" sourceLinked="1"/>
        <c:majorTickMark val="none"/>
        <c:minorTickMark val="none"/>
        <c:tickLblPos val="nextTo"/>
        <c:txPr>
          <a:bodyPr/>
          <a:lstStyle/>
          <a:p>
            <a:pPr>
              <a:defRPr sz="1100"/>
            </a:pPr>
            <a:endParaRPr lang="lt-LT"/>
          </a:p>
        </c:txPr>
        <c:crossAx val="213790824"/>
        <c:crosses val="autoZero"/>
        <c:crossBetween val="between"/>
      </c:valAx>
      <c:dTable>
        <c:showHorzBorder val="1"/>
        <c:showVertBorder val="1"/>
        <c:showOutline val="1"/>
        <c:showKeys val="1"/>
        <c:txPr>
          <a:bodyPr/>
          <a:lstStyle/>
          <a:p>
            <a:pPr rtl="0">
              <a:defRPr sz="1100"/>
            </a:pPr>
            <a:endParaRPr lang="lt-LT"/>
          </a:p>
        </c:txPr>
      </c:dTable>
    </c:plotArea>
    <c:plotVisOnly val="1"/>
    <c:dispBlanksAs val="gap"/>
    <c:showDLblsOverMax val="0"/>
  </c:chart>
  <c:txPr>
    <a:bodyPr/>
    <a:lstStyle/>
    <a:p>
      <a:pPr>
        <a:defRPr sz="1800"/>
      </a:pPr>
      <a:endParaRPr lang="lt-LT"/>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lt-LT"/>
              <a:t>Instrumentinių tyrimų dinamika</a:t>
            </a:r>
          </a:p>
        </c:rich>
      </c:tx>
      <c:layout/>
      <c:overlay val="0"/>
    </c:title>
    <c:autoTitleDeleted val="0"/>
    <c:plotArea>
      <c:layout/>
      <c:lineChart>
        <c:grouping val="standard"/>
        <c:varyColors val="0"/>
        <c:ser>
          <c:idx val="0"/>
          <c:order val="0"/>
          <c:tx>
            <c:strRef>
              <c:f>Lapas1!$B$1</c:f>
              <c:strCache>
                <c:ptCount val="1"/>
                <c:pt idx="0">
                  <c:v>KŽI</c:v>
                </c:pt>
              </c:strCache>
            </c:strRef>
          </c:tx>
          <c:marker>
            <c:symbol val="none"/>
          </c:marker>
          <c:cat>
            <c:strRef>
              <c:f>Lapas1!$A$2:$A$6</c:f>
              <c:strCache>
                <c:ptCount val="5"/>
                <c:pt idx="0">
                  <c:v>2011 m.</c:v>
                </c:pt>
                <c:pt idx="1">
                  <c:v>2012 m.</c:v>
                </c:pt>
                <c:pt idx="2">
                  <c:v>2013 m.</c:v>
                </c:pt>
                <c:pt idx="3">
                  <c:v>2014 m.</c:v>
                </c:pt>
                <c:pt idx="4">
                  <c:v>2015 m.</c:v>
                </c:pt>
              </c:strCache>
            </c:strRef>
          </c:cat>
          <c:val>
            <c:numRef>
              <c:f>Lapas1!$B$2:$B$6</c:f>
              <c:numCache>
                <c:formatCode>General</c:formatCode>
                <c:ptCount val="5"/>
                <c:pt idx="0">
                  <c:v>256</c:v>
                </c:pt>
                <c:pt idx="1">
                  <c:v>163</c:v>
                </c:pt>
                <c:pt idx="2">
                  <c:v>118</c:v>
                </c:pt>
                <c:pt idx="3">
                  <c:v>61</c:v>
                </c:pt>
                <c:pt idx="4">
                  <c:v>63</c:v>
                </c:pt>
              </c:numCache>
            </c:numRef>
          </c:val>
          <c:smooth val="0"/>
        </c:ser>
        <c:ser>
          <c:idx val="1"/>
          <c:order val="1"/>
          <c:tx>
            <c:strRef>
              <c:f>Lapas1!$C$1</c:f>
              <c:strCache>
                <c:ptCount val="1"/>
                <c:pt idx="0">
                  <c:v>Holteris </c:v>
                </c:pt>
              </c:strCache>
            </c:strRef>
          </c:tx>
          <c:marker>
            <c:symbol val="none"/>
          </c:marker>
          <c:cat>
            <c:strRef>
              <c:f>Lapas1!$A$2:$A$6</c:f>
              <c:strCache>
                <c:ptCount val="5"/>
                <c:pt idx="0">
                  <c:v>2011 m.</c:v>
                </c:pt>
                <c:pt idx="1">
                  <c:v>2012 m.</c:v>
                </c:pt>
                <c:pt idx="2">
                  <c:v>2013 m.</c:v>
                </c:pt>
                <c:pt idx="3">
                  <c:v>2014 m.</c:v>
                </c:pt>
                <c:pt idx="4">
                  <c:v>2015 m.</c:v>
                </c:pt>
              </c:strCache>
            </c:strRef>
          </c:cat>
          <c:val>
            <c:numRef>
              <c:f>Lapas1!$C$2:$C$6</c:f>
              <c:numCache>
                <c:formatCode>General</c:formatCode>
                <c:ptCount val="5"/>
                <c:pt idx="0">
                  <c:v>0</c:v>
                </c:pt>
                <c:pt idx="1">
                  <c:v>32</c:v>
                </c:pt>
                <c:pt idx="2">
                  <c:v>30</c:v>
                </c:pt>
                <c:pt idx="3">
                  <c:v>12</c:v>
                </c:pt>
                <c:pt idx="4">
                  <c:v>69</c:v>
                </c:pt>
              </c:numCache>
            </c:numRef>
          </c:val>
          <c:smooth val="0"/>
        </c:ser>
        <c:ser>
          <c:idx val="2"/>
          <c:order val="2"/>
          <c:tx>
            <c:strRef>
              <c:f>Lapas1!$D$1</c:f>
              <c:strCache>
                <c:ptCount val="1"/>
                <c:pt idx="0">
                  <c:v>VEM</c:v>
                </c:pt>
              </c:strCache>
            </c:strRef>
          </c:tx>
          <c:marker>
            <c:symbol val="none"/>
          </c:marker>
          <c:cat>
            <c:strRef>
              <c:f>Lapas1!$A$2:$A$6</c:f>
              <c:strCache>
                <c:ptCount val="5"/>
                <c:pt idx="0">
                  <c:v>2011 m.</c:v>
                </c:pt>
                <c:pt idx="1">
                  <c:v>2012 m.</c:v>
                </c:pt>
                <c:pt idx="2">
                  <c:v>2013 m.</c:v>
                </c:pt>
                <c:pt idx="3">
                  <c:v>2014 m.</c:v>
                </c:pt>
                <c:pt idx="4">
                  <c:v>2015 m.</c:v>
                </c:pt>
              </c:strCache>
            </c:strRef>
          </c:cat>
          <c:val>
            <c:numRef>
              <c:f>Lapas1!$D$2:$D$6</c:f>
              <c:numCache>
                <c:formatCode>General</c:formatCode>
                <c:ptCount val="5"/>
                <c:pt idx="0">
                  <c:v>0</c:v>
                </c:pt>
                <c:pt idx="1">
                  <c:v>101</c:v>
                </c:pt>
                <c:pt idx="2">
                  <c:v>66</c:v>
                </c:pt>
                <c:pt idx="3">
                  <c:v>107</c:v>
                </c:pt>
                <c:pt idx="4">
                  <c:v>168</c:v>
                </c:pt>
              </c:numCache>
            </c:numRef>
          </c:val>
          <c:smooth val="0"/>
        </c:ser>
        <c:ser>
          <c:idx val="3"/>
          <c:order val="3"/>
          <c:tx>
            <c:strRef>
              <c:f>Lapas1!$E$1</c:f>
              <c:strCache>
                <c:ptCount val="1"/>
                <c:pt idx="0">
                  <c:v>Kraujag.UG</c:v>
                </c:pt>
              </c:strCache>
            </c:strRef>
          </c:tx>
          <c:marker>
            <c:symbol val="none"/>
          </c:marker>
          <c:cat>
            <c:strRef>
              <c:f>Lapas1!$A$2:$A$6</c:f>
              <c:strCache>
                <c:ptCount val="5"/>
                <c:pt idx="0">
                  <c:v>2011 m.</c:v>
                </c:pt>
                <c:pt idx="1">
                  <c:v>2012 m.</c:v>
                </c:pt>
                <c:pt idx="2">
                  <c:v>2013 m.</c:v>
                </c:pt>
                <c:pt idx="3">
                  <c:v>2014 m.</c:v>
                </c:pt>
                <c:pt idx="4">
                  <c:v>2015 m.</c:v>
                </c:pt>
              </c:strCache>
            </c:strRef>
          </c:cat>
          <c:val>
            <c:numRef>
              <c:f>Lapas1!$E$2:$E$6</c:f>
              <c:numCache>
                <c:formatCode>General</c:formatCode>
                <c:ptCount val="5"/>
                <c:pt idx="0">
                  <c:v>21</c:v>
                </c:pt>
                <c:pt idx="1">
                  <c:v>37</c:v>
                </c:pt>
                <c:pt idx="2">
                  <c:v>1</c:v>
                </c:pt>
                <c:pt idx="3">
                  <c:v>6</c:v>
                </c:pt>
                <c:pt idx="4">
                  <c:v>8</c:v>
                </c:pt>
              </c:numCache>
            </c:numRef>
          </c:val>
          <c:smooth val="0"/>
        </c:ser>
        <c:dLbls>
          <c:showLegendKey val="0"/>
          <c:showVal val="0"/>
          <c:showCatName val="0"/>
          <c:showSerName val="0"/>
          <c:showPercent val="0"/>
          <c:showBubbleSize val="0"/>
        </c:dLbls>
        <c:smooth val="0"/>
        <c:axId val="213792392"/>
        <c:axId val="213459640"/>
      </c:lineChart>
      <c:catAx>
        <c:axId val="213792392"/>
        <c:scaling>
          <c:orientation val="minMax"/>
        </c:scaling>
        <c:delete val="0"/>
        <c:axPos val="b"/>
        <c:numFmt formatCode="General" sourceLinked="0"/>
        <c:majorTickMark val="none"/>
        <c:minorTickMark val="none"/>
        <c:tickLblPos val="nextTo"/>
        <c:crossAx val="213459640"/>
        <c:crosses val="autoZero"/>
        <c:auto val="1"/>
        <c:lblAlgn val="ctr"/>
        <c:lblOffset val="100"/>
        <c:noMultiLvlLbl val="0"/>
      </c:catAx>
      <c:valAx>
        <c:axId val="213459640"/>
        <c:scaling>
          <c:orientation val="minMax"/>
        </c:scaling>
        <c:delete val="0"/>
        <c:axPos val="l"/>
        <c:majorGridlines/>
        <c:numFmt formatCode="General" sourceLinked="1"/>
        <c:majorTickMark val="none"/>
        <c:minorTickMark val="none"/>
        <c:tickLblPos val="nextTo"/>
        <c:crossAx val="213792392"/>
        <c:crosses val="autoZero"/>
        <c:crossBetween val="between"/>
      </c:valAx>
      <c:dTable>
        <c:showHorzBorder val="1"/>
        <c:showVertBorder val="1"/>
        <c:showOutline val="1"/>
        <c:showKeys val="1"/>
      </c:dTable>
    </c:plotArea>
    <c:plotVisOnly val="1"/>
    <c:dispBlanksAs val="gap"/>
    <c:showDLblsOverMax val="0"/>
  </c:chart>
  <c:txPr>
    <a:bodyPr/>
    <a:lstStyle/>
    <a:p>
      <a:pPr>
        <a:defRPr sz="1100"/>
      </a:pPr>
      <a:endParaRPr lang="lt-LT"/>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Gydytojų</a:t>
            </a:r>
            <a:r>
              <a:rPr lang="lt-LT" baseline="0"/>
              <a:t> konsultacijų paslaugos 2015 m.</a:t>
            </a:r>
            <a:endParaRPr lang="lt-LT"/>
          </a:p>
        </c:rich>
      </c:tx>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9328821206993778E-2"/>
          <c:y val="0.11585328619636823"/>
          <c:w val="0.97067117879300679"/>
          <c:h val="0.35235443783812737"/>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Pt>
            <c:idx val="7"/>
            <c:bubble3D val="0"/>
            <c:spPr>
              <a:solidFill>
                <a:schemeClr val="accent2">
                  <a:lumMod val="60000"/>
                </a:schemeClr>
              </a:solidFill>
              <a:ln w="25400">
                <a:solidFill>
                  <a:schemeClr val="lt1"/>
                </a:solidFill>
              </a:ln>
              <a:effectLst/>
              <a:sp3d contourW="25400">
                <a:contourClr>
                  <a:schemeClr val="lt1"/>
                </a:contourClr>
              </a:sp3d>
            </c:spPr>
          </c:dPt>
          <c:dPt>
            <c:idx val="8"/>
            <c:bubble3D val="0"/>
            <c:spPr>
              <a:solidFill>
                <a:schemeClr val="accent3">
                  <a:lumMod val="60000"/>
                </a:schemeClr>
              </a:solidFill>
              <a:ln w="25400">
                <a:solidFill>
                  <a:schemeClr val="lt1"/>
                </a:solidFill>
              </a:ln>
              <a:effectLst/>
              <a:sp3d contourW="25400">
                <a:contourClr>
                  <a:schemeClr val="lt1"/>
                </a:contourClr>
              </a:sp3d>
            </c:spPr>
          </c:dPt>
          <c:dPt>
            <c:idx val="9"/>
            <c:bubble3D val="0"/>
            <c:spPr>
              <a:solidFill>
                <a:schemeClr val="accent4">
                  <a:lumMod val="60000"/>
                </a:schemeClr>
              </a:solidFill>
              <a:ln w="25400">
                <a:solidFill>
                  <a:schemeClr val="lt1"/>
                </a:solidFill>
              </a:ln>
              <a:effectLst/>
              <a:sp3d contourW="25400">
                <a:contourClr>
                  <a:schemeClr val="lt1"/>
                </a:contourClr>
              </a:sp3d>
            </c:spPr>
          </c:dPt>
          <c:dPt>
            <c:idx val="10"/>
            <c:bubble3D val="0"/>
            <c:spPr>
              <a:solidFill>
                <a:schemeClr val="accent5">
                  <a:lumMod val="60000"/>
                </a:schemeClr>
              </a:solidFill>
              <a:ln w="25400">
                <a:solidFill>
                  <a:schemeClr val="lt1"/>
                </a:solidFill>
              </a:ln>
              <a:effectLst/>
              <a:sp3d contourW="25400">
                <a:contourClr>
                  <a:schemeClr val="lt1"/>
                </a:contourClr>
              </a:sp3d>
            </c:spPr>
          </c:dPt>
          <c:dPt>
            <c:idx val="11"/>
            <c:bubble3D val="0"/>
            <c:spPr>
              <a:solidFill>
                <a:schemeClr val="accent6">
                  <a:lumMod val="60000"/>
                </a:schemeClr>
              </a:solidFill>
              <a:ln w="25400">
                <a:solidFill>
                  <a:schemeClr val="lt1"/>
                </a:solidFill>
              </a:ln>
              <a:effectLst/>
              <a:sp3d contourW="25400">
                <a:contourClr>
                  <a:schemeClr val="lt1"/>
                </a:contourClr>
              </a:sp3d>
            </c:spPr>
          </c:dPt>
          <c:dPt>
            <c:idx val="12"/>
            <c:bubble3D val="0"/>
            <c:spPr>
              <a:solidFill>
                <a:schemeClr val="accent1">
                  <a:lumMod val="80000"/>
                  <a:lumOff val="20000"/>
                </a:schemeClr>
              </a:solidFill>
              <a:ln w="25400">
                <a:solidFill>
                  <a:schemeClr val="lt1"/>
                </a:solidFill>
              </a:ln>
              <a:effectLst/>
              <a:sp3d contourW="25400">
                <a:contourClr>
                  <a:schemeClr val="lt1"/>
                </a:contourClr>
              </a:sp3d>
            </c:spPr>
          </c:dPt>
          <c:dPt>
            <c:idx val="13"/>
            <c:bubble3D val="0"/>
            <c:spPr>
              <a:solidFill>
                <a:schemeClr val="accent2">
                  <a:lumMod val="80000"/>
                  <a:lumOff val="20000"/>
                </a:schemeClr>
              </a:solidFill>
              <a:ln w="25400">
                <a:solidFill>
                  <a:schemeClr val="lt1"/>
                </a:solidFill>
              </a:ln>
              <a:effectLst/>
              <a:sp3d contourW="25400">
                <a:contourClr>
                  <a:schemeClr val="lt1"/>
                </a:contourClr>
              </a:sp3d>
            </c:spPr>
          </c:dPt>
          <c:dPt>
            <c:idx val="14"/>
            <c:bubble3D val="0"/>
            <c:spPr>
              <a:solidFill>
                <a:schemeClr val="accent3">
                  <a:lumMod val="80000"/>
                  <a:lumOff val="20000"/>
                </a:schemeClr>
              </a:solidFill>
              <a:ln w="25400">
                <a:solidFill>
                  <a:schemeClr val="lt1"/>
                </a:solidFill>
              </a:ln>
              <a:effectLst/>
              <a:sp3d contourW="25400">
                <a:contourClr>
                  <a:schemeClr val="lt1"/>
                </a:contourClr>
              </a:sp3d>
            </c:spPr>
          </c:dPt>
          <c:dPt>
            <c:idx val="15"/>
            <c:bubble3D val="0"/>
            <c:spPr>
              <a:solidFill>
                <a:schemeClr val="accent4">
                  <a:lumMod val="80000"/>
                  <a:lumOff val="20000"/>
                </a:schemeClr>
              </a:solidFill>
              <a:ln w="25400">
                <a:solidFill>
                  <a:schemeClr val="lt1"/>
                </a:solidFill>
              </a:ln>
              <a:effectLst/>
              <a:sp3d contourW="25400">
                <a:contourClr>
                  <a:schemeClr val="lt1"/>
                </a:contourClr>
              </a:sp3d>
            </c:spPr>
          </c:dPt>
          <c:dPt>
            <c:idx val="16"/>
            <c:bubble3D val="0"/>
            <c:spPr>
              <a:solidFill>
                <a:schemeClr val="accent5">
                  <a:lumMod val="80000"/>
                  <a:lumOff val="20000"/>
                </a:schemeClr>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'Konsultacijų skaičius'!$B$14:$R$14</c:f>
              <c:strCache>
                <c:ptCount val="17"/>
                <c:pt idx="0">
                  <c:v>Chirugo-1785</c:v>
                </c:pt>
                <c:pt idx="1">
                  <c:v>Kardiologo-811</c:v>
                </c:pt>
                <c:pt idx="2">
                  <c:v>Pulmanologo-272</c:v>
                </c:pt>
                <c:pt idx="3">
                  <c:v>Endokrinologo-225</c:v>
                </c:pt>
                <c:pt idx="4">
                  <c:v>Dermatovenerologo-668</c:v>
                </c:pt>
                <c:pt idx="5">
                  <c:v>Urologo-451</c:v>
                </c:pt>
                <c:pt idx="6">
                  <c:v>Akušerio-ginekologo-667</c:v>
                </c:pt>
                <c:pt idx="7">
                  <c:v>Fizinės medicinos ir reabilitacijos-3908</c:v>
                </c:pt>
                <c:pt idx="8">
                  <c:v>Otorinolaringologo-2294</c:v>
                </c:pt>
                <c:pt idx="9">
                  <c:v>Endoskopuotojo-904</c:v>
                </c:pt>
                <c:pt idx="10">
                  <c:v>Echoskopuotojo-2473</c:v>
                </c:pt>
                <c:pt idx="11">
                  <c:v>Ortopedo-odontologo-17</c:v>
                </c:pt>
                <c:pt idx="12">
                  <c:v>Ortopedas traumatologas-601</c:v>
                </c:pt>
                <c:pt idx="13">
                  <c:v>Kolonoskopuotojo-95</c:v>
                </c:pt>
                <c:pt idx="14">
                  <c:v>Neurologo-3149</c:v>
                </c:pt>
                <c:pt idx="15">
                  <c:v>Oftalmologo-3650</c:v>
                </c:pt>
                <c:pt idx="16">
                  <c:v>Radiologo-7580</c:v>
                </c:pt>
              </c:strCache>
            </c:strRef>
          </c:cat>
          <c:val>
            <c:numRef>
              <c:f>'Konsultacijų skaičius'!$B$15:$R$15</c:f>
              <c:numCache>
                <c:formatCode>General</c:formatCode>
                <c:ptCount val="17"/>
                <c:pt idx="0">
                  <c:v>1785</c:v>
                </c:pt>
                <c:pt idx="1">
                  <c:v>811</c:v>
                </c:pt>
                <c:pt idx="2">
                  <c:v>272</c:v>
                </c:pt>
                <c:pt idx="3">
                  <c:v>225</c:v>
                </c:pt>
                <c:pt idx="4">
                  <c:v>668</c:v>
                </c:pt>
                <c:pt idx="5">
                  <c:v>451</c:v>
                </c:pt>
                <c:pt idx="6">
                  <c:v>667</c:v>
                </c:pt>
                <c:pt idx="7">
                  <c:v>3908</c:v>
                </c:pt>
                <c:pt idx="8">
                  <c:v>2294</c:v>
                </c:pt>
                <c:pt idx="9">
                  <c:v>904</c:v>
                </c:pt>
                <c:pt idx="10">
                  <c:v>2473</c:v>
                </c:pt>
                <c:pt idx="11">
                  <c:v>17</c:v>
                </c:pt>
                <c:pt idx="12">
                  <c:v>601</c:v>
                </c:pt>
                <c:pt idx="13">
                  <c:v>95</c:v>
                </c:pt>
                <c:pt idx="14">
                  <c:v>3149</c:v>
                </c:pt>
                <c:pt idx="15">
                  <c:v>3650</c:v>
                </c:pt>
                <c:pt idx="16">
                  <c:v>7580</c:v>
                </c:pt>
              </c:numCache>
            </c:numRef>
          </c:val>
        </c:ser>
        <c:dLbls>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1603668323185489"/>
          <c:y val="0.46810862927848335"/>
          <c:w val="0.78530112669926411"/>
          <c:h val="0.511483207456210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435870516185477"/>
          <c:y val="0.16655110819480898"/>
          <c:w val="0.83953018372703336"/>
          <c:h val="0.3924161563137944"/>
        </c:manualLayout>
      </c:layout>
      <c:bar3DChart>
        <c:barDir val="col"/>
        <c:grouping val="clustered"/>
        <c:varyColors val="0"/>
        <c:ser>
          <c:idx val="0"/>
          <c:order val="0"/>
          <c:tx>
            <c:strRef>
              <c:f>'Pajamos is psdf ir už paslaugas'!$B$4</c:f>
              <c:strCache>
                <c:ptCount val="1"/>
                <c:pt idx="0">
                  <c:v>2013 m.</c:v>
                </c:pt>
              </c:strCache>
            </c:strRef>
          </c:tx>
          <c:spPr>
            <a:solidFill>
              <a:schemeClr val="tx2">
                <a:lumMod val="40000"/>
                <a:lumOff val="60000"/>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'Pajamos is psdf ir už paslaugas'!$C$3:$D$3</c:f>
              <c:strCache>
                <c:ptCount val="2"/>
                <c:pt idx="0">
                  <c:v>Pajamos iš PSDF</c:v>
                </c:pt>
                <c:pt idx="1">
                  <c:v>Kitos pajamos</c:v>
                </c:pt>
              </c:strCache>
            </c:strRef>
          </c:cat>
          <c:val>
            <c:numRef>
              <c:f>'Pajamos is psdf ir už paslaugas'!$C$4:$D$4</c:f>
              <c:numCache>
                <c:formatCode>General</c:formatCode>
                <c:ptCount val="2"/>
                <c:pt idx="0">
                  <c:v>1384493</c:v>
                </c:pt>
                <c:pt idx="1">
                  <c:v>195671</c:v>
                </c:pt>
              </c:numCache>
            </c:numRef>
          </c:val>
        </c:ser>
        <c:ser>
          <c:idx val="1"/>
          <c:order val="1"/>
          <c:tx>
            <c:strRef>
              <c:f>'Pajamos is psdf ir už paslaugas'!$B$5</c:f>
              <c:strCache>
                <c:ptCount val="1"/>
                <c:pt idx="0">
                  <c:v>2014 m. </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'Pajamos is psdf ir už paslaugas'!$C$3:$D$3</c:f>
              <c:strCache>
                <c:ptCount val="2"/>
                <c:pt idx="0">
                  <c:v>Pajamos iš PSDF</c:v>
                </c:pt>
                <c:pt idx="1">
                  <c:v>Kitos pajamos</c:v>
                </c:pt>
              </c:strCache>
            </c:strRef>
          </c:cat>
          <c:val>
            <c:numRef>
              <c:f>'Pajamos is psdf ir už paslaugas'!$C$5:$D$5</c:f>
              <c:numCache>
                <c:formatCode>General</c:formatCode>
                <c:ptCount val="2"/>
                <c:pt idx="0">
                  <c:v>1492950</c:v>
                </c:pt>
                <c:pt idx="1">
                  <c:v>166829</c:v>
                </c:pt>
              </c:numCache>
            </c:numRef>
          </c:val>
        </c:ser>
        <c:ser>
          <c:idx val="2"/>
          <c:order val="2"/>
          <c:tx>
            <c:strRef>
              <c:f>'Pajamos is psdf ir už paslaugas'!$B$6</c:f>
              <c:strCache>
                <c:ptCount val="1"/>
                <c:pt idx="0">
                  <c:v>2015 m.</c:v>
                </c:pt>
              </c:strCache>
            </c:strRef>
          </c:tx>
          <c:spPr>
            <a:solidFill>
              <a:srgbClr val="0070C0">
                <a:alpha val="85000"/>
              </a:srgb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'Pajamos is psdf ir už paslaugas'!$C$3:$D$3</c:f>
              <c:strCache>
                <c:ptCount val="2"/>
                <c:pt idx="0">
                  <c:v>Pajamos iš PSDF</c:v>
                </c:pt>
                <c:pt idx="1">
                  <c:v>Kitos pajamos</c:v>
                </c:pt>
              </c:strCache>
            </c:strRef>
          </c:cat>
          <c:val>
            <c:numRef>
              <c:f>'Pajamos is psdf ir už paslaugas'!$C$6:$D$6</c:f>
              <c:numCache>
                <c:formatCode>General</c:formatCode>
                <c:ptCount val="2"/>
                <c:pt idx="0">
                  <c:v>1540723</c:v>
                </c:pt>
                <c:pt idx="1">
                  <c:v>163217</c:v>
                </c:pt>
              </c:numCache>
            </c:numRef>
          </c:val>
        </c:ser>
        <c:dLbls>
          <c:showLegendKey val="0"/>
          <c:showVal val="0"/>
          <c:showCatName val="0"/>
          <c:showSerName val="0"/>
          <c:showPercent val="0"/>
          <c:showBubbleSize val="0"/>
        </c:dLbls>
        <c:gapWidth val="65"/>
        <c:shape val="box"/>
        <c:axId val="142068168"/>
        <c:axId val="142068560"/>
        <c:axId val="0"/>
      </c:bar3DChart>
      <c:catAx>
        <c:axId val="1420681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142068560"/>
        <c:crosses val="autoZero"/>
        <c:auto val="1"/>
        <c:lblAlgn val="ctr"/>
        <c:lblOffset val="100"/>
        <c:noMultiLvlLbl val="0"/>
      </c:catAx>
      <c:valAx>
        <c:axId val="14206856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crossAx val="142068168"/>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lt-LT"/>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32"/>
    </mc:Choice>
    <mc:Fallback>
      <c:style val="32"/>
    </mc:Fallback>
  </mc:AlternateContent>
  <c:chart>
    <c:title>
      <c:layout/>
      <c:overlay val="0"/>
      <c:txPr>
        <a:bodyPr/>
        <a:lstStyle/>
        <a:p>
          <a:pPr>
            <a:defRPr sz="1200"/>
          </a:pPr>
          <a:endParaRPr lang="lt-LT"/>
        </a:p>
      </c:txPr>
    </c:title>
    <c:autoTitleDeleted val="0"/>
    <c:plotArea>
      <c:layout/>
      <c:lineChart>
        <c:grouping val="standard"/>
        <c:varyColors val="0"/>
        <c:ser>
          <c:idx val="0"/>
          <c:order val="0"/>
          <c:tx>
            <c:strRef>
              <c:f>Lapas1!$B$1</c:f>
              <c:strCache>
                <c:ptCount val="1"/>
                <c:pt idx="0">
                  <c:v>Rentgenologiniai tyrimai</c:v>
                </c:pt>
              </c:strCache>
            </c:strRef>
          </c:tx>
          <c:marker>
            <c:symbol val="none"/>
          </c:marker>
          <c:dLbls>
            <c:dLbl>
              <c:idx val="0"/>
              <c:layout>
                <c:manualLayout>
                  <c:x val="-4.0123456790123462E-2"/>
                  <c:y val="-3.367239193073385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2407407407407433E-2"/>
                  <c:y val="5.612065321788976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3209876543209826E-2"/>
                  <c:y val="-4.209048991341740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2469135802469126E-2"/>
                  <c:y val="6.453875120057328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5493827160493853E-2"/>
                  <c:y val="4.489652257431185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6296296296296335E-2"/>
                  <c:y val="-5.892668587878428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7839506172839497E-2"/>
                  <c:y val="6.17327185396787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4.0123456790123462E-2"/>
                  <c:y val="-3.08663592698393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8518518518518531E-2"/>
                  <c:y val="4.770255523520636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110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Lapas1!$B$2:$B$10</c:f>
              <c:numCache>
                <c:formatCode>General</c:formatCode>
                <c:ptCount val="9"/>
                <c:pt idx="0">
                  <c:v>14342</c:v>
                </c:pt>
                <c:pt idx="1">
                  <c:v>15753</c:v>
                </c:pt>
                <c:pt idx="2">
                  <c:v>13771</c:v>
                </c:pt>
                <c:pt idx="3">
                  <c:v>12105</c:v>
                </c:pt>
                <c:pt idx="4">
                  <c:v>13406</c:v>
                </c:pt>
                <c:pt idx="5">
                  <c:v>12130</c:v>
                </c:pt>
                <c:pt idx="6">
                  <c:v>12552</c:v>
                </c:pt>
                <c:pt idx="7">
                  <c:v>12210</c:v>
                </c:pt>
                <c:pt idx="8">
                  <c:v>12396</c:v>
                </c:pt>
              </c:numCache>
            </c:numRef>
          </c:val>
          <c:smooth val="0"/>
        </c:ser>
        <c:dLbls>
          <c:showLegendKey val="0"/>
          <c:showVal val="1"/>
          <c:showCatName val="0"/>
          <c:showSerName val="0"/>
          <c:showPercent val="0"/>
          <c:showBubbleSize val="0"/>
        </c:dLbls>
        <c:smooth val="0"/>
        <c:axId val="213461208"/>
        <c:axId val="213461600"/>
      </c:lineChart>
      <c:catAx>
        <c:axId val="213461208"/>
        <c:scaling>
          <c:orientation val="minMax"/>
        </c:scaling>
        <c:delete val="0"/>
        <c:axPos val="b"/>
        <c:numFmt formatCode="General" sourceLinked="1"/>
        <c:majorTickMark val="none"/>
        <c:minorTickMark val="none"/>
        <c:tickLblPos val="nextTo"/>
        <c:txPr>
          <a:bodyPr/>
          <a:lstStyle/>
          <a:p>
            <a:pPr>
              <a:defRPr sz="1200"/>
            </a:pPr>
            <a:endParaRPr lang="lt-LT"/>
          </a:p>
        </c:txPr>
        <c:crossAx val="213461600"/>
        <c:crosses val="autoZero"/>
        <c:auto val="1"/>
        <c:lblAlgn val="ctr"/>
        <c:lblOffset val="100"/>
        <c:noMultiLvlLbl val="0"/>
      </c:catAx>
      <c:valAx>
        <c:axId val="213461600"/>
        <c:scaling>
          <c:orientation val="minMax"/>
          <c:min val="10000"/>
        </c:scaling>
        <c:delete val="0"/>
        <c:axPos val="l"/>
        <c:majorGridlines/>
        <c:numFmt formatCode="General" sourceLinked="1"/>
        <c:majorTickMark val="none"/>
        <c:minorTickMark val="none"/>
        <c:tickLblPos val="nextTo"/>
        <c:txPr>
          <a:bodyPr/>
          <a:lstStyle/>
          <a:p>
            <a:pPr>
              <a:defRPr sz="1200"/>
            </a:pPr>
            <a:endParaRPr lang="lt-LT"/>
          </a:p>
        </c:txPr>
        <c:crossAx val="213461208"/>
        <c:crosses val="autoZero"/>
        <c:crossBetween val="between"/>
      </c:valAx>
    </c:plotArea>
    <c:plotVisOnly val="1"/>
    <c:dispBlanksAs val="gap"/>
    <c:showDLblsOverMax val="0"/>
  </c:chart>
  <c:spPr>
    <a:solidFill>
      <a:schemeClr val="accent2">
        <a:lumMod val="20000"/>
        <a:lumOff val="80000"/>
      </a:schemeClr>
    </a:solidFill>
  </c:spPr>
  <c:txPr>
    <a:bodyPr/>
    <a:lstStyle/>
    <a:p>
      <a:pPr>
        <a:defRPr sz="1800"/>
      </a:pPr>
      <a:endParaRPr lang="lt-LT"/>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Dienos stacionaro paslaugų apimtys 2013-2015 m.</a:t>
            </a:r>
          </a:p>
        </c:rich>
      </c:tx>
      <c:layout>
        <c:manualLayout>
          <c:xMode val="edge"/>
          <c:yMode val="edge"/>
          <c:x val="0.20925678040244988"/>
          <c:y val="3.2407407407407433E-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2"/>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Sheet3!$M$4:$M$6</c:f>
              <c:strCache>
                <c:ptCount val="3"/>
                <c:pt idx="0">
                  <c:v>2013 m.</c:v>
                </c:pt>
                <c:pt idx="1">
                  <c:v>2014 m. </c:v>
                </c:pt>
                <c:pt idx="2">
                  <c:v>2015 m.</c:v>
                </c:pt>
              </c:strCache>
            </c:strRef>
          </c:cat>
          <c:val>
            <c:numRef>
              <c:f>Sheet3!$N$4:$N$6</c:f>
              <c:numCache>
                <c:formatCode>General</c:formatCode>
                <c:ptCount val="3"/>
                <c:pt idx="0">
                  <c:v>185</c:v>
                </c:pt>
                <c:pt idx="1">
                  <c:v>809</c:v>
                </c:pt>
                <c:pt idx="2">
                  <c:v>1323</c:v>
                </c:pt>
              </c:numCache>
            </c:numRef>
          </c:val>
        </c:ser>
        <c:dLbls>
          <c:showLegendKey val="0"/>
          <c:showVal val="1"/>
          <c:showCatName val="0"/>
          <c:showSerName val="0"/>
          <c:showPercent val="0"/>
          <c:showBubbleSize val="0"/>
        </c:dLbls>
        <c:gapWidth val="219"/>
        <c:overlap val="-27"/>
        <c:axId val="213462384"/>
        <c:axId val="213462776"/>
      </c:barChart>
      <c:catAx>
        <c:axId val="2134623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3462776"/>
        <c:crosses val="autoZero"/>
        <c:auto val="1"/>
        <c:lblAlgn val="ctr"/>
        <c:lblOffset val="100"/>
        <c:noMultiLvlLbl val="0"/>
      </c:catAx>
      <c:valAx>
        <c:axId val="213462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3462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2000"/>
            </a:pPr>
            <a:r>
              <a:rPr lang="lt-LT" sz="1200" dirty="0" smtClean="0"/>
              <a:t>Skyriuje atlikta</a:t>
            </a:r>
            <a:r>
              <a:rPr lang="lt-LT" sz="1200" baseline="0" dirty="0" smtClean="0"/>
              <a:t> procedūrų:  3908</a:t>
            </a:r>
            <a:endParaRPr lang="en-US" sz="1200" dirty="0"/>
          </a:p>
        </c:rich>
      </c:tx>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7.157653642351311E-2"/>
          <c:y val="0.12747278921033806"/>
          <c:w val="0.88886742930718576"/>
          <c:h val="0.81360051189117433"/>
        </c:manualLayout>
      </c:layout>
      <c:pie3DChart>
        <c:varyColors val="1"/>
        <c:ser>
          <c:idx val="0"/>
          <c:order val="0"/>
          <c:tx>
            <c:strRef>
              <c:f>Lapas1!$B$1</c:f>
              <c:strCache>
                <c:ptCount val="1"/>
                <c:pt idx="0">
                  <c:v>Pardavimas</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Lapas1!$A$2:$A$3</c:f>
              <c:strCache>
                <c:ptCount val="2"/>
                <c:pt idx="0">
                  <c:v>Ambulatorinių procedūrų: 29488</c:v>
                </c:pt>
                <c:pt idx="1">
                  <c:v>Stacionarinių procedūrų: 6196</c:v>
                </c:pt>
              </c:strCache>
            </c:strRef>
          </c:cat>
          <c:val>
            <c:numRef>
              <c:f>Lapas1!$B$2:$B$3</c:f>
              <c:numCache>
                <c:formatCode>#.000</c:formatCode>
                <c:ptCount val="2"/>
                <c:pt idx="0" formatCode="_-* ###,000\ _L_t_-;\-* ###,000\ _L_t_-;_-* &quot;-&quot;??\ _L_t_-;_-@_-">
                  <c:v>23014</c:v>
                </c:pt>
                <c:pt idx="1">
                  <c:v>4636</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7.2901005298865978E-2"/>
          <c:y val="0.71510012677967694"/>
          <c:w val="0.87049522111622835"/>
          <c:h val="0.28489987322032351"/>
        </c:manualLayout>
      </c:layout>
      <c:overlay val="0"/>
      <c:txPr>
        <a:bodyPr/>
        <a:lstStyle/>
        <a:p>
          <a:pPr>
            <a:defRPr sz="1200"/>
          </a:pPr>
          <a:endParaRPr lang="lt-LT"/>
        </a:p>
      </c:txPr>
    </c:legend>
    <c:plotVisOnly val="1"/>
    <c:dispBlanksAs val="zero"/>
    <c:showDLblsOverMax val="0"/>
  </c:chart>
  <c:txPr>
    <a:bodyPr/>
    <a:lstStyle/>
    <a:p>
      <a:pPr>
        <a:defRPr sz="1800"/>
      </a:pPr>
      <a:endParaRPr lang="lt-LT"/>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lt-LT" sz="1200" dirty="0"/>
              <a:t>Procedūrų </a:t>
            </a:r>
            <a:r>
              <a:rPr lang="lt-LT" sz="1200" dirty="0" smtClean="0"/>
              <a:t>pasiskirstymas </a:t>
            </a:r>
            <a:endParaRPr lang="lt-LT" sz="1200" dirty="0"/>
          </a:p>
        </c:rich>
      </c:tx>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6.8369909585658126E-2"/>
          <c:y val="0.10951179556260809"/>
          <c:w val="0.8661951861752466"/>
          <c:h val="0.53664587055419044"/>
        </c:manualLayout>
      </c:layout>
      <c:pie3DChart>
        <c:varyColors val="1"/>
        <c:ser>
          <c:idx val="0"/>
          <c:order val="0"/>
          <c:tx>
            <c:strRef>
              <c:f>Lapas1!$B$1</c:f>
              <c:strCache>
                <c:ptCount val="1"/>
                <c:pt idx="0">
                  <c:v>Procedūrų pasiskirstymas</c:v>
                </c:pt>
              </c:strCache>
            </c:strRef>
          </c:tx>
          <c:explosion val="25"/>
          <c:dLbls>
            <c:dLbl>
              <c:idx val="0"/>
              <c:layout>
                <c:manualLayout>
                  <c:x val="-7.5304495249566811E-2"/>
                  <c:y val="0.15749145228405256"/>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6.6463773829874687E-2"/>
                  <c:y val="4.5663924928507488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3.4684367907311178E-2"/>
                  <c:y val="-9.352314304795295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7.3524194959232389E-2"/>
                  <c:y val="-1.8684155949914322E-2"/>
                </c:manualLayout>
              </c:layou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Lapas1!$A$2:$A$5</c:f>
              <c:strCache>
                <c:ptCount val="4"/>
                <c:pt idx="0">
                  <c:v>FMR kabinete: 18090</c:v>
                </c:pt>
                <c:pt idx="1">
                  <c:v>Kineziterapijos kab.: 3471</c:v>
                </c:pt>
                <c:pt idx="2">
                  <c:v>Masažo kab.: 11967</c:v>
                </c:pt>
                <c:pt idx="3">
                  <c:v>Ergoterapijos kab.:2156</c:v>
                </c:pt>
              </c:strCache>
            </c:strRef>
          </c:cat>
          <c:val>
            <c:numRef>
              <c:f>Lapas1!$B$2:$B$5</c:f>
              <c:numCache>
                <c:formatCode>General</c:formatCode>
                <c:ptCount val="4"/>
                <c:pt idx="0">
                  <c:v>14178</c:v>
                </c:pt>
                <c:pt idx="1">
                  <c:v>3546</c:v>
                </c:pt>
                <c:pt idx="2">
                  <c:v>7343</c:v>
                </c:pt>
                <c:pt idx="3">
                  <c:v>2583</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0.16186143998187288"/>
          <c:y val="0.589763506124234"/>
          <c:w val="0.76432669706284562"/>
          <c:h val="0.40962709697305277"/>
        </c:manualLayout>
      </c:layout>
      <c:overlay val="0"/>
      <c:txPr>
        <a:bodyPr/>
        <a:lstStyle/>
        <a:p>
          <a:pPr>
            <a:defRPr sz="1200"/>
          </a:pPr>
          <a:endParaRPr lang="lt-LT"/>
        </a:p>
      </c:txPr>
    </c:legend>
    <c:plotVisOnly val="1"/>
    <c:dispBlanksAs val="zero"/>
    <c:showDLblsOverMax val="0"/>
  </c:chart>
  <c:txPr>
    <a:bodyPr/>
    <a:lstStyle/>
    <a:p>
      <a:pPr>
        <a:defRPr sz="1800"/>
      </a:pPr>
      <a:endParaRPr lang="lt-LT"/>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lgn="ctr" rtl="0">
              <a:defRPr/>
            </a:pPr>
            <a:r>
              <a:rPr lang="lt-LT"/>
              <a:t>Fizines medicinos ir reabilitacijos  paslaugų kitimas 2013-2015 metais</a:t>
            </a:r>
          </a:p>
          <a:p>
            <a:pPr algn="ctr" rtl="0">
              <a:defRPr/>
            </a:pPr>
            <a:endParaRPr lang="lt-LT"/>
          </a:p>
        </c:rich>
      </c:tx>
      <c:layout>
        <c:manualLayout>
          <c:xMode val="edge"/>
          <c:yMode val="edge"/>
          <c:x val="0.1011878832639176"/>
          <c:y val="1.0906612133605999E-2"/>
        </c:manualLayout>
      </c:layout>
      <c:overlay val="0"/>
    </c:title>
    <c:autoTitleDeleted val="0"/>
    <c:plotArea>
      <c:layout/>
      <c:lineChart>
        <c:grouping val="standard"/>
        <c:varyColors val="0"/>
        <c:ser>
          <c:idx val="0"/>
          <c:order val="0"/>
          <c:tx>
            <c:strRef>
              <c:f>Lapas1!$B$1</c:f>
              <c:strCache>
                <c:ptCount val="1"/>
                <c:pt idx="0">
                  <c:v>Bendrai</c:v>
                </c:pt>
              </c:strCache>
            </c:strRef>
          </c:tx>
          <c:marker>
            <c:symbol val="none"/>
          </c:marker>
          <c:cat>
            <c:numRef>
              <c:f>Lapas1!$A$2:$A$4</c:f>
              <c:numCache>
                <c:formatCode>General</c:formatCode>
                <c:ptCount val="3"/>
                <c:pt idx="0">
                  <c:v>2013</c:v>
                </c:pt>
                <c:pt idx="1">
                  <c:v>2014</c:v>
                </c:pt>
                <c:pt idx="2">
                  <c:v>2015</c:v>
                </c:pt>
              </c:numCache>
            </c:numRef>
          </c:cat>
          <c:val>
            <c:numRef>
              <c:f>Lapas1!$B$2:$B$4</c:f>
              <c:numCache>
                <c:formatCode>General</c:formatCode>
                <c:ptCount val="3"/>
                <c:pt idx="0">
                  <c:v>36915</c:v>
                </c:pt>
                <c:pt idx="1">
                  <c:v>35684</c:v>
                </c:pt>
                <c:pt idx="2">
                  <c:v>27650</c:v>
                </c:pt>
              </c:numCache>
            </c:numRef>
          </c:val>
          <c:smooth val="0"/>
        </c:ser>
        <c:ser>
          <c:idx val="1"/>
          <c:order val="1"/>
          <c:tx>
            <c:strRef>
              <c:f>Lapas1!$C$1</c:f>
              <c:strCache>
                <c:ptCount val="1"/>
                <c:pt idx="0">
                  <c:v>FMR kab.</c:v>
                </c:pt>
              </c:strCache>
            </c:strRef>
          </c:tx>
          <c:marker>
            <c:symbol val="none"/>
          </c:marker>
          <c:cat>
            <c:numRef>
              <c:f>Lapas1!$A$2:$A$4</c:f>
              <c:numCache>
                <c:formatCode>General</c:formatCode>
                <c:ptCount val="3"/>
                <c:pt idx="0">
                  <c:v>2013</c:v>
                </c:pt>
                <c:pt idx="1">
                  <c:v>2014</c:v>
                </c:pt>
                <c:pt idx="2">
                  <c:v>2015</c:v>
                </c:pt>
              </c:numCache>
            </c:numRef>
          </c:cat>
          <c:val>
            <c:numRef>
              <c:f>Lapas1!$C$2:$C$4</c:f>
              <c:numCache>
                <c:formatCode>General</c:formatCode>
                <c:ptCount val="3"/>
                <c:pt idx="0">
                  <c:v>20586</c:v>
                </c:pt>
                <c:pt idx="1">
                  <c:v>18090</c:v>
                </c:pt>
                <c:pt idx="2">
                  <c:v>14178</c:v>
                </c:pt>
              </c:numCache>
            </c:numRef>
          </c:val>
          <c:smooth val="0"/>
        </c:ser>
        <c:ser>
          <c:idx val="2"/>
          <c:order val="2"/>
          <c:tx>
            <c:strRef>
              <c:f>Lapas1!$D$1</c:f>
              <c:strCache>
                <c:ptCount val="1"/>
                <c:pt idx="0">
                  <c:v>Kineziterapijos kab.</c:v>
                </c:pt>
              </c:strCache>
            </c:strRef>
          </c:tx>
          <c:marker>
            <c:symbol val="none"/>
          </c:marker>
          <c:cat>
            <c:numRef>
              <c:f>Lapas1!$A$2:$A$4</c:f>
              <c:numCache>
                <c:formatCode>General</c:formatCode>
                <c:ptCount val="3"/>
                <c:pt idx="0">
                  <c:v>2013</c:v>
                </c:pt>
                <c:pt idx="1">
                  <c:v>2014</c:v>
                </c:pt>
                <c:pt idx="2">
                  <c:v>2015</c:v>
                </c:pt>
              </c:numCache>
            </c:numRef>
          </c:cat>
          <c:val>
            <c:numRef>
              <c:f>Lapas1!$D$2:$D$4</c:f>
              <c:numCache>
                <c:formatCode>General</c:formatCode>
                <c:ptCount val="3"/>
                <c:pt idx="0">
                  <c:v>3886</c:v>
                </c:pt>
                <c:pt idx="1">
                  <c:v>3471</c:v>
                </c:pt>
                <c:pt idx="2">
                  <c:v>3546</c:v>
                </c:pt>
              </c:numCache>
            </c:numRef>
          </c:val>
          <c:smooth val="0"/>
        </c:ser>
        <c:ser>
          <c:idx val="3"/>
          <c:order val="3"/>
          <c:tx>
            <c:strRef>
              <c:f>Lapas1!$E$1</c:f>
              <c:strCache>
                <c:ptCount val="1"/>
                <c:pt idx="0">
                  <c:v>Masažo kab.</c:v>
                </c:pt>
              </c:strCache>
            </c:strRef>
          </c:tx>
          <c:marker>
            <c:symbol val="none"/>
          </c:marker>
          <c:cat>
            <c:numRef>
              <c:f>Lapas1!$A$2:$A$4</c:f>
              <c:numCache>
                <c:formatCode>General</c:formatCode>
                <c:ptCount val="3"/>
                <c:pt idx="0">
                  <c:v>2013</c:v>
                </c:pt>
                <c:pt idx="1">
                  <c:v>2014</c:v>
                </c:pt>
                <c:pt idx="2">
                  <c:v>2015</c:v>
                </c:pt>
              </c:numCache>
            </c:numRef>
          </c:cat>
          <c:val>
            <c:numRef>
              <c:f>Lapas1!$E$2:$E$4</c:f>
              <c:numCache>
                <c:formatCode>General</c:formatCode>
                <c:ptCount val="3"/>
                <c:pt idx="0">
                  <c:v>11511</c:v>
                </c:pt>
                <c:pt idx="1">
                  <c:v>11967</c:v>
                </c:pt>
                <c:pt idx="2">
                  <c:v>7343</c:v>
                </c:pt>
              </c:numCache>
            </c:numRef>
          </c:val>
          <c:smooth val="0"/>
        </c:ser>
        <c:ser>
          <c:idx val="4"/>
          <c:order val="4"/>
          <c:tx>
            <c:strRef>
              <c:f>Lapas1!$F$1</c:f>
              <c:strCache>
                <c:ptCount val="1"/>
                <c:pt idx="0">
                  <c:v>Ergoterapijos kab</c:v>
                </c:pt>
              </c:strCache>
            </c:strRef>
          </c:tx>
          <c:marker>
            <c:symbol val="none"/>
          </c:marker>
          <c:cat>
            <c:numRef>
              <c:f>Lapas1!$A$2:$A$4</c:f>
              <c:numCache>
                <c:formatCode>General</c:formatCode>
                <c:ptCount val="3"/>
                <c:pt idx="0">
                  <c:v>2013</c:v>
                </c:pt>
                <c:pt idx="1">
                  <c:v>2014</c:v>
                </c:pt>
                <c:pt idx="2">
                  <c:v>2015</c:v>
                </c:pt>
              </c:numCache>
            </c:numRef>
          </c:cat>
          <c:val>
            <c:numRef>
              <c:f>Lapas1!$F$2:$F$4</c:f>
              <c:numCache>
                <c:formatCode>General</c:formatCode>
                <c:ptCount val="3"/>
                <c:pt idx="0">
                  <c:v>520</c:v>
                </c:pt>
                <c:pt idx="1">
                  <c:v>2156</c:v>
                </c:pt>
                <c:pt idx="2">
                  <c:v>2583</c:v>
                </c:pt>
              </c:numCache>
            </c:numRef>
          </c:val>
          <c:smooth val="0"/>
        </c:ser>
        <c:dLbls>
          <c:showLegendKey val="0"/>
          <c:showVal val="0"/>
          <c:showCatName val="0"/>
          <c:showSerName val="0"/>
          <c:showPercent val="0"/>
          <c:showBubbleSize val="0"/>
        </c:dLbls>
        <c:smooth val="0"/>
        <c:axId val="214453616"/>
        <c:axId val="214454008"/>
      </c:lineChart>
      <c:catAx>
        <c:axId val="214453616"/>
        <c:scaling>
          <c:orientation val="minMax"/>
        </c:scaling>
        <c:delete val="0"/>
        <c:axPos val="b"/>
        <c:numFmt formatCode="General" sourceLinked="1"/>
        <c:majorTickMark val="none"/>
        <c:minorTickMark val="none"/>
        <c:tickLblPos val="nextTo"/>
        <c:crossAx val="214454008"/>
        <c:crosses val="autoZero"/>
        <c:auto val="1"/>
        <c:lblAlgn val="ctr"/>
        <c:lblOffset val="100"/>
        <c:noMultiLvlLbl val="0"/>
      </c:catAx>
      <c:valAx>
        <c:axId val="214454008"/>
        <c:scaling>
          <c:orientation val="minMax"/>
        </c:scaling>
        <c:delete val="0"/>
        <c:axPos val="l"/>
        <c:majorGridlines/>
        <c:title>
          <c:tx>
            <c:rich>
              <a:bodyPr/>
              <a:lstStyle/>
              <a:p>
                <a:pPr>
                  <a:defRPr/>
                </a:pPr>
                <a:r>
                  <a:rPr lang="lt-LT"/>
                  <a:t>Suteiktų paslaugų skaičius</a:t>
                </a:r>
              </a:p>
            </c:rich>
          </c:tx>
          <c:layout>
            <c:manualLayout>
              <c:xMode val="edge"/>
              <c:yMode val="edge"/>
              <c:x val="9.7530608009960593E-2"/>
              <c:y val="0.15716449554235193"/>
            </c:manualLayout>
          </c:layout>
          <c:overlay val="0"/>
        </c:title>
        <c:numFmt formatCode="General" sourceLinked="1"/>
        <c:majorTickMark val="none"/>
        <c:minorTickMark val="none"/>
        <c:tickLblPos val="nextTo"/>
        <c:crossAx val="214453616"/>
        <c:crosses val="autoZero"/>
        <c:crossBetween val="between"/>
      </c:valAx>
      <c:dTable>
        <c:showHorzBorder val="1"/>
        <c:showVertBorder val="1"/>
        <c:showOutline val="1"/>
        <c:showKeys val="1"/>
      </c:dTable>
    </c:plotArea>
    <c:plotVisOnly val="1"/>
    <c:dispBlanksAs val="gap"/>
    <c:showDLblsOverMax val="0"/>
  </c:chart>
  <c:txPr>
    <a:bodyPr/>
    <a:lstStyle/>
    <a:p>
      <a:pPr>
        <a:defRPr sz="1200"/>
      </a:pPr>
      <a:endParaRPr lang="lt-LT"/>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Ambulatorini</a:t>
            </a:r>
            <a:r>
              <a:rPr lang="lt-LT"/>
              <a:t>ų ligonių</a:t>
            </a:r>
            <a:r>
              <a:rPr lang="lt-LT" baseline="0"/>
              <a:t> skaičiaus kitimas</a:t>
            </a:r>
            <a:r>
              <a:rPr lang="en-US"/>
              <a:t> </a:t>
            </a:r>
            <a:r>
              <a:rPr lang="lt-LT"/>
              <a:t> </a:t>
            </a:r>
            <a:endParaRPr lang="en-US"/>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Sheet2!$A$19:$C$19</c:f>
              <c:strCache>
                <c:ptCount val="3"/>
                <c:pt idx="0">
                  <c:v>Terapiniai</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Sheet2!$D$18:$F$18</c:f>
              <c:strCache>
                <c:ptCount val="3"/>
                <c:pt idx="0">
                  <c:v>2013 m.</c:v>
                </c:pt>
                <c:pt idx="1">
                  <c:v>2014 m.</c:v>
                </c:pt>
                <c:pt idx="2">
                  <c:v>2015 m.</c:v>
                </c:pt>
              </c:strCache>
            </c:strRef>
          </c:cat>
          <c:val>
            <c:numRef>
              <c:f>Sheet2!$D$19:$F$19</c:f>
              <c:numCache>
                <c:formatCode>General</c:formatCode>
                <c:ptCount val="3"/>
                <c:pt idx="0">
                  <c:v>1256</c:v>
                </c:pt>
                <c:pt idx="1">
                  <c:v>1236</c:v>
                </c:pt>
                <c:pt idx="2">
                  <c:v>1729</c:v>
                </c:pt>
              </c:numCache>
            </c:numRef>
          </c:val>
        </c:ser>
        <c:ser>
          <c:idx val="1"/>
          <c:order val="1"/>
          <c:tx>
            <c:strRef>
              <c:f>Sheet2!$A$20:$C$20</c:f>
              <c:strCache>
                <c:ptCount val="3"/>
                <c:pt idx="0">
                  <c:v>Chirurginiai</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Sheet2!$D$18:$F$18</c:f>
              <c:strCache>
                <c:ptCount val="3"/>
                <c:pt idx="0">
                  <c:v>2013 m.</c:v>
                </c:pt>
                <c:pt idx="1">
                  <c:v>2014 m.</c:v>
                </c:pt>
                <c:pt idx="2">
                  <c:v>2015 m.</c:v>
                </c:pt>
              </c:strCache>
            </c:strRef>
          </c:cat>
          <c:val>
            <c:numRef>
              <c:f>Sheet2!$D$20:$F$20</c:f>
              <c:numCache>
                <c:formatCode>General</c:formatCode>
                <c:ptCount val="3"/>
                <c:pt idx="0">
                  <c:v>1315</c:v>
                </c:pt>
                <c:pt idx="1">
                  <c:v>1337</c:v>
                </c:pt>
                <c:pt idx="2">
                  <c:v>1443</c:v>
                </c:pt>
              </c:numCache>
            </c:numRef>
          </c:val>
        </c:ser>
        <c:dLbls>
          <c:showLegendKey val="0"/>
          <c:showVal val="1"/>
          <c:showCatName val="0"/>
          <c:showSerName val="0"/>
          <c:showPercent val="0"/>
          <c:showBubbleSize val="0"/>
        </c:dLbls>
        <c:gapWidth val="150"/>
        <c:shape val="box"/>
        <c:axId val="214455184"/>
        <c:axId val="214455576"/>
        <c:axId val="0"/>
      </c:bar3DChart>
      <c:catAx>
        <c:axId val="2144551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4455576"/>
        <c:crosses val="autoZero"/>
        <c:auto val="1"/>
        <c:lblAlgn val="ctr"/>
        <c:lblOffset val="100"/>
        <c:noMultiLvlLbl val="0"/>
      </c:catAx>
      <c:valAx>
        <c:axId val="214455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4455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Hospitalizuotų</a:t>
            </a:r>
            <a:r>
              <a:rPr lang="lt-LT" baseline="0"/>
              <a:t> ligoniš skaičius 2013 m. - 2015 m.</a:t>
            </a:r>
            <a:endParaRPr lang="en-US"/>
          </a:p>
        </c:rich>
      </c:tx>
      <c:overlay val="0"/>
      <c:spPr>
        <a:noFill/>
        <a:ln>
          <a:noFill/>
        </a:ln>
        <a:effectLst/>
      </c:spPr>
    </c:title>
    <c:autoTitleDeleted val="0"/>
    <c:plotArea>
      <c:layout/>
      <c:lineChart>
        <c:grouping val="standard"/>
        <c:varyColors val="0"/>
        <c:ser>
          <c:idx val="0"/>
          <c:order val="0"/>
          <c:tx>
            <c:strRef>
              <c:f>'Hospitalizuotų ligonių skaičius'!$A$15</c:f>
              <c:strCache>
                <c:ptCount val="1"/>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'Hospitalizuotų ligonių skaičius'!$B$14:$D$14</c:f>
              <c:strCache>
                <c:ptCount val="3"/>
                <c:pt idx="0">
                  <c:v>2013 m</c:v>
                </c:pt>
                <c:pt idx="1">
                  <c:v>2014 m</c:v>
                </c:pt>
                <c:pt idx="2">
                  <c:v> 2015 m</c:v>
                </c:pt>
              </c:strCache>
            </c:strRef>
          </c:cat>
          <c:val>
            <c:numRef>
              <c:f>'Hospitalizuotų ligonių skaičius'!$B$15:$D$15</c:f>
              <c:numCache>
                <c:formatCode>General</c:formatCode>
                <c:ptCount val="3"/>
                <c:pt idx="0">
                  <c:v>1757</c:v>
                </c:pt>
                <c:pt idx="1">
                  <c:v>1691</c:v>
                </c:pt>
                <c:pt idx="2">
                  <c:v>1443</c:v>
                </c:pt>
              </c:numCache>
            </c:numRef>
          </c:val>
          <c:smooth val="0"/>
        </c:ser>
        <c:dLbls>
          <c:showLegendKey val="0"/>
          <c:showVal val="1"/>
          <c:showCatName val="0"/>
          <c:showSerName val="0"/>
          <c:showPercent val="0"/>
          <c:showBubbleSize val="0"/>
        </c:dLbls>
        <c:marker val="1"/>
        <c:smooth val="0"/>
        <c:axId val="214456360"/>
        <c:axId val="214410816"/>
      </c:lineChart>
      <c:catAx>
        <c:axId val="2144563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4410816"/>
        <c:crosses val="autoZero"/>
        <c:auto val="1"/>
        <c:lblAlgn val="ctr"/>
        <c:lblOffset val="100"/>
        <c:noMultiLvlLbl val="0"/>
      </c:catAx>
      <c:valAx>
        <c:axId val="21441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4456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b="1"/>
              <a:t>GMP atvežtų ir nukreiptų į kitus stacionarus iš priėmimo - skubios pagalbos skyriaus ligonių skaičius</a:t>
            </a: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'Nukreipti i kitus stacionarus'!$B$3:$D$3</c:f>
              <c:strCache>
                <c:ptCount val="3"/>
                <c:pt idx="0">
                  <c:v>2013 m.</c:v>
                </c:pt>
                <c:pt idx="1">
                  <c:v>2014 m.</c:v>
                </c:pt>
                <c:pt idx="2">
                  <c:v>2015 m.</c:v>
                </c:pt>
              </c:strCache>
            </c:strRef>
          </c:cat>
          <c:val>
            <c:numRef>
              <c:f>'Nukreipti i kitus stacionarus'!$B$4:$D$4</c:f>
              <c:numCache>
                <c:formatCode>General</c:formatCode>
                <c:ptCount val="3"/>
                <c:pt idx="0">
                  <c:v>169</c:v>
                </c:pt>
                <c:pt idx="1">
                  <c:v>196</c:v>
                </c:pt>
                <c:pt idx="2">
                  <c:v>274</c:v>
                </c:pt>
              </c:numCache>
            </c:numRef>
          </c:val>
          <c:smooth val="0"/>
        </c:ser>
        <c:dLbls>
          <c:showLegendKey val="0"/>
          <c:showVal val="1"/>
          <c:showCatName val="0"/>
          <c:showSerName val="0"/>
          <c:showPercent val="0"/>
          <c:showBubbleSize val="0"/>
        </c:dLbls>
        <c:smooth val="0"/>
        <c:axId val="214411992"/>
        <c:axId val="214412384"/>
      </c:lineChart>
      <c:catAx>
        <c:axId val="214411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4412384"/>
        <c:crosses val="autoZero"/>
        <c:auto val="1"/>
        <c:lblAlgn val="ctr"/>
        <c:lblOffset val="100"/>
        <c:noMultiLvlLbl val="0"/>
      </c:catAx>
      <c:valAx>
        <c:axId val="214412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Atvejų sk.</a:t>
                </a:r>
              </a:p>
            </c:rich>
          </c:tx>
          <c:layout>
            <c:manualLayout>
              <c:xMode val="edge"/>
              <c:yMode val="edge"/>
              <c:x val="2.5000000000000001E-2"/>
              <c:y val="0.1930708661417322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4411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Ligonių stebėjimo paslaugos teikimas</a:t>
            </a:r>
            <a:endParaRPr lang="en-US"/>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847549735134306"/>
          <c:y val="8.0286123032904153E-2"/>
          <c:w val="0.84152450264865764"/>
          <c:h val="0.88500091994938401"/>
        </c:manualLayout>
      </c:layout>
      <c:bar3DChart>
        <c:barDir val="col"/>
        <c:grouping val="clustered"/>
        <c:varyColors val="0"/>
        <c:ser>
          <c:idx val="0"/>
          <c:order val="0"/>
          <c:tx>
            <c:strRef>
              <c:f>Sheet3!$A$6</c:f>
              <c:strCache>
                <c:ptCount val="1"/>
              </c:strCache>
            </c:strRef>
          </c:tx>
          <c:spPr>
            <a:solidFill>
              <a:schemeClr val="accent1"/>
            </a:solidFill>
            <a:ln>
              <a:noFill/>
            </a:ln>
            <a:effectLst/>
            <a:sp3d/>
          </c:spPr>
          <c:invertIfNegative val="0"/>
          <c:dLbls>
            <c:dLbl>
              <c:idx val="0"/>
              <c:layout>
                <c:manualLayout>
                  <c:x val="6.4620355411954345E-3"/>
                  <c:y val="-2.968960863697713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4464189553042382E-2"/>
                  <c:y val="-3.238866396761133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2310177705977411E-2"/>
                  <c:y val="-2.699055330634276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Sheet3!$B$5:$D$5</c:f>
              <c:strCache>
                <c:ptCount val="3"/>
                <c:pt idx="0">
                  <c:v>2013 m.</c:v>
                </c:pt>
                <c:pt idx="1">
                  <c:v>2014 m.</c:v>
                </c:pt>
                <c:pt idx="2">
                  <c:v>2015 m.</c:v>
                </c:pt>
              </c:strCache>
            </c:strRef>
          </c:cat>
          <c:val>
            <c:numRef>
              <c:f>Sheet3!$B$6:$D$6</c:f>
              <c:numCache>
                <c:formatCode>General</c:formatCode>
                <c:ptCount val="3"/>
                <c:pt idx="0">
                  <c:v>512</c:v>
                </c:pt>
                <c:pt idx="1">
                  <c:v>356</c:v>
                </c:pt>
                <c:pt idx="2">
                  <c:v>785</c:v>
                </c:pt>
              </c:numCache>
            </c:numRef>
          </c:val>
        </c:ser>
        <c:dLbls>
          <c:showLegendKey val="0"/>
          <c:showVal val="1"/>
          <c:showCatName val="0"/>
          <c:showSerName val="0"/>
          <c:showPercent val="0"/>
          <c:showBubbleSize val="0"/>
        </c:dLbls>
        <c:gapWidth val="150"/>
        <c:shape val="box"/>
        <c:axId val="214413168"/>
        <c:axId val="214413560"/>
        <c:axId val="0"/>
      </c:bar3DChart>
      <c:catAx>
        <c:axId val="214413168"/>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4413560"/>
        <c:crosses val="autoZero"/>
        <c:auto val="1"/>
        <c:lblAlgn val="ctr"/>
        <c:lblOffset val="100"/>
        <c:noMultiLvlLbl val="0"/>
      </c:catAx>
      <c:valAx>
        <c:axId val="214413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Atvejų sk.</a:t>
                </a:r>
              </a:p>
            </c:rich>
          </c:tx>
          <c:layout>
            <c:manualLayout>
              <c:xMode val="edge"/>
              <c:yMode val="edge"/>
              <c:x val="9.7861200770269247E-2"/>
              <c:y val="7.8883594486311534E-2"/>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4413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0"/>
    </mc:Choice>
    <mc:Fallback>
      <c:style val="10"/>
    </mc:Fallback>
  </mc:AlternateContent>
  <c:chart>
    <c:title>
      <c:overlay val="0"/>
      <c:txPr>
        <a:bodyPr/>
        <a:lstStyle/>
        <a:p>
          <a:pPr>
            <a:defRPr sz="1100"/>
          </a:pPr>
          <a:endParaRPr lang="lt-LT"/>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5.5957049523438024E-2"/>
          <c:y val="3.7793963764072704E-4"/>
          <c:w val="0.79071541092177133"/>
          <c:h val="0.79894073235500951"/>
        </c:manualLayout>
      </c:layout>
      <c:pie3DChart>
        <c:varyColors val="1"/>
        <c:ser>
          <c:idx val="0"/>
          <c:order val="0"/>
          <c:tx>
            <c:strRef>
              <c:f>Lapas1!$B$1</c:f>
              <c:strCache>
                <c:ptCount val="1"/>
                <c:pt idx="0">
                  <c:v>Tyrimų pasiskirstymas</c:v>
                </c:pt>
              </c:strCache>
            </c:strRef>
          </c:tx>
          <c:explosion val="25"/>
          <c:dPt>
            <c:idx val="1"/>
            <c:bubble3D val="0"/>
            <c:spPr>
              <a:solidFill>
                <a:srgbClr val="FF0000"/>
              </a:solidFill>
            </c:spPr>
          </c:dPt>
          <c:dLbls>
            <c:dLbl>
              <c:idx val="1"/>
              <c:layout>
                <c:manualLayout>
                  <c:x val="8.8016625908109727E-2"/>
                  <c:y val="-2.5076865391826051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Lapas1!$A$2:$A$3</c:f>
              <c:strCache>
                <c:ptCount val="2"/>
                <c:pt idx="0">
                  <c:v>Biocheminiai tyrimai: 24932</c:v>
                </c:pt>
                <c:pt idx="1">
                  <c:v>Klinikiniai tyrimai: 6558</c:v>
                </c:pt>
              </c:strCache>
            </c:strRef>
          </c:cat>
          <c:val>
            <c:numRef>
              <c:f>Lapas1!$B$2:$B$3</c:f>
              <c:numCache>
                <c:formatCode>General</c:formatCode>
                <c:ptCount val="2"/>
                <c:pt idx="0">
                  <c:v>24932</c:v>
                </c:pt>
                <c:pt idx="1">
                  <c:v>6558</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12517897219369317"/>
          <c:y val="0.68974977816884808"/>
          <c:w val="0.74908444854546374"/>
          <c:h val="0.21471014928031396"/>
        </c:manualLayout>
      </c:layout>
      <c:overlay val="0"/>
      <c:txPr>
        <a:bodyPr/>
        <a:lstStyle/>
        <a:p>
          <a:pPr>
            <a:defRPr sz="1100"/>
          </a:pPr>
          <a:endParaRPr lang="lt-LT"/>
        </a:p>
      </c:txPr>
    </c:legend>
    <c:plotVisOnly val="1"/>
    <c:dispBlanksAs val="zero"/>
    <c:showDLblsOverMax val="0"/>
  </c:chart>
  <c:txPr>
    <a:bodyPr/>
    <a:lstStyle/>
    <a:p>
      <a:pPr>
        <a:defRPr sz="1800"/>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sąnaudos!$B$3:$P$3</c:f>
              <c:strCache>
                <c:ptCount val="14"/>
                <c:pt idx="0">
                  <c:v>Darbo užmokesčio ir soc. Draudimo</c:v>
                </c:pt>
                <c:pt idx="1">
                  <c:v>Medikamentai ir med.reikmenys </c:v>
                </c:pt>
                <c:pt idx="2">
                  <c:v>Ligonių pervežimo</c:v>
                </c:pt>
                <c:pt idx="3">
                  <c:v>Maitinimo</c:v>
                </c:pt>
                <c:pt idx="4">
                  <c:v>Komunalinių paslaugų</c:v>
                </c:pt>
                <c:pt idx="5">
                  <c:v>Darbuotojų kvalifikacijos kėlimo</c:v>
                </c:pt>
                <c:pt idx="6">
                  <c:v>Einamojo remonto</c:v>
                </c:pt>
                <c:pt idx="7">
                  <c:v>Kiti mokesčiai į biudžetą</c:v>
                </c:pt>
                <c:pt idx="8">
                  <c:v>Ilgalaikio turto nusidevėjimo</c:v>
                </c:pt>
                <c:pt idx="9">
                  <c:v>Civilinės atsakomybės draudimo</c:v>
                </c:pt>
                <c:pt idx="10">
                  <c:v>Med.technikos sąnaudos</c:v>
                </c:pt>
                <c:pt idx="11">
                  <c:v>Nurašytų sumų</c:v>
                </c:pt>
                <c:pt idx="12">
                  <c:v>Laboratoriniai tyrimai kt įstaigose</c:v>
                </c:pt>
                <c:pt idx="13">
                  <c:v>Kitos sąnaudos</c:v>
                </c:pt>
              </c:strCache>
            </c:strRef>
          </c:cat>
          <c:val>
            <c:numRef>
              <c:f>sąnaudos!$B$4:$P$4</c:f>
              <c:numCache>
                <c:formatCode>General</c:formatCode>
                <c:ptCount val="14"/>
                <c:pt idx="0">
                  <c:v>1255757</c:v>
                </c:pt>
                <c:pt idx="1">
                  <c:v>114926</c:v>
                </c:pt>
                <c:pt idx="2">
                  <c:v>1273</c:v>
                </c:pt>
                <c:pt idx="3">
                  <c:v>28139</c:v>
                </c:pt>
                <c:pt idx="4">
                  <c:v>92734</c:v>
                </c:pt>
                <c:pt idx="5">
                  <c:v>3110</c:v>
                </c:pt>
                <c:pt idx="6">
                  <c:v>5990</c:v>
                </c:pt>
                <c:pt idx="7">
                  <c:v>1359</c:v>
                </c:pt>
                <c:pt idx="8">
                  <c:v>110454</c:v>
                </c:pt>
                <c:pt idx="9">
                  <c:v>7886</c:v>
                </c:pt>
                <c:pt idx="10">
                  <c:v>13598</c:v>
                </c:pt>
                <c:pt idx="11">
                  <c:v>8979</c:v>
                </c:pt>
                <c:pt idx="12">
                  <c:v>3735</c:v>
                </c:pt>
                <c:pt idx="13">
                  <c:v>36046</c:v>
                </c:pt>
              </c:numCache>
            </c:numRef>
          </c:val>
        </c:ser>
        <c:dLbls>
          <c:showLegendKey val="0"/>
          <c:showVal val="1"/>
          <c:showCatName val="0"/>
          <c:showSerName val="0"/>
          <c:showPercent val="0"/>
          <c:showBubbleSize val="0"/>
        </c:dLbls>
        <c:gapWidth val="150"/>
        <c:shape val="box"/>
        <c:axId val="142370600"/>
        <c:axId val="142370992"/>
        <c:axId val="0"/>
      </c:bar3DChart>
      <c:catAx>
        <c:axId val="1423706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crossAx val="142370992"/>
        <c:crosses val="autoZero"/>
        <c:auto val="1"/>
        <c:lblAlgn val="ctr"/>
        <c:lblOffset val="100"/>
        <c:noMultiLvlLbl val="0"/>
      </c:catAx>
      <c:valAx>
        <c:axId val="14237099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142370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0"/>
    </mc:Choice>
    <mc:Fallback>
      <c:style val="10"/>
    </mc:Fallback>
  </mc:AlternateContent>
  <c:chart>
    <c:title>
      <c:overlay val="0"/>
      <c:txPr>
        <a:bodyPr/>
        <a:lstStyle/>
        <a:p>
          <a:pPr>
            <a:defRPr sz="1100"/>
          </a:pPr>
          <a:endParaRPr lang="lt-LT"/>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2.4512666223553404E-2"/>
          <c:y val="0.14995362681221094"/>
          <c:w val="0.95368804186031508"/>
          <c:h val="0.5600037056360827"/>
        </c:manualLayout>
      </c:layout>
      <c:pie3DChart>
        <c:varyColors val="1"/>
        <c:ser>
          <c:idx val="0"/>
          <c:order val="0"/>
          <c:tx>
            <c:strRef>
              <c:f>Lapas1!$B$1</c:f>
              <c:strCache>
                <c:ptCount val="1"/>
                <c:pt idx="0">
                  <c:v>Tyrimų pasiskirstymas per skyrius</c:v>
                </c:pt>
              </c:strCache>
            </c:strRef>
          </c:tx>
          <c:explosion val="20"/>
          <c:dPt>
            <c:idx val="1"/>
            <c:bubble3D val="0"/>
            <c:spPr>
              <a:solidFill>
                <a:srgbClr val="FF0000"/>
              </a:solidFill>
            </c:spPr>
          </c:dPt>
          <c:dPt>
            <c:idx val="2"/>
            <c:bubble3D val="0"/>
            <c:spPr>
              <a:solidFill>
                <a:schemeClr val="accent6">
                  <a:lumMod val="75000"/>
                </a:schemeClr>
              </a:solidFill>
            </c:spPr>
          </c:dPt>
          <c:dPt>
            <c:idx val="3"/>
            <c:bubble3D val="0"/>
            <c:spPr>
              <a:solidFill>
                <a:srgbClr val="7030A0"/>
              </a:solidFill>
            </c:spPr>
          </c:dPt>
          <c:dLbls>
            <c:dLbl>
              <c:idx val="1"/>
              <c:layout>
                <c:manualLayout>
                  <c:x val="7.4696488879912419E-3"/>
                  <c:y val="-5.4832507638672909E-3"/>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1.9819639543378845E-2"/>
                  <c:y val="-1.561304836895388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9.5069631520226967E-3"/>
                  <c:y val="-0.4106477115892434"/>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Lapas1!$A$2:$A$5</c:f>
              <c:strCache>
                <c:ptCount val="4"/>
                <c:pt idx="0">
                  <c:v>Konsultacijų p-ka: 498</c:v>
                </c:pt>
                <c:pt idx="1">
                  <c:v>Slaugos sk.: 1911</c:v>
                </c:pt>
                <c:pt idx="2">
                  <c:v>Skubios pagalbos sk.: 4320</c:v>
                </c:pt>
                <c:pt idx="3">
                  <c:v>Vidaus ligų sk.: 24761</c:v>
                </c:pt>
              </c:strCache>
            </c:strRef>
          </c:cat>
          <c:val>
            <c:numRef>
              <c:f>Lapas1!$B$2:$B$5</c:f>
              <c:numCache>
                <c:formatCode>General</c:formatCode>
                <c:ptCount val="4"/>
                <c:pt idx="0">
                  <c:v>498</c:v>
                </c:pt>
                <c:pt idx="1">
                  <c:v>1911</c:v>
                </c:pt>
                <c:pt idx="2">
                  <c:v>4320</c:v>
                </c:pt>
                <c:pt idx="3">
                  <c:v>24761</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6.2431948203740172E-2"/>
          <c:y val="0.6406485265291223"/>
          <c:w val="0.72881217706813273"/>
          <c:h val="0.35927206883949675"/>
        </c:manualLayout>
      </c:layout>
      <c:overlay val="0"/>
      <c:txPr>
        <a:bodyPr/>
        <a:lstStyle/>
        <a:p>
          <a:pPr>
            <a:defRPr sz="1100"/>
          </a:pPr>
          <a:endParaRPr lang="lt-LT"/>
        </a:p>
      </c:txPr>
    </c:legend>
    <c:plotVisOnly val="1"/>
    <c:dispBlanksAs val="zero"/>
    <c:showDLblsOverMax val="0"/>
  </c:chart>
  <c:txPr>
    <a:bodyPr/>
    <a:lstStyle/>
    <a:p>
      <a:pPr>
        <a:defRPr sz="1800"/>
      </a:pPr>
      <a:endParaRPr lang="lt-LT"/>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plotArea>
      <c:layout>
        <c:manualLayout>
          <c:layoutTarget val="inner"/>
          <c:xMode val="edge"/>
          <c:yMode val="edge"/>
          <c:x val="0.11121105821548449"/>
          <c:y val="0.14957536744535999"/>
          <c:w val="0.87101475588230759"/>
          <c:h val="0.75778587066132486"/>
        </c:manualLayout>
      </c:layout>
      <c:lineChart>
        <c:grouping val="standard"/>
        <c:varyColors val="0"/>
        <c:ser>
          <c:idx val="0"/>
          <c:order val="0"/>
          <c:tx>
            <c:strRef>
              <c:f>Lapas1!$B$1</c:f>
              <c:strCache>
                <c:ptCount val="1"/>
                <c:pt idx="0">
                  <c:v>Lanoratorinių tyrimų skaičius</c:v>
                </c:pt>
              </c:strCache>
            </c:strRef>
          </c:tx>
          <c:marker>
            <c:symbol val="none"/>
          </c:marker>
          <c:dLbls>
            <c:dLbl>
              <c:idx val="0"/>
              <c:layout>
                <c:manualLayout>
                  <c:x val="1.6158350820188981E-3"/>
                  <c:y val="-2.654280026542801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158350820188981E-3"/>
                  <c:y val="-2.654280026542801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158350820188922E-2"/>
                  <c:y val="-7.962840079628401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2621691148264646E-2"/>
                  <c:y val="-5.04313205043132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7774185902207883E-2"/>
                  <c:y val="-8.759124087591246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4237526230283468E-2"/>
                  <c:y val="4.2468480424684804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6158350820188981E-2"/>
                  <c:y val="-5.308560053085602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Lapas1!$A$2:$A$9</c:f>
              <c:numCache>
                <c:formatCode>General</c:formatCode>
                <c:ptCount val="8"/>
                <c:pt idx="0">
                  <c:v>2008</c:v>
                </c:pt>
                <c:pt idx="1">
                  <c:v>2009</c:v>
                </c:pt>
                <c:pt idx="2">
                  <c:v>2010</c:v>
                </c:pt>
                <c:pt idx="3">
                  <c:v>2011</c:v>
                </c:pt>
                <c:pt idx="4">
                  <c:v>2012</c:v>
                </c:pt>
                <c:pt idx="5">
                  <c:v>2013</c:v>
                </c:pt>
                <c:pt idx="6">
                  <c:v>2014</c:v>
                </c:pt>
                <c:pt idx="7">
                  <c:v>2015</c:v>
                </c:pt>
              </c:numCache>
            </c:numRef>
          </c:cat>
          <c:val>
            <c:numRef>
              <c:f>Lapas1!$B$2:$B$9</c:f>
              <c:numCache>
                <c:formatCode>General</c:formatCode>
                <c:ptCount val="8"/>
                <c:pt idx="0">
                  <c:v>55358</c:v>
                </c:pt>
                <c:pt idx="1">
                  <c:v>42126</c:v>
                </c:pt>
                <c:pt idx="2">
                  <c:v>28442</c:v>
                </c:pt>
                <c:pt idx="3">
                  <c:v>28269</c:v>
                </c:pt>
                <c:pt idx="4">
                  <c:v>26484</c:v>
                </c:pt>
                <c:pt idx="5">
                  <c:v>26398</c:v>
                </c:pt>
                <c:pt idx="6">
                  <c:v>31695</c:v>
                </c:pt>
                <c:pt idx="7">
                  <c:v>31490</c:v>
                </c:pt>
              </c:numCache>
            </c:numRef>
          </c:val>
          <c:smooth val="0"/>
        </c:ser>
        <c:dLbls>
          <c:showLegendKey val="0"/>
          <c:showVal val="1"/>
          <c:showCatName val="0"/>
          <c:showSerName val="0"/>
          <c:showPercent val="0"/>
          <c:showBubbleSize val="0"/>
        </c:dLbls>
        <c:smooth val="0"/>
        <c:axId val="215281024"/>
        <c:axId val="215281416"/>
      </c:lineChart>
      <c:catAx>
        <c:axId val="215281024"/>
        <c:scaling>
          <c:orientation val="minMax"/>
        </c:scaling>
        <c:delete val="0"/>
        <c:axPos val="b"/>
        <c:numFmt formatCode="General" sourceLinked="1"/>
        <c:majorTickMark val="none"/>
        <c:minorTickMark val="none"/>
        <c:tickLblPos val="nextTo"/>
        <c:crossAx val="215281416"/>
        <c:crosses val="autoZero"/>
        <c:auto val="1"/>
        <c:lblAlgn val="ctr"/>
        <c:lblOffset val="100"/>
        <c:noMultiLvlLbl val="0"/>
      </c:catAx>
      <c:valAx>
        <c:axId val="215281416"/>
        <c:scaling>
          <c:orientation val="minMax"/>
        </c:scaling>
        <c:delete val="0"/>
        <c:axPos val="l"/>
        <c:majorGridlines/>
        <c:numFmt formatCode="General" sourceLinked="1"/>
        <c:majorTickMark val="none"/>
        <c:minorTickMark val="none"/>
        <c:tickLblPos val="nextTo"/>
        <c:crossAx val="215281024"/>
        <c:crosses val="autoZero"/>
        <c:crossBetween val="between"/>
      </c:valAx>
    </c:plotArea>
    <c:plotVisOnly val="1"/>
    <c:dispBlanksAs val="gap"/>
    <c:showDLblsOverMax val="0"/>
  </c:chart>
  <c:spPr>
    <a:solidFill>
      <a:schemeClr val="accent2">
        <a:lumMod val="20000"/>
        <a:lumOff val="80000"/>
      </a:schemeClr>
    </a:solidFill>
  </c:spPr>
  <c:txPr>
    <a:bodyPr/>
    <a:lstStyle/>
    <a:p>
      <a:pPr>
        <a:defRPr sz="1050"/>
      </a:pPr>
      <a:endParaRPr lang="lt-LT"/>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772660543780258E-2"/>
          <c:y val="3.7767954444290958E-2"/>
          <c:w val="0.89664129483814525"/>
          <c:h val="0.18804899387576554"/>
        </c:manualLayout>
      </c:layout>
      <c:bar3DChart>
        <c:barDir val="col"/>
        <c:grouping val="clustered"/>
        <c:varyColors val="0"/>
        <c:ser>
          <c:idx val="0"/>
          <c:order val="0"/>
          <c:tx>
            <c:strRef>
              <c:f>'[Chart in Microsoft Word]Pajamos metines '!$B$4</c:f>
              <c:strCache>
                <c:ptCount val="1"/>
                <c:pt idx="0">
                  <c:v>2013 m.</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'[Chart in Microsoft Word]Pajamos metines '!$C$3:$I$3</c:f>
              <c:strCache>
                <c:ptCount val="7"/>
                <c:pt idx="0">
                  <c:v>Dienos chirurgijos sk.</c:v>
                </c:pt>
                <c:pt idx="1">
                  <c:v>Vidaus ligų sk.</c:v>
                </c:pt>
                <c:pt idx="2">
                  <c:v>Slaugos ir palaikomojo gydymo sk.</c:v>
                </c:pt>
                <c:pt idx="3">
                  <c:v>Konsultacinė poliklinika</c:v>
                </c:pt>
                <c:pt idx="4">
                  <c:v>Priėmimo – skubios pagalbos sk.</c:v>
                </c:pt>
                <c:pt idx="5">
                  <c:v>Laboratorija</c:v>
                </c:pt>
                <c:pt idx="6">
                  <c:v>Fizinė medicina</c:v>
                </c:pt>
              </c:strCache>
            </c:strRef>
          </c:cat>
          <c:val>
            <c:numRef>
              <c:f>'[Chart in Microsoft Word]Pajamos metines '!$C$4:$I$4</c:f>
              <c:numCache>
                <c:formatCode>General</c:formatCode>
                <c:ptCount val="7"/>
                <c:pt idx="0">
                  <c:v>15089</c:v>
                </c:pt>
                <c:pt idx="1">
                  <c:v>603372</c:v>
                </c:pt>
                <c:pt idx="2">
                  <c:v>298325</c:v>
                </c:pt>
                <c:pt idx="3">
                  <c:v>423647</c:v>
                </c:pt>
                <c:pt idx="4">
                  <c:v>48480</c:v>
                </c:pt>
                <c:pt idx="5">
                  <c:v>707</c:v>
                </c:pt>
                <c:pt idx="6">
                  <c:v>65886</c:v>
                </c:pt>
              </c:numCache>
            </c:numRef>
          </c:val>
        </c:ser>
        <c:ser>
          <c:idx val="1"/>
          <c:order val="1"/>
          <c:tx>
            <c:strRef>
              <c:f>'[Chart in Microsoft Word]Pajamos metines '!$B$5</c:f>
              <c:strCache>
                <c:ptCount val="1"/>
                <c:pt idx="0">
                  <c:v>2014 m. </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'[Chart in Microsoft Word]Pajamos metines '!$C$3:$I$3</c:f>
              <c:strCache>
                <c:ptCount val="7"/>
                <c:pt idx="0">
                  <c:v>Dienos chirurgijos sk.</c:v>
                </c:pt>
                <c:pt idx="1">
                  <c:v>Vidaus ligų sk.</c:v>
                </c:pt>
                <c:pt idx="2">
                  <c:v>Slaugos ir palaikomojo gydymo sk.</c:v>
                </c:pt>
                <c:pt idx="3">
                  <c:v>Konsultacinė poliklinika</c:v>
                </c:pt>
                <c:pt idx="4">
                  <c:v>Priėmimo – skubios pagalbos sk.</c:v>
                </c:pt>
                <c:pt idx="5">
                  <c:v>Laboratorija</c:v>
                </c:pt>
                <c:pt idx="6">
                  <c:v>Fizinė medicina</c:v>
                </c:pt>
              </c:strCache>
            </c:strRef>
          </c:cat>
          <c:val>
            <c:numRef>
              <c:f>'[Chart in Microsoft Word]Pajamos metines '!$C$5:$I$5</c:f>
              <c:numCache>
                <c:formatCode>General</c:formatCode>
                <c:ptCount val="7"/>
                <c:pt idx="0">
                  <c:v>22678</c:v>
                </c:pt>
                <c:pt idx="1">
                  <c:v>599993</c:v>
                </c:pt>
                <c:pt idx="2">
                  <c:v>353902</c:v>
                </c:pt>
                <c:pt idx="3">
                  <c:v>403842</c:v>
                </c:pt>
                <c:pt idx="4">
                  <c:v>54754</c:v>
                </c:pt>
                <c:pt idx="5">
                  <c:v>534</c:v>
                </c:pt>
                <c:pt idx="6">
                  <c:v>73612</c:v>
                </c:pt>
              </c:numCache>
            </c:numRef>
          </c:val>
        </c:ser>
        <c:ser>
          <c:idx val="2"/>
          <c:order val="2"/>
          <c:tx>
            <c:strRef>
              <c:f>'[Chart in Microsoft Word]Pajamos metines '!$B$6</c:f>
              <c:strCache>
                <c:ptCount val="1"/>
                <c:pt idx="0">
                  <c:v>2015 m.</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'[Chart in Microsoft Word]Pajamos metines '!$C$3:$I$3</c:f>
              <c:strCache>
                <c:ptCount val="7"/>
                <c:pt idx="0">
                  <c:v>Dienos chirurgijos sk.</c:v>
                </c:pt>
                <c:pt idx="1">
                  <c:v>Vidaus ligų sk.</c:v>
                </c:pt>
                <c:pt idx="2">
                  <c:v>Slaugos ir palaikomojo gydymo sk.</c:v>
                </c:pt>
                <c:pt idx="3">
                  <c:v>Konsultacinė poliklinika</c:v>
                </c:pt>
                <c:pt idx="4">
                  <c:v>Priėmimo – skubios pagalbos sk.</c:v>
                </c:pt>
                <c:pt idx="5">
                  <c:v>Laboratorija</c:v>
                </c:pt>
                <c:pt idx="6">
                  <c:v>Fizinė medicina</c:v>
                </c:pt>
              </c:strCache>
            </c:strRef>
          </c:cat>
          <c:val>
            <c:numRef>
              <c:f>'[Chart in Microsoft Word]Pajamos metines '!$C$6:$I$6</c:f>
              <c:numCache>
                <c:formatCode>General</c:formatCode>
                <c:ptCount val="7"/>
                <c:pt idx="0">
                  <c:v>23424</c:v>
                </c:pt>
                <c:pt idx="1">
                  <c:v>590718</c:v>
                </c:pt>
                <c:pt idx="2">
                  <c:v>350341</c:v>
                </c:pt>
                <c:pt idx="3">
                  <c:v>458847</c:v>
                </c:pt>
                <c:pt idx="4">
                  <c:v>86552</c:v>
                </c:pt>
                <c:pt idx="5">
                  <c:v>87</c:v>
                </c:pt>
                <c:pt idx="6">
                  <c:v>65088</c:v>
                </c:pt>
              </c:numCache>
            </c:numRef>
          </c:val>
        </c:ser>
        <c:ser>
          <c:idx val="3"/>
          <c:order val="3"/>
          <c:tx>
            <c:strRef>
              <c:f>'[Chart in Microsoft Word]Pajamos metines '!$B$7</c:f>
              <c:strCache>
                <c:ptCount val="1"/>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cat>
            <c:strRef>
              <c:f>'[Chart in Microsoft Word]Pajamos metines '!$C$3:$I$3</c:f>
              <c:strCache>
                <c:ptCount val="7"/>
                <c:pt idx="0">
                  <c:v>Dienos chirurgijos sk.</c:v>
                </c:pt>
                <c:pt idx="1">
                  <c:v>Vidaus ligų sk.</c:v>
                </c:pt>
                <c:pt idx="2">
                  <c:v>Slaugos ir palaikomojo gydymo sk.</c:v>
                </c:pt>
                <c:pt idx="3">
                  <c:v>Konsultacinė poliklinika</c:v>
                </c:pt>
                <c:pt idx="4">
                  <c:v>Priėmimo – skubios pagalbos sk.</c:v>
                </c:pt>
                <c:pt idx="5">
                  <c:v>Laboratorija</c:v>
                </c:pt>
                <c:pt idx="6">
                  <c:v>Fizinė medicina</c:v>
                </c:pt>
              </c:strCache>
            </c:strRef>
          </c:cat>
          <c:val>
            <c:numRef>
              <c:f>'[Chart in Microsoft Word]Pajamos metines '!$C$7:$I$7</c:f>
              <c:numCache>
                <c:formatCode>General</c:formatCode>
                <c:ptCount val="7"/>
              </c:numCache>
            </c:numRef>
          </c:val>
        </c:ser>
        <c:dLbls>
          <c:showLegendKey val="0"/>
          <c:showVal val="0"/>
          <c:showCatName val="0"/>
          <c:showSerName val="0"/>
          <c:showPercent val="0"/>
          <c:showBubbleSize val="0"/>
        </c:dLbls>
        <c:gapWidth val="65"/>
        <c:shape val="box"/>
        <c:axId val="215282200"/>
        <c:axId val="215282592"/>
        <c:axId val="0"/>
      </c:bar3DChart>
      <c:catAx>
        <c:axId val="2152822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215282592"/>
        <c:crosses val="autoZero"/>
        <c:auto val="1"/>
        <c:lblAlgn val="ctr"/>
        <c:lblOffset val="100"/>
        <c:noMultiLvlLbl val="0"/>
      </c:catAx>
      <c:valAx>
        <c:axId val="215282592"/>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215282200"/>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dTable>
      <c:spPr>
        <a:noFill/>
        <a:ln w="25400">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'[Chart in Microsoft Word]Sąnaudos metines'!$B$5</c:f>
              <c:strCache>
                <c:ptCount val="1"/>
                <c:pt idx="0">
                  <c:v>2013 m.</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'[Chart in Microsoft Word]Sąnaudos metines'!$C$4:$I$4</c:f>
              <c:strCache>
                <c:ptCount val="7"/>
                <c:pt idx="0">
                  <c:v>Dienos chirurgijos sk.</c:v>
                </c:pt>
                <c:pt idx="1">
                  <c:v>Vidaus ligų sk.</c:v>
                </c:pt>
                <c:pt idx="2">
                  <c:v>Slaugos ir palaikomojo gydymo sk.</c:v>
                </c:pt>
                <c:pt idx="3">
                  <c:v>Konsultacinė poliklinika</c:v>
                </c:pt>
                <c:pt idx="4">
                  <c:v>Priėmimo – skubios pagalbos sk.</c:v>
                </c:pt>
                <c:pt idx="5">
                  <c:v>Labaoratorija </c:v>
                </c:pt>
                <c:pt idx="6">
                  <c:v>Fizinė medicina</c:v>
                </c:pt>
              </c:strCache>
            </c:strRef>
          </c:cat>
          <c:val>
            <c:numRef>
              <c:f>'[Chart in Microsoft Word]Sąnaudos metines'!$C$5:$I$5</c:f>
              <c:numCache>
                <c:formatCode>General</c:formatCode>
                <c:ptCount val="7"/>
                <c:pt idx="0">
                  <c:v>24195</c:v>
                </c:pt>
                <c:pt idx="1">
                  <c:v>307412</c:v>
                </c:pt>
                <c:pt idx="2">
                  <c:v>199959</c:v>
                </c:pt>
                <c:pt idx="3">
                  <c:v>358330</c:v>
                </c:pt>
                <c:pt idx="4">
                  <c:v>120350</c:v>
                </c:pt>
                <c:pt idx="5">
                  <c:v>72374</c:v>
                </c:pt>
                <c:pt idx="6">
                  <c:v>64205</c:v>
                </c:pt>
              </c:numCache>
            </c:numRef>
          </c:val>
        </c:ser>
        <c:ser>
          <c:idx val="1"/>
          <c:order val="1"/>
          <c:tx>
            <c:strRef>
              <c:f>'[Chart in Microsoft Word]Sąnaudos metines'!$B$6</c:f>
              <c:strCache>
                <c:ptCount val="1"/>
                <c:pt idx="0">
                  <c:v>2014 m. </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'[Chart in Microsoft Word]Sąnaudos metines'!$C$4:$I$4</c:f>
              <c:strCache>
                <c:ptCount val="7"/>
                <c:pt idx="0">
                  <c:v>Dienos chirurgijos sk.</c:v>
                </c:pt>
                <c:pt idx="1">
                  <c:v>Vidaus ligų sk.</c:v>
                </c:pt>
                <c:pt idx="2">
                  <c:v>Slaugos ir palaikomojo gydymo sk.</c:v>
                </c:pt>
                <c:pt idx="3">
                  <c:v>Konsultacinė poliklinika</c:v>
                </c:pt>
                <c:pt idx="4">
                  <c:v>Priėmimo – skubios pagalbos sk.</c:v>
                </c:pt>
                <c:pt idx="5">
                  <c:v>Labaoratorija </c:v>
                </c:pt>
                <c:pt idx="6">
                  <c:v>Fizinė medicina</c:v>
                </c:pt>
              </c:strCache>
            </c:strRef>
          </c:cat>
          <c:val>
            <c:numRef>
              <c:f>'[Chart in Microsoft Word]Sąnaudos metines'!$C$6:$I$6</c:f>
              <c:numCache>
                <c:formatCode>General</c:formatCode>
                <c:ptCount val="7"/>
                <c:pt idx="0">
                  <c:v>38540</c:v>
                </c:pt>
                <c:pt idx="1">
                  <c:v>309897</c:v>
                </c:pt>
                <c:pt idx="2">
                  <c:v>203564</c:v>
                </c:pt>
                <c:pt idx="3">
                  <c:v>406994</c:v>
                </c:pt>
                <c:pt idx="4">
                  <c:v>107440</c:v>
                </c:pt>
                <c:pt idx="5">
                  <c:v>77050</c:v>
                </c:pt>
                <c:pt idx="6">
                  <c:v>64758</c:v>
                </c:pt>
              </c:numCache>
            </c:numRef>
          </c:val>
        </c:ser>
        <c:ser>
          <c:idx val="2"/>
          <c:order val="2"/>
          <c:tx>
            <c:strRef>
              <c:f>'[Chart in Microsoft Word]Sąnaudos metines'!$B$7</c:f>
              <c:strCache>
                <c:ptCount val="1"/>
                <c:pt idx="0">
                  <c:v>2015 m.</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'[Chart in Microsoft Word]Sąnaudos metines'!$C$4:$I$4</c:f>
              <c:strCache>
                <c:ptCount val="7"/>
                <c:pt idx="0">
                  <c:v>Dienos chirurgijos sk.</c:v>
                </c:pt>
                <c:pt idx="1">
                  <c:v>Vidaus ligų sk.</c:v>
                </c:pt>
                <c:pt idx="2">
                  <c:v>Slaugos ir palaikomojo gydymo sk.</c:v>
                </c:pt>
                <c:pt idx="3">
                  <c:v>Konsultacinė poliklinika</c:v>
                </c:pt>
                <c:pt idx="4">
                  <c:v>Priėmimo – skubios pagalbos sk.</c:v>
                </c:pt>
                <c:pt idx="5">
                  <c:v>Labaoratorija </c:v>
                </c:pt>
                <c:pt idx="6">
                  <c:v>Fizinė medicina</c:v>
                </c:pt>
              </c:strCache>
            </c:strRef>
          </c:cat>
          <c:val>
            <c:numRef>
              <c:f>'[Chart in Microsoft Word]Sąnaudos metines'!$C$7:$I$7</c:f>
              <c:numCache>
                <c:formatCode>General</c:formatCode>
                <c:ptCount val="7"/>
                <c:pt idx="0">
                  <c:v>28744</c:v>
                </c:pt>
                <c:pt idx="1">
                  <c:v>278234</c:v>
                </c:pt>
                <c:pt idx="2">
                  <c:v>183836</c:v>
                </c:pt>
                <c:pt idx="3">
                  <c:v>402344</c:v>
                </c:pt>
                <c:pt idx="4">
                  <c:v>183374</c:v>
                </c:pt>
                <c:pt idx="5">
                  <c:v>76522</c:v>
                </c:pt>
                <c:pt idx="6">
                  <c:v>69779</c:v>
                </c:pt>
              </c:numCache>
            </c:numRef>
          </c:val>
        </c:ser>
        <c:ser>
          <c:idx val="3"/>
          <c:order val="3"/>
          <c:tx>
            <c:strRef>
              <c:f>'[Chart in Microsoft Word]Sąnaudos metines'!$B$8</c:f>
              <c:strCache>
                <c:ptCount val="1"/>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cat>
            <c:strRef>
              <c:f>'[Chart in Microsoft Word]Sąnaudos metines'!$C$4:$I$4</c:f>
              <c:strCache>
                <c:ptCount val="7"/>
                <c:pt idx="0">
                  <c:v>Dienos chirurgijos sk.</c:v>
                </c:pt>
                <c:pt idx="1">
                  <c:v>Vidaus ligų sk.</c:v>
                </c:pt>
                <c:pt idx="2">
                  <c:v>Slaugos ir palaikomojo gydymo sk.</c:v>
                </c:pt>
                <c:pt idx="3">
                  <c:v>Konsultacinė poliklinika</c:v>
                </c:pt>
                <c:pt idx="4">
                  <c:v>Priėmimo – skubios pagalbos sk.</c:v>
                </c:pt>
                <c:pt idx="5">
                  <c:v>Labaoratorija </c:v>
                </c:pt>
                <c:pt idx="6">
                  <c:v>Fizinė medicina</c:v>
                </c:pt>
              </c:strCache>
            </c:strRef>
          </c:cat>
          <c:val>
            <c:numRef>
              <c:f>'[Chart in Microsoft Word]Sąnaudos metines'!$C$8:$I$8</c:f>
              <c:numCache>
                <c:formatCode>General</c:formatCode>
                <c:ptCount val="7"/>
              </c:numCache>
            </c:numRef>
          </c:val>
        </c:ser>
        <c:dLbls>
          <c:showLegendKey val="0"/>
          <c:showVal val="0"/>
          <c:showCatName val="0"/>
          <c:showSerName val="0"/>
          <c:showPercent val="0"/>
          <c:showBubbleSize val="0"/>
        </c:dLbls>
        <c:gapWidth val="65"/>
        <c:shape val="box"/>
        <c:axId val="215283376"/>
        <c:axId val="215283768"/>
        <c:axId val="0"/>
      </c:bar3DChart>
      <c:catAx>
        <c:axId val="2152833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215283768"/>
        <c:crosses val="autoZero"/>
        <c:auto val="1"/>
        <c:lblAlgn val="ctr"/>
        <c:lblOffset val="100"/>
        <c:noMultiLvlLbl val="0"/>
      </c:catAx>
      <c:valAx>
        <c:axId val="215283768"/>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215283376"/>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'Sąnaudos is PSDF ir paslaugas'!$B$5</c:f>
              <c:strCache>
                <c:ptCount val="1"/>
                <c:pt idx="0">
                  <c:v>2013 m.</c:v>
                </c:pt>
              </c:strCache>
            </c:strRef>
          </c:tx>
          <c:spPr>
            <a:solidFill>
              <a:schemeClr val="tx2">
                <a:lumMod val="40000"/>
                <a:lumOff val="60000"/>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'Sąnaudos is PSDF ir paslaugas'!$C$4:$D$4</c:f>
              <c:strCache>
                <c:ptCount val="2"/>
                <c:pt idx="0">
                  <c:v>Sąnaudos iš PSDF</c:v>
                </c:pt>
                <c:pt idx="1">
                  <c:v>Kitos sąnaudos</c:v>
                </c:pt>
              </c:strCache>
            </c:strRef>
          </c:cat>
          <c:val>
            <c:numRef>
              <c:f>'Sąnaudos is PSDF ir paslaugas'!$C$5:$D$5</c:f>
              <c:numCache>
                <c:formatCode>General</c:formatCode>
                <c:ptCount val="2"/>
                <c:pt idx="0">
                  <c:v>1384389</c:v>
                </c:pt>
                <c:pt idx="1">
                  <c:v>193971</c:v>
                </c:pt>
              </c:numCache>
            </c:numRef>
          </c:val>
        </c:ser>
        <c:ser>
          <c:idx val="1"/>
          <c:order val="1"/>
          <c:tx>
            <c:strRef>
              <c:f>'Sąnaudos is PSDF ir paslaugas'!$B$6</c:f>
              <c:strCache>
                <c:ptCount val="1"/>
                <c:pt idx="0">
                  <c:v>2014 m. </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'Sąnaudos is PSDF ir paslaugas'!$C$4:$D$4</c:f>
              <c:strCache>
                <c:ptCount val="2"/>
                <c:pt idx="0">
                  <c:v>Sąnaudos iš PSDF</c:v>
                </c:pt>
                <c:pt idx="1">
                  <c:v>Kitos sąnaudos</c:v>
                </c:pt>
              </c:strCache>
            </c:strRef>
          </c:cat>
          <c:val>
            <c:numRef>
              <c:f>'Sąnaudos is PSDF ir paslaugas'!$C$6:$D$6</c:f>
              <c:numCache>
                <c:formatCode>General</c:formatCode>
                <c:ptCount val="2"/>
                <c:pt idx="0">
                  <c:v>1507770</c:v>
                </c:pt>
                <c:pt idx="1">
                  <c:v>188945</c:v>
                </c:pt>
              </c:numCache>
            </c:numRef>
          </c:val>
        </c:ser>
        <c:ser>
          <c:idx val="2"/>
          <c:order val="2"/>
          <c:tx>
            <c:strRef>
              <c:f>'Sąnaudos is PSDF ir paslaugas'!$B$7</c:f>
              <c:strCache>
                <c:ptCount val="1"/>
                <c:pt idx="0">
                  <c:v>2015 m.</c:v>
                </c:pt>
              </c:strCache>
            </c:strRef>
          </c:tx>
          <c:spPr>
            <a:solidFill>
              <a:srgbClr val="0070C0">
                <a:alpha val="85000"/>
              </a:srgb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'Sąnaudos is PSDF ir paslaugas'!$C$4:$D$4</c:f>
              <c:strCache>
                <c:ptCount val="2"/>
                <c:pt idx="0">
                  <c:v>Sąnaudos iš PSDF</c:v>
                </c:pt>
                <c:pt idx="1">
                  <c:v>Kitos sąnaudos</c:v>
                </c:pt>
              </c:strCache>
            </c:strRef>
          </c:cat>
          <c:val>
            <c:numRef>
              <c:f>'Sąnaudos is PSDF ir paslaugas'!$C$7:$D$7</c:f>
              <c:numCache>
                <c:formatCode>General</c:formatCode>
                <c:ptCount val="2"/>
                <c:pt idx="0">
                  <c:v>1523563</c:v>
                </c:pt>
                <c:pt idx="1">
                  <c:v>160423</c:v>
                </c:pt>
              </c:numCache>
            </c:numRef>
          </c:val>
        </c:ser>
        <c:dLbls>
          <c:showLegendKey val="0"/>
          <c:showVal val="0"/>
          <c:showCatName val="0"/>
          <c:showSerName val="0"/>
          <c:showPercent val="0"/>
          <c:showBubbleSize val="0"/>
        </c:dLbls>
        <c:gapWidth val="65"/>
        <c:shape val="box"/>
        <c:axId val="142371776"/>
        <c:axId val="142372168"/>
        <c:axId val="0"/>
      </c:bar3DChart>
      <c:catAx>
        <c:axId val="1423717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142372168"/>
        <c:crosses val="autoZero"/>
        <c:auto val="1"/>
        <c:lblAlgn val="ctr"/>
        <c:lblOffset val="100"/>
        <c:noMultiLvlLbl val="0"/>
      </c:catAx>
      <c:valAx>
        <c:axId val="14237216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crossAx val="142371776"/>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lt-LT"/>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Sheet1!$B$9</c:f>
              <c:strCache>
                <c:ptCount val="1"/>
                <c:pt idx="0">
                  <c:v>2013 m.</c:v>
                </c:pt>
              </c:strCache>
            </c:strRef>
          </c:tx>
          <c:spPr>
            <a:solidFill>
              <a:schemeClr val="accent1"/>
            </a:solidFill>
            <a:ln>
              <a:noFill/>
            </a:ln>
            <a:effectLst/>
            <a:sp3d/>
          </c:spPr>
          <c:invertIfNegative val="0"/>
          <c:dLbls>
            <c:dLbl>
              <c:idx val="0"/>
              <c:layout>
                <c:manualLayout>
                  <c:x val="-2.6666666666666672E-2"/>
                  <c:y val="-3.05635148042024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2.292263610315199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2051282051282121E-3"/>
                  <c:y val="-4.584527220630371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0769230769230695E-2"/>
                  <c:y val="-1.146131805157594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2307692307692308E-2"/>
                  <c:y val="-2.674307545367721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Sheet1!$C$8:$G$8</c:f>
              <c:strCache>
                <c:ptCount val="5"/>
                <c:pt idx="0">
                  <c:v>Ligonių skaičius</c:v>
                </c:pt>
                <c:pt idx="1">
                  <c:v>Letališkumas</c:v>
                </c:pt>
                <c:pt idx="2">
                  <c:v>Vidutinis gulėjimo laikas</c:v>
                </c:pt>
                <c:pt idx="3">
                  <c:v>Lovadienių skaičius</c:v>
                </c:pt>
                <c:pt idx="4">
                  <c:v>Lovos funkcionavimas</c:v>
                </c:pt>
              </c:strCache>
            </c:strRef>
          </c:cat>
          <c:val>
            <c:numRef>
              <c:f>Sheet1!$C$9:$G$9</c:f>
              <c:numCache>
                <c:formatCode>General</c:formatCode>
                <c:ptCount val="5"/>
                <c:pt idx="0">
                  <c:v>1347</c:v>
                </c:pt>
                <c:pt idx="1">
                  <c:v>47</c:v>
                </c:pt>
                <c:pt idx="2">
                  <c:v>8.2000000000000011</c:v>
                </c:pt>
                <c:pt idx="3">
                  <c:v>11363</c:v>
                </c:pt>
                <c:pt idx="4">
                  <c:v>177.5</c:v>
                </c:pt>
              </c:numCache>
            </c:numRef>
          </c:val>
        </c:ser>
        <c:ser>
          <c:idx val="1"/>
          <c:order val="1"/>
          <c:tx>
            <c:strRef>
              <c:f>Sheet1!$B$10</c:f>
              <c:strCache>
                <c:ptCount val="1"/>
                <c:pt idx="0">
                  <c:v>2014 m.</c:v>
                </c:pt>
              </c:strCache>
            </c:strRef>
          </c:tx>
          <c:spPr>
            <a:solidFill>
              <a:schemeClr val="accent2"/>
            </a:solidFill>
            <a:ln>
              <a:noFill/>
            </a:ln>
            <a:effectLst/>
            <a:sp3d/>
          </c:spPr>
          <c:invertIfNegative val="0"/>
          <c:dLbls>
            <c:dLbl>
              <c:idx val="0"/>
              <c:layout>
                <c:manualLayout>
                  <c:x val="1.2307692307692308E-2"/>
                  <c:y val="-4.584527220630371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0256410256410263E-2"/>
                  <c:y val="-4.584527220630371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1025641025640306E-3"/>
                  <c:y val="-4.96657115568292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2307692307692308E-2"/>
                  <c:y val="-1.910219675262655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1538461538461582E-3"/>
                  <c:y val="-3.056351480420247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Sheet1!$C$8:$G$8</c:f>
              <c:strCache>
                <c:ptCount val="5"/>
                <c:pt idx="0">
                  <c:v>Ligonių skaičius</c:v>
                </c:pt>
                <c:pt idx="1">
                  <c:v>Letališkumas</c:v>
                </c:pt>
                <c:pt idx="2">
                  <c:v>Vidutinis gulėjimo laikas</c:v>
                </c:pt>
                <c:pt idx="3">
                  <c:v>Lovadienių skaičius</c:v>
                </c:pt>
                <c:pt idx="4">
                  <c:v>Lovos funkcionavimas</c:v>
                </c:pt>
              </c:strCache>
            </c:strRef>
          </c:cat>
          <c:val>
            <c:numRef>
              <c:f>Sheet1!$C$10:$G$10</c:f>
              <c:numCache>
                <c:formatCode>General</c:formatCode>
                <c:ptCount val="5"/>
                <c:pt idx="0">
                  <c:v>1381</c:v>
                </c:pt>
                <c:pt idx="1">
                  <c:v>30</c:v>
                </c:pt>
                <c:pt idx="2">
                  <c:v>8.5</c:v>
                </c:pt>
                <c:pt idx="3">
                  <c:v>11702</c:v>
                </c:pt>
                <c:pt idx="4">
                  <c:v>182.8</c:v>
                </c:pt>
              </c:numCache>
            </c:numRef>
          </c:val>
        </c:ser>
        <c:ser>
          <c:idx val="2"/>
          <c:order val="2"/>
          <c:tx>
            <c:strRef>
              <c:f>Sheet1!$B$11</c:f>
              <c:strCache>
                <c:ptCount val="1"/>
                <c:pt idx="0">
                  <c:v>2015 m.</c:v>
                </c:pt>
              </c:strCache>
            </c:strRef>
          </c:tx>
          <c:spPr>
            <a:solidFill>
              <a:schemeClr val="accent3"/>
            </a:solidFill>
            <a:ln>
              <a:noFill/>
            </a:ln>
            <a:effectLst/>
            <a:sp3d/>
          </c:spPr>
          <c:invertIfNegative val="0"/>
          <c:dLbls>
            <c:dLbl>
              <c:idx val="0"/>
              <c:layout>
                <c:manualLayout>
                  <c:x val="3.0769230769230764E-2"/>
                  <c:y val="-1.146131805157593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512820512820516E-2"/>
                  <c:y val="-1.528175740210124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4615384615384556E-2"/>
                  <c:y val="-1.910219675262669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7179487179487167E-2"/>
                  <c:y val="-5.730659025787970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6923076923076961E-2"/>
                  <c:y val="-1.910219675262655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Sheet1!$C$8:$G$8</c:f>
              <c:strCache>
                <c:ptCount val="5"/>
                <c:pt idx="0">
                  <c:v>Ligonių skaičius</c:v>
                </c:pt>
                <c:pt idx="1">
                  <c:v>Letališkumas</c:v>
                </c:pt>
                <c:pt idx="2">
                  <c:v>Vidutinis gulėjimo laikas</c:v>
                </c:pt>
                <c:pt idx="3">
                  <c:v>Lovadienių skaičius</c:v>
                </c:pt>
                <c:pt idx="4">
                  <c:v>Lovos funkcionavimas</c:v>
                </c:pt>
              </c:strCache>
            </c:strRef>
          </c:cat>
          <c:val>
            <c:numRef>
              <c:f>Sheet1!$C$11:$G$11</c:f>
              <c:numCache>
                <c:formatCode>General</c:formatCode>
                <c:ptCount val="5"/>
                <c:pt idx="0">
                  <c:v>1126</c:v>
                </c:pt>
                <c:pt idx="1">
                  <c:v>42</c:v>
                </c:pt>
                <c:pt idx="2">
                  <c:v>8.5</c:v>
                </c:pt>
                <c:pt idx="3">
                  <c:v>9550</c:v>
                </c:pt>
                <c:pt idx="4">
                  <c:v>178</c:v>
                </c:pt>
              </c:numCache>
            </c:numRef>
          </c:val>
        </c:ser>
        <c:dLbls>
          <c:showLegendKey val="0"/>
          <c:showVal val="1"/>
          <c:showCatName val="0"/>
          <c:showSerName val="0"/>
          <c:showPercent val="0"/>
          <c:showBubbleSize val="0"/>
        </c:dLbls>
        <c:gapWidth val="150"/>
        <c:shape val="box"/>
        <c:axId val="142373344"/>
        <c:axId val="212299920"/>
        <c:axId val="0"/>
      </c:bar3DChart>
      <c:catAx>
        <c:axId val="142373344"/>
        <c:scaling>
          <c:orientation val="minMax"/>
        </c:scaling>
        <c:delete val="1"/>
        <c:axPos val="b"/>
        <c:numFmt formatCode="General" sourceLinked="1"/>
        <c:majorTickMark val="out"/>
        <c:minorTickMark val="none"/>
        <c:tickLblPos val="none"/>
        <c:crossAx val="212299920"/>
        <c:crosses val="autoZero"/>
        <c:auto val="1"/>
        <c:lblAlgn val="ctr"/>
        <c:lblOffset val="100"/>
        <c:noMultiLvlLbl val="0"/>
      </c:catAx>
      <c:valAx>
        <c:axId val="21229992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14237334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Ligonių patekimo į VLS kelio analizė</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Sheet3!$B$6:$B$11</c:f>
              <c:strCache>
                <c:ptCount val="6"/>
                <c:pt idx="0">
                  <c:v>GMP atvežti</c:v>
                </c:pt>
                <c:pt idx="1">
                  <c:v>Su BPG siuntimu</c:v>
                </c:pt>
                <c:pt idx="2">
                  <c:v>Konsultacinės poliklinikos siuntimu</c:v>
                </c:pt>
                <c:pt idx="3">
                  <c:v>Be siuntimo</c:v>
                </c:pt>
                <c:pt idx="4">
                  <c:v>Su siuntimu iš kitų ligoninių</c:v>
                </c:pt>
                <c:pt idx="5">
                  <c:v>Perkelta iš slaugos sk.</c:v>
                </c:pt>
              </c:strCache>
            </c:strRef>
          </c:cat>
          <c:val>
            <c:numRef>
              <c:f>Sheet3!$C$6:$C$11</c:f>
              <c:numCache>
                <c:formatCode>#.000%</c:formatCode>
                <c:ptCount val="6"/>
                <c:pt idx="0">
                  <c:v>0.41070000000000001</c:v>
                </c:pt>
                <c:pt idx="1">
                  <c:v>0.3001000000000002</c:v>
                </c:pt>
                <c:pt idx="2">
                  <c:v>0.17940000000000011</c:v>
                </c:pt>
                <c:pt idx="3">
                  <c:v>8.8000000000000064E-2</c:v>
                </c:pt>
                <c:pt idx="4">
                  <c:v>2.01E-2</c:v>
                </c:pt>
                <c:pt idx="5">
                  <c:v>1.700000000000001E-3</c:v>
                </c:pt>
              </c:numCache>
            </c:numRef>
          </c:val>
        </c:ser>
        <c:dLbls>
          <c:showLegendKey val="0"/>
          <c:showVal val="1"/>
          <c:showCatName val="0"/>
          <c:showSerName val="0"/>
          <c:showPercent val="0"/>
          <c:showBubbleSize val="0"/>
        </c:dLbls>
        <c:gapWidth val="219"/>
        <c:overlap val="-27"/>
        <c:axId val="212301096"/>
        <c:axId val="212301488"/>
      </c:barChart>
      <c:catAx>
        <c:axId val="212301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2301488"/>
        <c:crosses val="autoZero"/>
        <c:auto val="1"/>
        <c:lblAlgn val="ctr"/>
        <c:lblOffset val="100"/>
        <c:noMultiLvlLbl val="0"/>
      </c:catAx>
      <c:valAx>
        <c:axId val="2123014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2301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Intensyvios palatos guldytų sligonių skaičius</a:t>
            </a:r>
          </a:p>
        </c:rich>
      </c:tx>
      <c:layout/>
      <c:overlay val="0"/>
      <c:spPr>
        <a:noFill/>
        <a:ln>
          <a:noFill/>
        </a:ln>
        <a:effectLst/>
      </c:spPr>
    </c:title>
    <c:autoTitleDeleted val="0"/>
    <c:plotArea>
      <c:layout/>
      <c:barChart>
        <c:barDir val="col"/>
        <c:grouping val="clustered"/>
        <c:varyColors val="0"/>
        <c:ser>
          <c:idx val="0"/>
          <c:order val="0"/>
          <c:tx>
            <c:strRef>
              <c:f>Sheet2!$C$2</c:f>
              <c:strCache>
                <c:ptCount val="1"/>
                <c:pt idx="0">
                  <c:v>Ligonių skaičius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Sheet2!$B$3:$B$5</c:f>
              <c:strCache>
                <c:ptCount val="3"/>
                <c:pt idx="0">
                  <c:v>2013 m.</c:v>
                </c:pt>
                <c:pt idx="1">
                  <c:v>2014 m. </c:v>
                </c:pt>
                <c:pt idx="2">
                  <c:v>2015 m. </c:v>
                </c:pt>
              </c:strCache>
            </c:strRef>
          </c:cat>
          <c:val>
            <c:numRef>
              <c:f>Sheet2!$C$3:$C$5</c:f>
              <c:numCache>
                <c:formatCode>General</c:formatCode>
                <c:ptCount val="3"/>
                <c:pt idx="0">
                  <c:v>376</c:v>
                </c:pt>
                <c:pt idx="1">
                  <c:v>354</c:v>
                </c:pt>
                <c:pt idx="2">
                  <c:v>206</c:v>
                </c:pt>
              </c:numCache>
            </c:numRef>
          </c:val>
        </c:ser>
        <c:dLbls>
          <c:showLegendKey val="0"/>
          <c:showVal val="1"/>
          <c:showCatName val="0"/>
          <c:showSerName val="0"/>
          <c:showPercent val="0"/>
          <c:showBubbleSize val="0"/>
        </c:dLbls>
        <c:gapWidth val="219"/>
        <c:overlap val="-27"/>
        <c:axId val="212302272"/>
        <c:axId val="212302664"/>
      </c:barChart>
      <c:catAx>
        <c:axId val="2123022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2302664"/>
        <c:crosses val="autoZero"/>
        <c:auto val="1"/>
        <c:lblAlgn val="ctr"/>
        <c:lblOffset val="100"/>
        <c:noMultiLvlLbl val="0"/>
      </c:catAx>
      <c:valAx>
        <c:axId val="212302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23022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Slaugos ir palaikomojo gydymo skyriaus struktūra 2013-2015</a:t>
            </a:r>
            <a:r>
              <a:rPr lang="lt-LT" baseline="0"/>
              <a:t> m.</a:t>
            </a:r>
            <a:endParaRPr lang="lt-LT"/>
          </a:p>
        </c:rich>
      </c:tx>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Sheet1!$A$12</c:f>
              <c:strCache>
                <c:ptCount val="1"/>
                <c:pt idx="0">
                  <c:v>2013 m.</c:v>
                </c:pt>
              </c:strCache>
            </c:strRef>
          </c:tx>
          <c:spPr>
            <a:solidFill>
              <a:schemeClr val="accent1"/>
            </a:solidFill>
            <a:ln>
              <a:noFill/>
            </a:ln>
            <a:effectLst/>
            <a:sp3d/>
          </c:spPr>
          <c:invertIfNegative val="0"/>
          <c:dLbls>
            <c:dLbl>
              <c:idx val="0"/>
              <c:layout>
                <c:manualLayout>
                  <c:x val="-1.4652014652014652E-2"/>
                  <c:y val="-3.703703703703705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3956043956044029E-2"/>
                  <c:y val="-1.38888888888889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2794348508634261E-3"/>
                  <c:y val="-2.777777777777791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1862899005756186E-3"/>
                  <c:y val="-2.77777777777778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2558869701726844E-2"/>
                  <c:y val="-3.703703703703715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Sheet1!$B$11:$F$11</c:f>
              <c:strCache>
                <c:ptCount val="5"/>
                <c:pt idx="0">
                  <c:v>Ligonių skaičius</c:v>
                </c:pt>
                <c:pt idx="1">
                  <c:v>Lovadienių skaičius</c:v>
                </c:pt>
                <c:pt idx="2">
                  <c:v>Lovos funkcionavimas</c:v>
                </c:pt>
                <c:pt idx="3">
                  <c:v>Letališkumas</c:v>
                </c:pt>
                <c:pt idx="4">
                  <c:v>Vidutinis gulėjimo laikas</c:v>
                </c:pt>
              </c:strCache>
            </c:strRef>
          </c:cat>
          <c:val>
            <c:numRef>
              <c:f>Sheet1!$B$12:$F$12</c:f>
              <c:numCache>
                <c:formatCode>General</c:formatCode>
                <c:ptCount val="5"/>
                <c:pt idx="0">
                  <c:v>212</c:v>
                </c:pt>
                <c:pt idx="1">
                  <c:v>12478</c:v>
                </c:pt>
                <c:pt idx="2">
                  <c:v>371.3</c:v>
                </c:pt>
                <c:pt idx="3">
                  <c:v>23.5</c:v>
                </c:pt>
                <c:pt idx="4">
                  <c:v>45</c:v>
                </c:pt>
              </c:numCache>
            </c:numRef>
          </c:val>
        </c:ser>
        <c:ser>
          <c:idx val="1"/>
          <c:order val="1"/>
          <c:tx>
            <c:strRef>
              <c:f>Sheet1!$A$13</c:f>
              <c:strCache>
                <c:ptCount val="1"/>
                <c:pt idx="0">
                  <c:v>2014 m.</c:v>
                </c:pt>
              </c:strCache>
            </c:strRef>
          </c:tx>
          <c:spPr>
            <a:solidFill>
              <a:schemeClr val="accent2"/>
            </a:solidFill>
            <a:ln>
              <a:noFill/>
            </a:ln>
            <a:effectLst/>
            <a:sp3d/>
          </c:spPr>
          <c:invertIfNegative val="0"/>
          <c:dLbls>
            <c:dLbl>
              <c:idx val="0"/>
              <c:layout>
                <c:manualLayout>
                  <c:x val="4.1862899005756186E-3"/>
                  <c:y val="-3.240740740740753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3725798011512441E-3"/>
                  <c:y val="-3.703703703703705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3725798011512441E-3"/>
                  <c:y val="-6.01851851851851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4652014652014652E-2"/>
                  <c:y val="-5.092592592592587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0465724751439046E-2"/>
                  <c:y val="-5.555555555555564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Sheet1!$B$11:$F$11</c:f>
              <c:strCache>
                <c:ptCount val="5"/>
                <c:pt idx="0">
                  <c:v>Ligonių skaičius</c:v>
                </c:pt>
                <c:pt idx="1">
                  <c:v>Lovadienių skaičius</c:v>
                </c:pt>
                <c:pt idx="2">
                  <c:v>Lovos funkcionavimas</c:v>
                </c:pt>
                <c:pt idx="3">
                  <c:v>Letališkumas</c:v>
                </c:pt>
                <c:pt idx="4">
                  <c:v>Vidutinis gulėjimo laikas</c:v>
                </c:pt>
              </c:strCache>
            </c:strRef>
          </c:cat>
          <c:val>
            <c:numRef>
              <c:f>Sheet1!$B$13:$F$13</c:f>
              <c:numCache>
                <c:formatCode>General</c:formatCode>
                <c:ptCount val="5"/>
                <c:pt idx="0">
                  <c:v>203</c:v>
                </c:pt>
                <c:pt idx="1">
                  <c:v>13672</c:v>
                </c:pt>
                <c:pt idx="2">
                  <c:v>297.2</c:v>
                </c:pt>
                <c:pt idx="3">
                  <c:v>20.100000000000001</c:v>
                </c:pt>
                <c:pt idx="4">
                  <c:v>53.8</c:v>
                </c:pt>
              </c:numCache>
            </c:numRef>
          </c:val>
        </c:ser>
        <c:ser>
          <c:idx val="2"/>
          <c:order val="2"/>
          <c:tx>
            <c:strRef>
              <c:f>Sheet1!$A$14</c:f>
              <c:strCache>
                <c:ptCount val="1"/>
                <c:pt idx="0">
                  <c:v>2015 m.</c:v>
                </c:pt>
              </c:strCache>
            </c:strRef>
          </c:tx>
          <c:spPr>
            <a:solidFill>
              <a:schemeClr val="accent3"/>
            </a:solidFill>
            <a:ln>
              <a:noFill/>
            </a:ln>
            <a:effectLst/>
            <a:sp3d/>
          </c:spPr>
          <c:invertIfNegative val="0"/>
          <c:dLbls>
            <c:dLbl>
              <c:idx val="0"/>
              <c:layout>
                <c:manualLayout>
                  <c:x val="2.5117739403453652E-2"/>
                  <c:y val="-2.314814814814822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6514913657770803E-2"/>
                  <c:y val="-9.259259259259274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139717425431704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1397174254317109E-2"/>
                  <c:y val="-3.240740740740743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2865960436264151E-2"/>
                  <c:y val="-1.851851851851861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Sheet1!$B$11:$F$11</c:f>
              <c:strCache>
                <c:ptCount val="5"/>
                <c:pt idx="0">
                  <c:v>Ligonių skaičius</c:v>
                </c:pt>
                <c:pt idx="1">
                  <c:v>Lovadienių skaičius</c:v>
                </c:pt>
                <c:pt idx="2">
                  <c:v>Lovos funkcionavimas</c:v>
                </c:pt>
                <c:pt idx="3">
                  <c:v>Letališkumas</c:v>
                </c:pt>
                <c:pt idx="4">
                  <c:v>Vidutinis gulėjimo laikas</c:v>
                </c:pt>
              </c:strCache>
            </c:strRef>
          </c:cat>
          <c:val>
            <c:numRef>
              <c:f>Sheet1!$B$14:$F$14</c:f>
              <c:numCache>
                <c:formatCode>General</c:formatCode>
                <c:ptCount val="5"/>
                <c:pt idx="0">
                  <c:v>261</c:v>
                </c:pt>
                <c:pt idx="1">
                  <c:v>13454</c:v>
                </c:pt>
                <c:pt idx="2">
                  <c:v>210.2</c:v>
                </c:pt>
                <c:pt idx="3">
                  <c:v>21.1</c:v>
                </c:pt>
                <c:pt idx="4">
                  <c:v>51.5</c:v>
                </c:pt>
              </c:numCache>
            </c:numRef>
          </c:val>
        </c:ser>
        <c:dLbls>
          <c:showLegendKey val="0"/>
          <c:showVal val="1"/>
          <c:showCatName val="0"/>
          <c:showSerName val="0"/>
          <c:showPercent val="0"/>
          <c:showBubbleSize val="0"/>
        </c:dLbls>
        <c:gapWidth val="150"/>
        <c:shape val="box"/>
        <c:axId val="212303448"/>
        <c:axId val="212939312"/>
        <c:axId val="0"/>
      </c:bar3DChart>
      <c:catAx>
        <c:axId val="212303448"/>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2939312"/>
        <c:crosses val="autoZero"/>
        <c:auto val="1"/>
        <c:lblAlgn val="ctr"/>
        <c:lblOffset val="100"/>
        <c:noMultiLvlLbl val="0"/>
      </c:catAx>
      <c:valAx>
        <c:axId val="21293931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one"/>
        <c:crossAx val="2123034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Ligonių būklės kitimas 2013-2015 m.</a:t>
            </a:r>
          </a:p>
        </c:rich>
      </c:tx>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'Ligoniu bukle'!$C$4</c:f>
              <c:strCache>
                <c:ptCount val="1"/>
                <c:pt idx="0">
                  <c:v>Apsitarnaujantys lig.</c:v>
                </c:pt>
              </c:strCache>
            </c:strRef>
          </c:tx>
          <c:spPr>
            <a:solidFill>
              <a:schemeClr val="accent5">
                <a:shade val="76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'Ligoniu bukle'!$B$5:$B$7</c:f>
              <c:strCache>
                <c:ptCount val="3"/>
                <c:pt idx="0">
                  <c:v>2013 m.</c:v>
                </c:pt>
                <c:pt idx="1">
                  <c:v>2014 m.</c:v>
                </c:pt>
                <c:pt idx="2">
                  <c:v>2015 m.</c:v>
                </c:pt>
              </c:strCache>
            </c:strRef>
          </c:cat>
          <c:val>
            <c:numRef>
              <c:f>'Ligoniu bukle'!$C$5:$C$7</c:f>
              <c:numCache>
                <c:formatCode>General</c:formatCode>
                <c:ptCount val="3"/>
                <c:pt idx="0">
                  <c:v>100</c:v>
                </c:pt>
                <c:pt idx="1">
                  <c:v>54</c:v>
                </c:pt>
                <c:pt idx="2">
                  <c:v>100</c:v>
                </c:pt>
              </c:numCache>
            </c:numRef>
          </c:val>
        </c:ser>
        <c:ser>
          <c:idx val="1"/>
          <c:order val="1"/>
          <c:tx>
            <c:strRef>
              <c:f>'Ligoniu bukle'!$D$4</c:f>
              <c:strCache>
                <c:ptCount val="1"/>
                <c:pt idx="0">
                  <c:v>Neapsitarnaujantys lig.</c:v>
                </c:pt>
              </c:strCache>
            </c:strRef>
          </c:tx>
          <c:spPr>
            <a:solidFill>
              <a:schemeClr val="accent5">
                <a:tint val="77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'Ligoniu bukle'!$B$5:$B$7</c:f>
              <c:strCache>
                <c:ptCount val="3"/>
                <c:pt idx="0">
                  <c:v>2013 m.</c:v>
                </c:pt>
                <c:pt idx="1">
                  <c:v>2014 m.</c:v>
                </c:pt>
                <c:pt idx="2">
                  <c:v>2015 m.</c:v>
                </c:pt>
              </c:strCache>
            </c:strRef>
          </c:cat>
          <c:val>
            <c:numRef>
              <c:f>'Ligoniu bukle'!$D$5:$D$7</c:f>
              <c:numCache>
                <c:formatCode>General</c:formatCode>
                <c:ptCount val="3"/>
                <c:pt idx="0">
                  <c:v>112</c:v>
                </c:pt>
                <c:pt idx="1">
                  <c:v>149</c:v>
                </c:pt>
                <c:pt idx="2">
                  <c:v>161</c:v>
                </c:pt>
              </c:numCache>
            </c:numRef>
          </c:val>
        </c:ser>
        <c:dLbls>
          <c:showLegendKey val="0"/>
          <c:showVal val="1"/>
          <c:showCatName val="0"/>
          <c:showSerName val="0"/>
          <c:showPercent val="0"/>
          <c:showBubbleSize val="0"/>
        </c:dLbls>
        <c:gapWidth val="150"/>
        <c:shape val="box"/>
        <c:axId val="212300704"/>
        <c:axId val="212940096"/>
        <c:axId val="0"/>
      </c:bar3DChart>
      <c:catAx>
        <c:axId val="21230070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2940096"/>
        <c:crosses val="autoZero"/>
        <c:auto val="1"/>
        <c:lblAlgn val="ctr"/>
        <c:lblOffset val="100"/>
        <c:noMultiLvlLbl val="0"/>
      </c:catAx>
      <c:valAx>
        <c:axId val="21294009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one"/>
        <c:crossAx val="212300704"/>
        <c:crosses val="autoZero"/>
        <c:crossBetween val="between"/>
      </c:valAx>
      <c:spPr>
        <a:noFill/>
        <a:ln>
          <a:noFill/>
        </a:ln>
        <a:effectLst/>
      </c:spPr>
    </c:plotArea>
    <c:legend>
      <c:legendPos val="r"/>
      <c:layout>
        <c:manualLayout>
          <c:xMode val="edge"/>
          <c:yMode val="edge"/>
          <c:x val="0.70968919510061268"/>
          <c:y val="0.51004556722076411"/>
          <c:w val="0.27642191601049881"/>
          <c:h val="0.156251093613298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21B560-8796-4A68-A7C3-9C132E54E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16685</Words>
  <Characters>9511</Characters>
  <Application>Microsoft Office Word</Application>
  <DocSecurity>4</DocSecurity>
  <Lines>79</Lines>
  <Paragraphs>52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26144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dc:creator>
  <cp:lastModifiedBy>Bareikytė Miglė</cp:lastModifiedBy>
  <cp:revision>2</cp:revision>
  <cp:lastPrinted>2016-03-16T11:22:00Z</cp:lastPrinted>
  <dcterms:created xsi:type="dcterms:W3CDTF">2016-03-21T11:38:00Z</dcterms:created>
  <dcterms:modified xsi:type="dcterms:W3CDTF">2016-03-21T11:38:00Z</dcterms:modified>
</cp:coreProperties>
</file>