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 xml:space="preserve">20 </w:t>
      </w:r>
      <w:r>
        <w:rPr>
          <w:lang w:val="lt-LT"/>
        </w:rPr>
        <w:t>m. vasario 2</w:t>
      </w:r>
      <w:r w:rsidR="009D53DF">
        <w:rPr>
          <w:lang w:val="lt-LT"/>
        </w:rPr>
        <w:t>6</w:t>
      </w:r>
      <w:r>
        <w:rPr>
          <w:lang w:val="lt-LT"/>
        </w:rPr>
        <w:t xml:space="preserve"> d. sprendimo Nr. B1-</w:t>
      </w:r>
      <w:r w:rsidR="009D53DF">
        <w:rPr>
          <w:lang w:val="lt-LT"/>
        </w:rPr>
        <w:t>39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20</w:t>
      </w:r>
      <w:r>
        <w:rPr>
          <w:lang w:val="lt-LT"/>
        </w:rPr>
        <w:t xml:space="preserve"> metų biudžeto patvirtinimo“ pakeitimo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:rsidR="00E25C60" w:rsidRDefault="00F8762E" w:rsidP="00E25C60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20</w:t>
      </w:r>
      <w:r w:rsidRPr="002D4246">
        <w:rPr>
          <w:lang w:val="lt-LT"/>
        </w:rPr>
        <w:t xml:space="preserve"> m. vasario 2</w:t>
      </w:r>
      <w:r w:rsidR="009D53DF">
        <w:rPr>
          <w:lang w:val="lt-LT"/>
        </w:rPr>
        <w:t>6</w:t>
      </w:r>
      <w:r w:rsidRPr="002D4246">
        <w:rPr>
          <w:lang w:val="lt-LT"/>
        </w:rPr>
        <w:t xml:space="preserve"> d. sprendimu Nr. B1-</w:t>
      </w:r>
      <w:r w:rsidR="009D53DF">
        <w:rPr>
          <w:lang w:val="lt-LT"/>
        </w:rPr>
        <w:t>39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20</w:t>
      </w:r>
      <w:r w:rsidRPr="002D4246">
        <w:rPr>
          <w:lang w:val="lt-LT"/>
        </w:rPr>
        <w:t xml:space="preserve"> metų biudžeto patvirtinimo“ patvirtintas  </w:t>
      </w:r>
      <w:r w:rsidR="00E25C60">
        <w:rPr>
          <w:lang w:val="lt-LT"/>
        </w:rPr>
        <w:t>20</w:t>
      </w:r>
      <w:r w:rsidR="009D53DF">
        <w:rPr>
          <w:lang w:val="lt-LT"/>
        </w:rPr>
        <w:t>20</w:t>
      </w:r>
      <w:r w:rsidR="00E25C60">
        <w:rPr>
          <w:lang w:val="lt-LT"/>
        </w:rPr>
        <w:t xml:space="preserve"> metų rajono savivaldybės biudžetas.</w:t>
      </w:r>
    </w:p>
    <w:p w:rsidR="009D2217" w:rsidRPr="000B5438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>Šiuo sprendimu didinamos Molėtų rajono savivaldybės pajamos</w:t>
      </w:r>
      <w:r w:rsidR="007B4CC2" w:rsidRPr="000B5438">
        <w:rPr>
          <w:lang w:val="lt-LT"/>
        </w:rPr>
        <w:t xml:space="preserve">- </w:t>
      </w:r>
      <w:r w:rsidR="009843BC">
        <w:rPr>
          <w:b/>
          <w:lang w:val="lt-LT"/>
        </w:rPr>
        <w:t>2320,9</w:t>
      </w:r>
      <w:r w:rsidR="00190A10">
        <w:rPr>
          <w:b/>
          <w:lang w:val="lt-LT"/>
        </w:rPr>
        <w:t xml:space="preserve"> </w:t>
      </w:r>
      <w:r w:rsidR="007B4CC2" w:rsidRPr="009843BC">
        <w:rPr>
          <w:lang w:val="lt-LT"/>
        </w:rPr>
        <w:t>tūkst. Eur</w:t>
      </w:r>
      <w:r w:rsidRPr="009843BC">
        <w:rPr>
          <w:lang w:val="lt-LT"/>
        </w:rPr>
        <w:t>:</w:t>
      </w:r>
    </w:p>
    <w:p w:rsidR="008931B8" w:rsidRDefault="00F558EA" w:rsidP="00F078CB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</w:r>
      <w:r w:rsidR="00F078CB">
        <w:t>1.</w:t>
      </w:r>
      <w:r w:rsidR="008931B8">
        <w:t xml:space="preserve"> Tikslinamos Kelių priežiūros ir plėtros programos finansavimo lėšos skirtos savivaldybei</w:t>
      </w:r>
      <w:r w:rsidR="00CB472A">
        <w:t xml:space="preserve">, suma </w:t>
      </w:r>
      <w:r w:rsidR="00CB472A" w:rsidRPr="009843BC">
        <w:t>253</w:t>
      </w:r>
      <w:proofErr w:type="gramStart"/>
      <w:r w:rsidR="00CB472A" w:rsidRPr="009843BC">
        <w:t>,3</w:t>
      </w:r>
      <w:proofErr w:type="gramEnd"/>
      <w:r w:rsidR="00CB472A">
        <w:t xml:space="preserve"> tūkst. Eur</w:t>
      </w:r>
      <w:r w:rsidR="008931B8">
        <w:t>:</w:t>
      </w:r>
    </w:p>
    <w:p w:rsidR="00030B68" w:rsidRDefault="008931B8" w:rsidP="00F078CB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1.1. Vadovaujantis Lietuvos automobilių kelių prie susisiekimo ministerijos direktoriaus 2020 m. balandžio 1 d. įsakymu Nr. V-48 </w:t>
      </w:r>
      <w:r w:rsidR="001B75D6">
        <w:rPr>
          <w:lang w:val="lt-LT"/>
        </w:rPr>
        <w:t>„</w:t>
      </w:r>
      <w:r>
        <w:t>Dėl L</w:t>
      </w:r>
      <w:r w:rsidR="00030B68">
        <w:t>ietuvos</w:t>
      </w:r>
      <w:r w:rsidR="00030B68" w:rsidRPr="00030B68">
        <w:t xml:space="preserve"> </w:t>
      </w:r>
      <w:r w:rsidR="00030B68">
        <w:t xml:space="preserve">automobilių kelių prie susisiekimo ministerijos direktoriaus 2020 m. vasario 6 d. įsakymo Nr. V-20 </w:t>
      </w:r>
      <w:r w:rsidR="001B75D6">
        <w:rPr>
          <w:lang w:val="lt-LT"/>
        </w:rPr>
        <w:t>„</w:t>
      </w:r>
      <w:r w:rsidR="00030B68">
        <w:t>Dėl kelių priežiūros ir plėtros programos finansavimo lėšų savivaldybių institucijų valdomiems vietinės reikšmės keliams paskirstymo 2020 metais” pakeitimo, savivaldybei 35,8 tūkst. Eur sumažinamas papildomas Kelių priežiūros ir plėtros programos finansavimas;</w:t>
      </w:r>
    </w:p>
    <w:p w:rsidR="00CB472A" w:rsidRDefault="00030B68" w:rsidP="00F078CB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1.2. Vadovaujantis Lietuvos Respublikos Vyriausybės 2020 m. balandžio 8 d. nutarimu Nr. 357 </w:t>
      </w:r>
      <w:r w:rsidR="001B75D6">
        <w:rPr>
          <w:lang w:val="lt-LT"/>
        </w:rPr>
        <w:t>„</w:t>
      </w:r>
      <w:r>
        <w:t xml:space="preserve">Dėl Lietuvos Respublikos Vyriausybės 2020 m. kovo 4 d. nutarimo Nr. 185 </w:t>
      </w:r>
      <w:r w:rsidR="001B75D6">
        <w:rPr>
          <w:lang w:val="lt-LT"/>
        </w:rPr>
        <w:t>„</w:t>
      </w:r>
      <w:r>
        <w:t>Dėl 2020 metų kelių priežiūros ir plėtros programos finansavimo lėšų rezervo valstybės reikmėms, susijusioms su keliais, finansuoti paskirstymo” pakeitimo, savivaldybei skiriama 21,8 tūkst. Eur</w:t>
      </w:r>
      <w:r w:rsidR="00CB472A">
        <w:t xml:space="preserve"> Molėtų miesto Braškių gatvei, esančiai sodininkų bendrijos </w:t>
      </w:r>
      <w:r w:rsidR="001B75D6">
        <w:rPr>
          <w:lang w:val="lt-LT"/>
        </w:rPr>
        <w:t>„</w:t>
      </w:r>
      <w:r w:rsidR="00CB472A">
        <w:t xml:space="preserve">Pavasaris” teritorijoje, kapitališkai remontuoti. </w:t>
      </w:r>
    </w:p>
    <w:p w:rsidR="00CB472A" w:rsidRDefault="00CB472A" w:rsidP="00F078CB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1.3. Vadovaujantis Lietuvos Respublikos susisiekimo ministro 2020 m. balandžio 14 d. įsakymu Nr. 3-209 </w:t>
      </w:r>
      <w:r w:rsidR="001B75D6">
        <w:rPr>
          <w:lang w:val="lt-LT"/>
        </w:rPr>
        <w:t>„</w:t>
      </w:r>
      <w:r>
        <w:t>Dėl kelių priežiūros ir plėtros programos finansavimo lėšų vietinės reikšmės keliams su žvyro danga asfaltuoti paskirstymo 2020 metais”, savivaldybei skiriama:</w:t>
      </w:r>
    </w:p>
    <w:p w:rsidR="00CB472A" w:rsidRDefault="00CB472A" w:rsidP="00F078CB">
      <w:pPr>
        <w:tabs>
          <w:tab w:val="left" w:pos="720"/>
          <w:tab w:val="num" w:pos="3960"/>
        </w:tabs>
        <w:spacing w:line="360" w:lineRule="auto"/>
        <w:jc w:val="both"/>
      </w:pPr>
      <w:r>
        <w:tab/>
        <w:t>1.3.1. 108 tūkst. Eur Molėtų miesto Kiemo gatvei kapitališkai remontuoti;</w:t>
      </w:r>
    </w:p>
    <w:p w:rsidR="00F078CB" w:rsidRDefault="00CB472A" w:rsidP="00F078CB">
      <w:pPr>
        <w:tabs>
          <w:tab w:val="left" w:pos="720"/>
          <w:tab w:val="num" w:pos="3960"/>
        </w:tabs>
        <w:spacing w:line="360" w:lineRule="auto"/>
        <w:jc w:val="both"/>
      </w:pPr>
      <w:r>
        <w:tab/>
        <w:t>1.3.2. 159</w:t>
      </w:r>
      <w:proofErr w:type="gramStart"/>
      <w:r>
        <w:t>,3</w:t>
      </w:r>
      <w:proofErr w:type="gramEnd"/>
      <w:r>
        <w:t xml:space="preserve"> tūkst. Eur Joniškio seniūnijos Graužinių kaimo vietinės reikšmės keliui Graužiniai-Žydavainiai (Ateities g.) kapitališkai remontuoti.</w:t>
      </w:r>
      <w:r w:rsidR="007C5F90">
        <w:tab/>
      </w:r>
    </w:p>
    <w:p w:rsidR="00635A55" w:rsidRDefault="00F078CB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2. </w:t>
      </w:r>
      <w:r w:rsidR="001B75D6">
        <w:t xml:space="preserve">Vadovaujantis Lietuvos Respublikos susisiekimo ministro 2020 m. balandžio 7 d. įsakymu Nr. 3-192 </w:t>
      </w:r>
      <w:r w:rsidR="001B75D6">
        <w:rPr>
          <w:lang w:val="lt-LT"/>
        </w:rPr>
        <w:t>„</w:t>
      </w:r>
      <w:r w:rsidR="001B75D6">
        <w:t xml:space="preserve">Dėl finansavimo skyrimo projektui Nr. 06.2.1-TID-R-511-91-0010 </w:t>
      </w:r>
      <w:r w:rsidR="001B75D6">
        <w:rPr>
          <w:lang w:val="lt-LT"/>
        </w:rPr>
        <w:t>„</w:t>
      </w:r>
      <w:r w:rsidR="001B75D6">
        <w:t xml:space="preserve">Saugaus eismo priemonių diegimas Molėtų rajono Giedraičių miestelyje”, skiriama 160,9 tūkst. Eur Europos Sąjungos struktūrinių fondų lėšų projektui </w:t>
      </w:r>
      <w:r w:rsidR="001B75D6">
        <w:rPr>
          <w:lang w:val="lt-LT"/>
        </w:rPr>
        <w:t>„</w:t>
      </w:r>
      <w:r w:rsidR="001B75D6">
        <w:t>Saugaus eismo priemonių diegimas Molėtų rajono Giedraičių miestelyje”,</w:t>
      </w:r>
      <w:r w:rsidR="00635A55">
        <w:tab/>
      </w:r>
    </w:p>
    <w:p w:rsidR="005F3094" w:rsidRDefault="0034271C" w:rsidP="001B75D6">
      <w:pPr>
        <w:spacing w:line="360" w:lineRule="auto"/>
        <w:jc w:val="both"/>
      </w:pPr>
      <w:r>
        <w:t xml:space="preserve">            3. </w:t>
      </w:r>
      <w:r w:rsidR="003676BB">
        <w:t xml:space="preserve">Vadovaujantis Lietuvos Respublikos socialinės apsaugos ir darbo ministro 2020 m. balandžio 24 d. įsakymu Nr. A1-350 „ Dėl lėšų paskirstymo savivaldybėms vienkartinėms premijoms </w:t>
      </w:r>
      <w:r w:rsidR="003676BB">
        <w:lastRenderedPageBreak/>
        <w:t>už ypač svarbių užduočių vykdymą valstybės lygio ekstremaliosios situacijos ir karantino laipkotarpiu savivaldybių socialinių paslaugų įstaigose dirbantiems darbuotojams išmokėti patvirtininimo” savivaldybės socialinių paslaugų įstaigose dirbantiems darbuotojams skiriama 32,4 tūkst. Eur lėšų.</w:t>
      </w:r>
    </w:p>
    <w:p w:rsidR="00FC1D26" w:rsidRDefault="00FC1D26" w:rsidP="001B75D6">
      <w:pPr>
        <w:spacing w:line="360" w:lineRule="auto"/>
        <w:jc w:val="both"/>
      </w:pPr>
      <w:r>
        <w:t xml:space="preserve">            4. Savivaldybės pajamos didinamos 74</w:t>
      </w:r>
      <w:proofErr w:type="gramStart"/>
      <w:r>
        <w:t>,3</w:t>
      </w:r>
      <w:proofErr w:type="gramEnd"/>
      <w:r>
        <w:t xml:space="preserve"> tūkst. Eur gautomis lėšomis </w:t>
      </w:r>
      <w:proofErr w:type="gramStart"/>
      <w:r>
        <w:t>už  2019</w:t>
      </w:r>
      <w:proofErr w:type="gramEnd"/>
      <w:r>
        <w:t xml:space="preserve"> m. vykdytus  projektus (grąžinama savivaldybės dalis).</w:t>
      </w:r>
    </w:p>
    <w:p w:rsidR="00FC1D26" w:rsidRDefault="00FC1D26" w:rsidP="001B75D6">
      <w:pPr>
        <w:spacing w:line="360" w:lineRule="auto"/>
        <w:jc w:val="both"/>
      </w:pPr>
      <w:r>
        <w:t xml:space="preserve">            5. </w:t>
      </w:r>
      <w:r w:rsidR="004F24DF">
        <w:t>Gautomis valstybinės žemės realizavimo lėšomis, suma - 6 tūkst. Eur, didinamo</w:t>
      </w:r>
      <w:r>
        <w:t>s žemės sk</w:t>
      </w:r>
      <w:r w:rsidR="004F24DF">
        <w:t>lypų matavimams skirtos pajamos.</w:t>
      </w:r>
    </w:p>
    <w:p w:rsidR="00FC1D26" w:rsidRDefault="00FC1D26" w:rsidP="001B75D6">
      <w:pPr>
        <w:spacing w:line="360" w:lineRule="auto"/>
        <w:jc w:val="both"/>
      </w:pPr>
      <w:r>
        <w:t xml:space="preserve">            6.  </w:t>
      </w:r>
      <w:r w:rsidR="006D0156">
        <w:t>Vadovaujantis Lietuvos Respublikos Vyriausybės 2020 m. gegužės 6 d. nutarimu Nr. 458</w:t>
      </w:r>
      <w:r w:rsidR="00B56464">
        <w:t xml:space="preserve"> Nr. „Dėl lėšų skyrimo”</w:t>
      </w:r>
      <w:r w:rsidR="006D0156">
        <w:t>, Molėtų rajono savivaldybei skiriama 1794 tūks. Eur valstybės lėšų šioms investicijoms:</w:t>
      </w:r>
    </w:p>
    <w:p w:rsidR="006D0156" w:rsidRDefault="006D0156" w:rsidP="001B75D6">
      <w:pPr>
        <w:spacing w:line="360" w:lineRule="auto"/>
        <w:jc w:val="both"/>
      </w:pPr>
      <w:r>
        <w:t xml:space="preserve">            6.1. Molėtų kultūros namų rekonstravimui- 330 tūkst. Eur;</w:t>
      </w:r>
    </w:p>
    <w:p w:rsidR="006D0156" w:rsidRDefault="006D0156" w:rsidP="001B75D6">
      <w:pPr>
        <w:spacing w:line="360" w:lineRule="auto"/>
        <w:jc w:val="both"/>
      </w:pPr>
      <w:r>
        <w:t xml:space="preserve">            6.2. Bendruomeninių globos namų ir vaiko raidos centrų Molėtų r. plėtrai – 64 tūkst. Eur;</w:t>
      </w:r>
    </w:p>
    <w:p w:rsidR="006D0156" w:rsidRDefault="006D0156" w:rsidP="001B75D6">
      <w:pPr>
        <w:spacing w:line="360" w:lineRule="auto"/>
        <w:jc w:val="both"/>
      </w:pPr>
      <w:r>
        <w:t xml:space="preserve">            6.3. Sporto paskirties pastato Molėtuose, Ąžuolo g. 10, rekonstravimui – 1 mln. Eur;</w:t>
      </w:r>
    </w:p>
    <w:p w:rsidR="006D0156" w:rsidRDefault="006D0156" w:rsidP="001B75D6">
      <w:pPr>
        <w:spacing w:line="360" w:lineRule="auto"/>
        <w:jc w:val="both"/>
      </w:pPr>
      <w:r>
        <w:t xml:space="preserve">            6.4. Molėtų gimnazijos kapitaliniam remontui – 400 tūkst. Eur.</w:t>
      </w:r>
    </w:p>
    <w:p w:rsidR="00FC1D26" w:rsidRDefault="00FC1D26" w:rsidP="006D0156">
      <w:pPr>
        <w:spacing w:line="360" w:lineRule="auto"/>
        <w:jc w:val="both"/>
      </w:pPr>
      <w:r>
        <w:t xml:space="preserve">            Molėtų rajono savivaldybės biudžeto pajamų tikslinimas detalizuojamas lentelėje:</w:t>
      </w:r>
    </w:p>
    <w:tbl>
      <w:tblPr>
        <w:tblW w:w="9400" w:type="dxa"/>
        <w:tblInd w:w="-5" w:type="dxa"/>
        <w:tblLook w:val="04A0" w:firstRow="1" w:lastRow="0" w:firstColumn="1" w:lastColumn="0" w:noHBand="0" w:noVBand="1"/>
      </w:tblPr>
      <w:tblGrid>
        <w:gridCol w:w="567"/>
        <w:gridCol w:w="7773"/>
        <w:gridCol w:w="1060"/>
      </w:tblGrid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Suma</w:t>
            </w:r>
          </w:p>
        </w:tc>
      </w:tr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253,3</w:t>
            </w:r>
          </w:p>
        </w:tc>
      </w:tr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2.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Europos Sąjungos finansinės paramos lėšos savivaldybės projektams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160,9</w:t>
            </w:r>
          </w:p>
        </w:tc>
      </w:tr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 xml:space="preserve">3. 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Dotacija socialinių paslaugų srities darbuotojams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32,4</w:t>
            </w:r>
          </w:p>
        </w:tc>
      </w:tr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4.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Grąžinta dotacijos dalis projektams (už 2019 m.)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74,3</w:t>
            </w:r>
          </w:p>
        </w:tc>
      </w:tr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5.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Žemės realizavimo pajamos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6</w:t>
            </w:r>
          </w:p>
        </w:tc>
      </w:tr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6.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Molėtų kultūros namų rekonstravimas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330</w:t>
            </w:r>
          </w:p>
        </w:tc>
      </w:tr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7.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 xml:space="preserve">Bendruomeninių globos namų ir vaiko raidos centrų Molėtų r. plėtra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64</w:t>
            </w:r>
          </w:p>
        </w:tc>
      </w:tr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8.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Sporto paskirties pastato Molėtuose, Ąžuolo g. 10, rekonstravimas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1000</w:t>
            </w:r>
          </w:p>
        </w:tc>
      </w:tr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9.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Molėtų gimnazijos kapitalinis remontas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400</w:t>
            </w:r>
          </w:p>
        </w:tc>
      </w:tr>
      <w:tr w:rsidR="009843BC" w:rsidRPr="009843BC" w:rsidTr="009843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Cs/>
                <w:color w:val="000000"/>
                <w:lang w:val="lt-LT" w:eastAsia="lt-LT"/>
              </w:rPr>
            </w:pPr>
            <w:r w:rsidRPr="009843BC">
              <w:rPr>
                <w:bCs/>
                <w:color w:val="000000"/>
                <w:lang w:val="lt-LT" w:eastAsia="lt-LT"/>
              </w:rPr>
              <w:t>10.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rPr>
                <w:b/>
                <w:bCs/>
                <w:color w:val="000000"/>
                <w:lang w:val="lt-LT" w:eastAsia="lt-LT"/>
              </w:rPr>
            </w:pPr>
            <w:r w:rsidRPr="009843BC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BC" w:rsidRPr="009843BC" w:rsidRDefault="009843BC" w:rsidP="009843BC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843BC">
              <w:rPr>
                <w:b/>
                <w:bCs/>
                <w:color w:val="000000"/>
                <w:lang w:val="lt-LT" w:eastAsia="lt-LT"/>
              </w:rPr>
              <w:t>2320,9</w:t>
            </w:r>
          </w:p>
        </w:tc>
      </w:tr>
    </w:tbl>
    <w:p w:rsidR="00FC1D26" w:rsidRPr="009843BC" w:rsidRDefault="00FC1D26" w:rsidP="001B75D6">
      <w:pPr>
        <w:spacing w:line="360" w:lineRule="auto"/>
        <w:jc w:val="both"/>
        <w:rPr>
          <w:b/>
        </w:rPr>
      </w:pPr>
    </w:p>
    <w:p w:rsidR="00817ACD" w:rsidRDefault="00817ACD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01050B">
        <w:t xml:space="preserve">Gautomis pajamomis </w:t>
      </w:r>
      <w:proofErr w:type="gramStart"/>
      <w:r w:rsidR="0001050B">
        <w:t xml:space="preserve">tikslinami </w:t>
      </w:r>
      <w:r w:rsidR="002A4FBE">
        <w:t>:</w:t>
      </w:r>
      <w:proofErr w:type="gramEnd"/>
    </w:p>
    <w:p w:rsidR="002A4FBE" w:rsidRDefault="002A4FBE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1. Molėtų rajono savivaldybės administracijos</w:t>
      </w:r>
      <w:r w:rsidRPr="002A4FBE">
        <w:t xml:space="preserve"> </w:t>
      </w:r>
      <w:r>
        <w:t>asignavimai sprendimo 5 ir 3 prieduose: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4095"/>
        <w:gridCol w:w="948"/>
        <w:gridCol w:w="887"/>
        <w:gridCol w:w="1167"/>
        <w:gridCol w:w="830"/>
        <w:gridCol w:w="1110"/>
      </w:tblGrid>
      <w:tr w:rsidR="00F03A46" w:rsidRPr="00F03A46" w:rsidTr="00F03A46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 xml:space="preserve">Eil. </w:t>
            </w:r>
            <w:r w:rsidRPr="00F03A46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46" w:rsidRPr="00F03A46" w:rsidRDefault="00F03A46" w:rsidP="00F03A46">
            <w:pPr>
              <w:jc w:val="center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46" w:rsidRPr="00F03A46" w:rsidRDefault="00F03A46" w:rsidP="00F03A46">
            <w:pPr>
              <w:jc w:val="center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Progra-</w:t>
            </w:r>
            <w:r w:rsidRPr="00F03A46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 xml:space="preserve">Suma, </w:t>
            </w:r>
            <w:r w:rsidRPr="00F03A46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 xml:space="preserve">Darbo </w:t>
            </w:r>
            <w:r w:rsidRPr="00F03A46">
              <w:rPr>
                <w:color w:val="000000"/>
                <w:lang w:val="lt-LT" w:eastAsia="lt-LT"/>
              </w:rPr>
              <w:br/>
              <w:t>užmo-</w:t>
            </w:r>
            <w:r w:rsidRPr="00F03A46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 xml:space="preserve">Ilgalaikis </w:t>
            </w:r>
            <w:r w:rsidRPr="00F03A46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F03A46" w:rsidRPr="00F03A46" w:rsidTr="00F03A46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A46" w:rsidRPr="00F03A46" w:rsidRDefault="00F03A46" w:rsidP="00F03A46">
            <w:pPr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1. Realizavimo pajamos</w:t>
            </w:r>
          </w:p>
        </w:tc>
      </w:tr>
      <w:tr w:rsidR="00F03A46" w:rsidRPr="00F03A46" w:rsidTr="00F03A46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1.1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Žemės sklypų matavimams iš valstybinės žemės realizavimo pajamų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</w:tr>
      <w:tr w:rsidR="00F03A46" w:rsidRPr="00F03A46" w:rsidTr="00F03A46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F03A46" w:rsidRPr="00F03A46" w:rsidTr="00F03A46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2. Valstybės lėšos</w:t>
            </w:r>
          </w:p>
        </w:tc>
      </w:tr>
      <w:tr w:rsidR="00F03A46" w:rsidRPr="00F03A46" w:rsidTr="00F0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253,3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253,3</w:t>
            </w:r>
          </w:p>
        </w:tc>
      </w:tr>
      <w:tr w:rsidR="00F03A46" w:rsidRPr="00F03A46" w:rsidTr="00F0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lastRenderedPageBreak/>
              <w:t>2.2.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Molėtų kultūros namų rekonstravimas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330</w:t>
            </w:r>
          </w:p>
        </w:tc>
      </w:tr>
      <w:tr w:rsidR="00F03A46" w:rsidRPr="00F03A46" w:rsidTr="00F03A4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2.3.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Bendruomenin</w:t>
            </w:r>
            <w:r>
              <w:rPr>
                <w:color w:val="000000"/>
                <w:lang w:val="lt-LT" w:eastAsia="lt-LT"/>
              </w:rPr>
              <w:t xml:space="preserve">ių globos namų ir vaiko raidos </w:t>
            </w:r>
            <w:r w:rsidRPr="00F03A46">
              <w:rPr>
                <w:color w:val="000000"/>
                <w:lang w:val="lt-LT" w:eastAsia="lt-LT"/>
              </w:rPr>
              <w:t xml:space="preserve">centrų Molėtų r. plėtra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64</w:t>
            </w:r>
          </w:p>
        </w:tc>
      </w:tr>
      <w:tr w:rsidR="00F03A46" w:rsidRPr="00F03A46" w:rsidTr="00F03A46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2.4.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Sporto paskirties pa</w:t>
            </w:r>
            <w:r>
              <w:rPr>
                <w:color w:val="000000"/>
                <w:lang w:val="lt-LT" w:eastAsia="lt-LT"/>
              </w:rPr>
              <w:t xml:space="preserve">stato Molėtuose, Ąžuolų g. 10, </w:t>
            </w:r>
            <w:r w:rsidRPr="00F03A46">
              <w:rPr>
                <w:color w:val="000000"/>
                <w:lang w:val="lt-LT" w:eastAsia="lt-LT"/>
              </w:rPr>
              <w:t>rekonstravimas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1000</w:t>
            </w:r>
          </w:p>
        </w:tc>
      </w:tr>
      <w:tr w:rsidR="00F03A46" w:rsidRPr="00F03A46" w:rsidTr="00F0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2.5.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Molėtų gimnazijos kapitalinis remontas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400</w:t>
            </w:r>
          </w:p>
        </w:tc>
      </w:tr>
      <w:tr w:rsidR="00F03A46" w:rsidRPr="00F03A46" w:rsidTr="00F03A46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2.6.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Grąžinta dotacijos dalis projektams (už 2019 m.)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52,6</w:t>
            </w:r>
          </w:p>
        </w:tc>
      </w:tr>
      <w:tr w:rsidR="00F03A46" w:rsidRPr="00F03A46" w:rsidTr="00F03A46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2121,6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2099,9</w:t>
            </w:r>
          </w:p>
        </w:tc>
      </w:tr>
      <w:tr w:rsidR="00F03A46" w:rsidRPr="00F03A46" w:rsidTr="00F03A46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3. Europos Sąjungos lėšos</w:t>
            </w:r>
          </w:p>
        </w:tc>
      </w:tr>
      <w:tr w:rsidR="00F03A46" w:rsidRPr="00F03A46" w:rsidTr="00F0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46" w:rsidRPr="00F03A46" w:rsidRDefault="00F03A46" w:rsidP="00F03A46">
            <w:pPr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 xml:space="preserve">Infrastruktūros objektų ir gyvenamosios aplinkos </w:t>
            </w:r>
            <w:r>
              <w:rPr>
                <w:color w:val="000000"/>
                <w:lang w:val="lt-LT" w:eastAsia="lt-LT"/>
              </w:rPr>
              <w:t>tvarkymo ir priežiūros programa (Saugaus eismo priemonių diegimas Molėtų rajono Giedraičių miestelyje)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160,9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160,9</w:t>
            </w:r>
          </w:p>
        </w:tc>
      </w:tr>
      <w:tr w:rsidR="00F03A46" w:rsidRPr="00F03A46" w:rsidTr="00F03A4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color w:val="000000"/>
                <w:lang w:val="lt-LT" w:eastAsia="lt-LT"/>
              </w:rPr>
            </w:pPr>
            <w:r w:rsidRPr="00F03A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160,9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160,9</w:t>
            </w:r>
          </w:p>
        </w:tc>
      </w:tr>
      <w:tr w:rsidR="00F03A46" w:rsidRPr="00F03A46" w:rsidTr="00F03A4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A46" w:rsidRPr="00F03A46" w:rsidRDefault="00F03A46" w:rsidP="00F03A46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 xml:space="preserve">Iš viso visų finansavimo šaltinių: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2288,5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2260,8</w:t>
            </w:r>
          </w:p>
        </w:tc>
      </w:tr>
      <w:tr w:rsidR="00F03A46" w:rsidRPr="00F03A46" w:rsidTr="00F03A4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rPr>
                <w:lang w:val="lt-LT" w:eastAsia="lt-L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46" w:rsidRPr="00F03A46" w:rsidRDefault="00F03A46" w:rsidP="00F03A46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F03A46">
              <w:rPr>
                <w:b/>
                <w:bCs/>
                <w:color w:val="000000"/>
                <w:lang w:val="lt-LT" w:eastAsia="lt-LT"/>
              </w:rPr>
              <w:t>2288,5</w:t>
            </w:r>
          </w:p>
        </w:tc>
      </w:tr>
    </w:tbl>
    <w:p w:rsidR="00F03A46" w:rsidRDefault="00F03A46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</w:p>
    <w:p w:rsidR="00F03A46" w:rsidRDefault="00F03A46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2. </w:t>
      </w:r>
      <w:r w:rsidR="00F370E3">
        <w:t>Valstybės lėšos paskirsomos socialines paslaugas teikiančioms įstaigoms vienkartinėms premijoms už ypač svarbių užduočių vykdymą valstybės lygio ekstremaliosios situacijos ir karantino laikotarpiu socialinių paslaugų įstaigose dirbantiems darbuotojams išmokėti: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3973"/>
        <w:gridCol w:w="1186"/>
        <w:gridCol w:w="823"/>
        <w:gridCol w:w="1137"/>
        <w:gridCol w:w="1111"/>
        <w:gridCol w:w="814"/>
      </w:tblGrid>
      <w:tr w:rsidR="00BE0D44" w:rsidRPr="00BE0D44" w:rsidTr="00BE0D44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 xml:space="preserve">Eil. </w:t>
            </w:r>
            <w:r w:rsidRPr="00BE0D44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44" w:rsidRPr="00BE0D44" w:rsidRDefault="00BE0D44" w:rsidP="00BE0D44">
            <w:pPr>
              <w:jc w:val="center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44" w:rsidRPr="00BE0D44" w:rsidRDefault="00BE0D44" w:rsidP="00BE0D44">
            <w:pPr>
              <w:jc w:val="center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Progra-</w:t>
            </w:r>
            <w:r w:rsidRPr="00BE0D44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 xml:space="preserve">Suma, </w:t>
            </w:r>
            <w:r w:rsidRPr="00BE0D44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 xml:space="preserve">Darbo </w:t>
            </w:r>
            <w:r w:rsidRPr="00BE0D44">
              <w:rPr>
                <w:color w:val="000000"/>
                <w:lang w:val="lt-LT" w:eastAsia="lt-LT"/>
              </w:rPr>
              <w:br/>
              <w:t>užmo-</w:t>
            </w:r>
            <w:r w:rsidRPr="00BE0D44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Ilga</w:t>
            </w:r>
            <w:r>
              <w:rPr>
                <w:color w:val="000000"/>
                <w:lang w:val="lt-LT" w:eastAsia="lt-LT"/>
              </w:rPr>
              <w:t>-</w:t>
            </w:r>
            <w:r w:rsidRPr="00BE0D44">
              <w:rPr>
                <w:color w:val="000000"/>
                <w:lang w:val="lt-LT" w:eastAsia="lt-LT"/>
              </w:rPr>
              <w:t xml:space="preserve">laikis </w:t>
            </w:r>
            <w:r w:rsidRPr="00BE0D44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BE0D44" w:rsidRPr="00BE0D44" w:rsidTr="00BE0D44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b/>
                <w:bCs/>
                <w:color w:val="000000"/>
                <w:lang w:val="lt-LT" w:eastAsia="lt-LT"/>
              </w:rPr>
            </w:pPr>
            <w:r w:rsidRPr="00BE0D44">
              <w:rPr>
                <w:b/>
                <w:bCs/>
                <w:color w:val="000000"/>
                <w:lang w:val="lt-LT" w:eastAsia="lt-LT"/>
              </w:rPr>
              <w:t>1. Valstybės lėšos</w:t>
            </w:r>
          </w:p>
        </w:tc>
      </w:tr>
      <w:tr w:rsidR="00BE0D44" w:rsidRPr="00BE0D44" w:rsidTr="00BE0D4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Molėtų socialinės paramos centras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right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44" w:rsidRPr="00BE0D44" w:rsidRDefault="00BE0D44" w:rsidP="00BE0D44">
            <w:pPr>
              <w:jc w:val="right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right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right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11,7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 </w:t>
            </w:r>
          </w:p>
        </w:tc>
      </w:tr>
      <w:tr w:rsidR="00BE0D44" w:rsidRPr="00BE0D44" w:rsidTr="00BE0D4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Molėtų vaikų savarankiško gyvenimo namai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right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44" w:rsidRPr="00BE0D44" w:rsidRDefault="00BE0D44" w:rsidP="00BE0D44">
            <w:pPr>
              <w:jc w:val="right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right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15,5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 </w:t>
            </w:r>
          </w:p>
        </w:tc>
      </w:tr>
      <w:tr w:rsidR="00BE0D44" w:rsidRPr="00BE0D44" w:rsidTr="00BE0D4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Molėtų rajono Alantos senelių globos namai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right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44" w:rsidRPr="00BE0D44" w:rsidRDefault="00BE0D44" w:rsidP="00BE0D44">
            <w:pPr>
              <w:jc w:val="right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right"/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 </w:t>
            </w:r>
          </w:p>
        </w:tc>
      </w:tr>
      <w:tr w:rsidR="00BE0D44" w:rsidRPr="00BE0D44" w:rsidTr="00BE0D44">
        <w:trPr>
          <w:trHeight w:val="31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E0D44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rPr>
                <w:color w:val="000000"/>
                <w:lang w:val="lt-LT" w:eastAsia="lt-LT"/>
              </w:rPr>
            </w:pPr>
            <w:r w:rsidRPr="00BE0D4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44" w:rsidRPr="00BE0D44" w:rsidRDefault="00BE0D44" w:rsidP="00BE0D4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E0D44">
              <w:rPr>
                <w:b/>
                <w:bCs/>
                <w:color w:val="000000"/>
                <w:lang w:val="lt-LT" w:eastAsia="lt-LT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E0D44">
              <w:rPr>
                <w:b/>
                <w:bCs/>
                <w:color w:val="000000"/>
                <w:lang w:val="lt-LT" w:eastAsia="lt-LT"/>
              </w:rPr>
              <w:t>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E0D44">
              <w:rPr>
                <w:b/>
                <w:bCs/>
                <w:color w:val="000000"/>
                <w:lang w:val="lt-LT" w:eastAsia="lt-LT"/>
              </w:rPr>
              <w:t>32,2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4" w:rsidRPr="00BE0D44" w:rsidRDefault="00BE0D44" w:rsidP="00BE0D4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E0D44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:rsidR="005F3094" w:rsidRDefault="005F3094" w:rsidP="00161EFC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</w:p>
    <w:p w:rsidR="0001050B" w:rsidRDefault="0071343B" w:rsidP="0071343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D572D4">
        <w:rPr>
          <w:lang w:val="lt-LT"/>
        </w:rPr>
        <w:t>Š</w:t>
      </w:r>
      <w:r w:rsidR="00426F22" w:rsidRPr="00D572D4">
        <w:rPr>
          <w:lang w:val="lt-LT"/>
        </w:rPr>
        <w:t>iuo sprendimu taip pat tikslinamos savivaldybės</w:t>
      </w:r>
      <w:r w:rsidR="005F3094" w:rsidRPr="00D572D4">
        <w:rPr>
          <w:lang w:val="lt-LT"/>
        </w:rPr>
        <w:t xml:space="preserve"> </w:t>
      </w:r>
      <w:r w:rsidR="00067AA0" w:rsidRPr="00D572D4">
        <w:rPr>
          <w:lang w:val="lt-LT"/>
        </w:rPr>
        <w:t xml:space="preserve">lėšos,  </w:t>
      </w:r>
      <w:r w:rsidR="00426F22" w:rsidRPr="00D572D4">
        <w:rPr>
          <w:lang w:val="lt-LT"/>
        </w:rPr>
        <w:t xml:space="preserve">perskirstant lėšas </w:t>
      </w:r>
      <w:r w:rsidR="00F370E3">
        <w:rPr>
          <w:lang w:val="lt-LT"/>
        </w:rPr>
        <w:t xml:space="preserve">tarp </w:t>
      </w:r>
      <w:r w:rsidR="00426F22" w:rsidRPr="00D572D4">
        <w:rPr>
          <w:lang w:val="lt-LT"/>
        </w:rPr>
        <w:t>programų, ekonominės klasifikacijos straipsnių nekeičiant bendros asignavimų sumos.</w:t>
      </w:r>
      <w:r w:rsidR="00426F22">
        <w:rPr>
          <w:lang w:val="lt-LT"/>
        </w:rPr>
        <w:t xml:space="preserve"> </w:t>
      </w:r>
    </w:p>
    <w:p w:rsidR="005F3094" w:rsidRDefault="00797771" w:rsidP="005F3094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Perskirstomas </w:t>
      </w:r>
      <w:r w:rsidR="005B7F4C">
        <w:rPr>
          <w:lang w:val="lt-LT"/>
        </w:rPr>
        <w:t xml:space="preserve">savivaldybės lėšų </w:t>
      </w:r>
      <w:r>
        <w:rPr>
          <w:lang w:val="lt-LT"/>
        </w:rPr>
        <w:t>asignavimų planas</w:t>
      </w:r>
      <w:r w:rsidR="00A00D46">
        <w:rPr>
          <w:lang w:val="lt-LT"/>
        </w:rPr>
        <w:t>, didinant administracijos direktoriaus rezervą 50 tūkst. Eur ekstremalios situacijos išlaidoms kompensuoti</w:t>
      </w:r>
      <w:r>
        <w:rPr>
          <w:lang w:val="lt-L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4088"/>
        <w:gridCol w:w="991"/>
        <w:gridCol w:w="883"/>
        <w:gridCol w:w="1277"/>
        <w:gridCol w:w="830"/>
        <w:gridCol w:w="1110"/>
      </w:tblGrid>
      <w:tr w:rsidR="005B7F4C" w:rsidRPr="005B7F4C" w:rsidTr="005B7F4C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 xml:space="preserve">Eil. </w:t>
            </w:r>
            <w:r w:rsidRPr="005B7F4C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4C" w:rsidRPr="005B7F4C" w:rsidRDefault="005B7F4C" w:rsidP="005B7F4C">
            <w:pPr>
              <w:jc w:val="center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4C" w:rsidRPr="005B7F4C" w:rsidRDefault="005B7F4C" w:rsidP="005B7F4C">
            <w:pPr>
              <w:jc w:val="center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Progra-</w:t>
            </w:r>
            <w:r w:rsidRPr="005B7F4C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 xml:space="preserve">Suma, </w:t>
            </w:r>
            <w:r w:rsidRPr="005B7F4C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 xml:space="preserve">Darbo </w:t>
            </w:r>
            <w:r w:rsidRPr="005B7F4C">
              <w:rPr>
                <w:color w:val="000000"/>
                <w:lang w:val="lt-LT" w:eastAsia="lt-LT"/>
              </w:rPr>
              <w:br/>
              <w:t>užmo-</w:t>
            </w:r>
            <w:r w:rsidRPr="005B7F4C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 xml:space="preserve">Ilgalaikis </w:t>
            </w:r>
            <w:r w:rsidRPr="005B7F4C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5B7F4C" w:rsidRPr="005B7F4C" w:rsidTr="005B7F4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Lėšos reprezentacijai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 </w:t>
            </w:r>
          </w:p>
        </w:tc>
      </w:tr>
      <w:tr w:rsidR="005B7F4C" w:rsidRPr="005B7F4C" w:rsidTr="005B7F4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Administracijos direktoriaus rezervas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 </w:t>
            </w:r>
          </w:p>
        </w:tc>
      </w:tr>
      <w:tr w:rsidR="005B7F4C" w:rsidRPr="005B7F4C" w:rsidTr="005B7F4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Savivaldybės lėšos ugdymo procesui užtikrinti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 </w:t>
            </w:r>
          </w:p>
        </w:tc>
      </w:tr>
      <w:tr w:rsidR="005B7F4C" w:rsidRPr="005B7F4C" w:rsidTr="005B7F4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lastRenderedPageBreak/>
              <w:t>4.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Lėšos likusių be tėvų globos vaikų apgyvendinimui vaikų globos namuose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 </w:t>
            </w:r>
          </w:p>
        </w:tc>
      </w:tr>
      <w:tr w:rsidR="005B7F4C" w:rsidRPr="005B7F4C" w:rsidTr="005B7F4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5B7F4C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rPr>
                <w:color w:val="000000"/>
                <w:lang w:val="lt-LT" w:eastAsia="lt-LT"/>
              </w:rPr>
            </w:pPr>
            <w:r w:rsidRPr="005B7F4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4C" w:rsidRPr="005B7F4C" w:rsidRDefault="005B7F4C" w:rsidP="005B7F4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7F4C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7F4C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7F4C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4C" w:rsidRPr="005B7F4C" w:rsidRDefault="005B7F4C" w:rsidP="005B7F4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7F4C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:rsidR="00A00D46" w:rsidRDefault="001C3F04" w:rsidP="00A00D46">
      <w:pPr>
        <w:spacing w:line="360" w:lineRule="auto"/>
        <w:jc w:val="both"/>
        <w:rPr>
          <w:color w:val="000000"/>
          <w:lang w:eastAsia="lt-LT"/>
        </w:rPr>
      </w:pPr>
      <w:r w:rsidRPr="006B4983">
        <w:rPr>
          <w:lang w:val="lt-LT"/>
        </w:rPr>
        <w:tab/>
      </w:r>
    </w:p>
    <w:p w:rsidR="00F8762E" w:rsidRPr="00A00D46" w:rsidRDefault="00A00D46" w:rsidP="00A00D46">
      <w:pPr>
        <w:spacing w:line="360" w:lineRule="auto"/>
        <w:jc w:val="both"/>
        <w:rPr>
          <w:color w:val="000000"/>
          <w:lang w:eastAsia="lt-LT"/>
        </w:rPr>
      </w:pPr>
      <w:r>
        <w:rPr>
          <w:b/>
          <w:lang w:val="lt-LT"/>
        </w:rPr>
        <w:t xml:space="preserve">           </w:t>
      </w:r>
      <w:bookmarkStart w:id="0" w:name="_GoBack"/>
      <w:bookmarkEnd w:id="0"/>
      <w:r w:rsidR="00F8762E">
        <w:rPr>
          <w:b/>
          <w:lang w:val="lt-LT"/>
        </w:rPr>
        <w:t xml:space="preserve">2. </w:t>
      </w:r>
      <w:r w:rsidR="008C5B59">
        <w:rPr>
          <w:b/>
          <w:lang w:val="lt-LT"/>
        </w:rPr>
        <w:t>Šiuo metu esantis teisinis reglamentavimas</w:t>
      </w:r>
      <w:r w:rsidR="00F8762E">
        <w:rPr>
          <w:b/>
          <w:lang w:val="lt-LT"/>
        </w:rPr>
        <w:t xml:space="preserve">: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Lietuvos Respublikos biudžeto sandaros įstatymas; 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Molėtų rajono savivaldybės biudžeto </w:t>
      </w:r>
      <w:r w:rsidR="0020377E">
        <w:rPr>
          <w:lang w:val="lt-LT"/>
        </w:rPr>
        <w:t xml:space="preserve">projekto rengimo, tvirtinimo, biudžeto vykdymo, asignavimų išdavimo ir atskaitomybės tvarkos aprašas, patvirtintas 2019 m. balandžio 3 d. Molėtų rajono </w:t>
      </w:r>
      <w:r w:rsidR="00D003B9">
        <w:rPr>
          <w:lang w:val="lt-LT"/>
        </w:rPr>
        <w:t>savivaldybės administracijos di</w:t>
      </w:r>
      <w:r w:rsidR="0020377E">
        <w:rPr>
          <w:lang w:val="lt-LT"/>
        </w:rPr>
        <w:t>rektoriaus įsakymu Nr. B6-268 „Dėl Molėtų rajono savivaldybės biudžeto projekto rengimo, tvirtinimo, biudžeto vykdymo, asignavimų išdavimo ir atskaitomybės tvarkos aprašo tvirtinimo“.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3. </w:t>
      </w:r>
      <w:r w:rsidR="00F8762E">
        <w:rPr>
          <w:b/>
          <w:lang w:val="pt-BR"/>
        </w:rPr>
        <w:t>Galimos teigiamos ir neigiamos pasekmės priėmus siūlomą tarybos sprendimo projektą</w:t>
      </w:r>
      <w:r w:rsidR="00F8762E">
        <w:rPr>
          <w:b/>
          <w:lang w:val="lt-LT"/>
        </w:rPr>
        <w:t xml:space="preserve"> </w:t>
      </w:r>
    </w:p>
    <w:p w:rsidR="00946007" w:rsidRDefault="00F8762E" w:rsidP="0045363E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  <w:t xml:space="preserve">Neigiamų pasekmių </w:t>
      </w:r>
      <w:r w:rsidR="00966288">
        <w:rPr>
          <w:lang w:val="lt-LT"/>
        </w:rPr>
        <w:t xml:space="preserve">- nenumatoma. </w:t>
      </w:r>
    </w:p>
    <w:p w:rsidR="00F8762E" w:rsidRPr="007E01EC" w:rsidRDefault="00946007" w:rsidP="0045363E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</w:r>
      <w:r w:rsidR="00966288">
        <w:rPr>
          <w:lang w:val="lt-LT"/>
        </w:rPr>
        <w:t>Teigiamos pasekmės</w:t>
      </w:r>
      <w:r w:rsidR="00F8762E">
        <w:rPr>
          <w:lang w:val="lt-LT"/>
        </w:rPr>
        <w:t xml:space="preserve"> –</w:t>
      </w:r>
      <w:r w:rsidR="0020377E" w:rsidRPr="0020377E">
        <w:rPr>
          <w:lang w:val="lt-LT"/>
        </w:rPr>
        <w:t xml:space="preserve"> </w:t>
      </w:r>
      <w:r w:rsidR="0020377E">
        <w:rPr>
          <w:lang w:val="lt-LT"/>
        </w:rPr>
        <w:t xml:space="preserve">didinamas savivaldybės biudžetas, </w:t>
      </w:r>
      <w:r w:rsidR="00B31F3A">
        <w:rPr>
          <w:lang w:val="lt-LT"/>
        </w:rPr>
        <w:t>lėšos paskirstomos asignavimų valdytojams</w:t>
      </w:r>
      <w:r>
        <w:rPr>
          <w:lang w:val="lt-LT"/>
        </w:rPr>
        <w:t>.</w:t>
      </w:r>
    </w:p>
    <w:p w:rsidR="00F8762E" w:rsidRDefault="00D30F76" w:rsidP="008C5B59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ab/>
      </w:r>
      <w:r w:rsidR="00F8762E">
        <w:rPr>
          <w:b/>
        </w:rPr>
        <w:t>4. Priemonės sprendimui įgyvendinti</w:t>
      </w:r>
    </w:p>
    <w:p w:rsidR="00F8762E" w:rsidRDefault="00F8762E" w:rsidP="008C5B59">
      <w:pPr>
        <w:spacing w:line="360" w:lineRule="auto"/>
        <w:jc w:val="both"/>
      </w:pPr>
      <w:r>
        <w:t xml:space="preserve">            Priimti teigiamą sprendimą.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F8762E">
        <w:rPr>
          <w:b/>
        </w:rPr>
        <w:t>5. Lėšų poreikis ir jų šaltiniai (prireikus skaičiavimai ir išlaidų sąmatos)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proofErr w:type="gramStart"/>
      <w:r w:rsidR="00F8762E">
        <w:rPr>
          <w:b/>
        </w:rPr>
        <w:t>6.Vykdytojai</w:t>
      </w:r>
      <w:proofErr w:type="gramEnd"/>
      <w:r w:rsidR="00F8762E">
        <w:rPr>
          <w:b/>
        </w:rPr>
        <w:t xml:space="preserve">, įvykdymo terminai  </w:t>
      </w:r>
    </w:p>
    <w:p w:rsidR="004C38FD" w:rsidRDefault="00F8762E" w:rsidP="008C5B59">
      <w:pPr>
        <w:jc w:val="both"/>
      </w:pPr>
      <w:r>
        <w:rPr>
          <w:lang w:val="lt-LT"/>
        </w:rPr>
        <w:t xml:space="preserve">            Savivaldybės admi</w:t>
      </w:r>
      <w:r w:rsidR="00665FE2">
        <w:rPr>
          <w:lang w:val="lt-LT"/>
        </w:rPr>
        <w:t>nistracija, asignavimų valdytojai.</w:t>
      </w:r>
    </w:p>
    <w:sectPr w:rsidR="004C38FD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26" w:rsidRDefault="00FC1D26" w:rsidP="00F8762E">
      <w:r>
        <w:separator/>
      </w:r>
    </w:p>
  </w:endnote>
  <w:endnote w:type="continuationSeparator" w:id="0">
    <w:p w:rsidR="00FC1D26" w:rsidRDefault="00FC1D26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26" w:rsidRDefault="00FC1D26" w:rsidP="00F8762E">
      <w:r>
        <w:separator/>
      </w:r>
    </w:p>
  </w:footnote>
  <w:footnote w:type="continuationSeparator" w:id="0">
    <w:p w:rsidR="00FC1D26" w:rsidRDefault="00FC1D26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8370"/>
      <w:docPartObj>
        <w:docPartGallery w:val="Page Numbers (Top of Page)"/>
        <w:docPartUnique/>
      </w:docPartObj>
    </w:sdtPr>
    <w:sdtEndPr/>
    <w:sdtContent>
      <w:p w:rsidR="00FC1D26" w:rsidRDefault="00FC1D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D46" w:rsidRPr="00A00D46">
          <w:rPr>
            <w:noProof/>
            <w:lang w:val="lt-LT"/>
          </w:rPr>
          <w:t>2</w:t>
        </w:r>
        <w:r>
          <w:rPr>
            <w:noProof/>
            <w:lang w:val="lt-LT"/>
          </w:rPr>
          <w:fldChar w:fldCharType="end"/>
        </w:r>
      </w:p>
    </w:sdtContent>
  </w:sdt>
  <w:p w:rsidR="00FC1D26" w:rsidRDefault="00FC1D2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0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E"/>
    <w:rsid w:val="00004A0C"/>
    <w:rsid w:val="0001050B"/>
    <w:rsid w:val="00030B68"/>
    <w:rsid w:val="000431B8"/>
    <w:rsid w:val="00044E77"/>
    <w:rsid w:val="00054E16"/>
    <w:rsid w:val="00065B88"/>
    <w:rsid w:val="00067AA0"/>
    <w:rsid w:val="000826B1"/>
    <w:rsid w:val="000B00D0"/>
    <w:rsid w:val="000B00F6"/>
    <w:rsid w:val="000B3127"/>
    <w:rsid w:val="000B5438"/>
    <w:rsid w:val="000C220B"/>
    <w:rsid w:val="000C337A"/>
    <w:rsid w:val="000C3F70"/>
    <w:rsid w:val="000C6547"/>
    <w:rsid w:val="000F0AF5"/>
    <w:rsid w:val="000F3681"/>
    <w:rsid w:val="000F7E2A"/>
    <w:rsid w:val="00105394"/>
    <w:rsid w:val="001105BA"/>
    <w:rsid w:val="00126271"/>
    <w:rsid w:val="001366AA"/>
    <w:rsid w:val="001412CE"/>
    <w:rsid w:val="00144633"/>
    <w:rsid w:val="00151B39"/>
    <w:rsid w:val="0016184C"/>
    <w:rsid w:val="00161EFC"/>
    <w:rsid w:val="001722D4"/>
    <w:rsid w:val="00172730"/>
    <w:rsid w:val="001770C2"/>
    <w:rsid w:val="00190A10"/>
    <w:rsid w:val="001A10AA"/>
    <w:rsid w:val="001A16E9"/>
    <w:rsid w:val="001B5C55"/>
    <w:rsid w:val="001B75D6"/>
    <w:rsid w:val="001C3F04"/>
    <w:rsid w:val="001C5937"/>
    <w:rsid w:val="001C5D9E"/>
    <w:rsid w:val="001E5929"/>
    <w:rsid w:val="001F15A7"/>
    <w:rsid w:val="001F25FA"/>
    <w:rsid w:val="0020377E"/>
    <w:rsid w:val="0020552F"/>
    <w:rsid w:val="00222E8E"/>
    <w:rsid w:val="00224EB8"/>
    <w:rsid w:val="00250D78"/>
    <w:rsid w:val="00255EC0"/>
    <w:rsid w:val="00277D13"/>
    <w:rsid w:val="00285BF4"/>
    <w:rsid w:val="00287E9D"/>
    <w:rsid w:val="00294345"/>
    <w:rsid w:val="00297A28"/>
    <w:rsid w:val="00297DB0"/>
    <w:rsid w:val="002A2525"/>
    <w:rsid w:val="002A4FBE"/>
    <w:rsid w:val="002A6E5B"/>
    <w:rsid w:val="002A7C44"/>
    <w:rsid w:val="002B0F74"/>
    <w:rsid w:val="002B16C4"/>
    <w:rsid w:val="002C0F86"/>
    <w:rsid w:val="002D0F6A"/>
    <w:rsid w:val="002D39D3"/>
    <w:rsid w:val="002D3EBC"/>
    <w:rsid w:val="002D4246"/>
    <w:rsid w:val="003067DE"/>
    <w:rsid w:val="003100FA"/>
    <w:rsid w:val="003177D5"/>
    <w:rsid w:val="00336114"/>
    <w:rsid w:val="0034271C"/>
    <w:rsid w:val="003535E4"/>
    <w:rsid w:val="003676BB"/>
    <w:rsid w:val="0037459A"/>
    <w:rsid w:val="003800E7"/>
    <w:rsid w:val="00380E30"/>
    <w:rsid w:val="00387F3A"/>
    <w:rsid w:val="0039246D"/>
    <w:rsid w:val="003A52C1"/>
    <w:rsid w:val="003A6AFF"/>
    <w:rsid w:val="003B759E"/>
    <w:rsid w:val="003D476F"/>
    <w:rsid w:val="003D49E8"/>
    <w:rsid w:val="003E6AD6"/>
    <w:rsid w:val="003F40AA"/>
    <w:rsid w:val="00404AC7"/>
    <w:rsid w:val="00424C3B"/>
    <w:rsid w:val="00426F22"/>
    <w:rsid w:val="0045167D"/>
    <w:rsid w:val="00452378"/>
    <w:rsid w:val="0045363E"/>
    <w:rsid w:val="00467AD3"/>
    <w:rsid w:val="004948F7"/>
    <w:rsid w:val="004A1B95"/>
    <w:rsid w:val="004B3D9A"/>
    <w:rsid w:val="004C38FD"/>
    <w:rsid w:val="004C66EF"/>
    <w:rsid w:val="004F221D"/>
    <w:rsid w:val="004F24DF"/>
    <w:rsid w:val="004F4B56"/>
    <w:rsid w:val="005145E1"/>
    <w:rsid w:val="00545892"/>
    <w:rsid w:val="005467E9"/>
    <w:rsid w:val="00557990"/>
    <w:rsid w:val="0056323B"/>
    <w:rsid w:val="005705FE"/>
    <w:rsid w:val="00570F33"/>
    <w:rsid w:val="005777AF"/>
    <w:rsid w:val="00595B5A"/>
    <w:rsid w:val="005A7BE5"/>
    <w:rsid w:val="005B54FC"/>
    <w:rsid w:val="005B566F"/>
    <w:rsid w:val="005B63F2"/>
    <w:rsid w:val="005B6F35"/>
    <w:rsid w:val="005B7F4C"/>
    <w:rsid w:val="005D40DC"/>
    <w:rsid w:val="005D7AF2"/>
    <w:rsid w:val="005F2A90"/>
    <w:rsid w:val="005F3094"/>
    <w:rsid w:val="005F54D4"/>
    <w:rsid w:val="005F5D21"/>
    <w:rsid w:val="005F7349"/>
    <w:rsid w:val="00605F3D"/>
    <w:rsid w:val="006340D0"/>
    <w:rsid w:val="00635A55"/>
    <w:rsid w:val="00637895"/>
    <w:rsid w:val="0064314C"/>
    <w:rsid w:val="00665FE2"/>
    <w:rsid w:val="00694192"/>
    <w:rsid w:val="006B1D90"/>
    <w:rsid w:val="006B4983"/>
    <w:rsid w:val="006C26A1"/>
    <w:rsid w:val="006D0156"/>
    <w:rsid w:val="006D1BB9"/>
    <w:rsid w:val="006D5065"/>
    <w:rsid w:val="006E6929"/>
    <w:rsid w:val="006F1E3A"/>
    <w:rsid w:val="0071343B"/>
    <w:rsid w:val="00713CED"/>
    <w:rsid w:val="00714477"/>
    <w:rsid w:val="00720A11"/>
    <w:rsid w:val="007252FB"/>
    <w:rsid w:val="007269C5"/>
    <w:rsid w:val="0073317D"/>
    <w:rsid w:val="00744D7A"/>
    <w:rsid w:val="00745BD8"/>
    <w:rsid w:val="007555BE"/>
    <w:rsid w:val="00763935"/>
    <w:rsid w:val="00765E1B"/>
    <w:rsid w:val="00765FFB"/>
    <w:rsid w:val="007675CB"/>
    <w:rsid w:val="00770C2C"/>
    <w:rsid w:val="00777356"/>
    <w:rsid w:val="007829B4"/>
    <w:rsid w:val="007831AA"/>
    <w:rsid w:val="0079594B"/>
    <w:rsid w:val="00797771"/>
    <w:rsid w:val="007B0FCE"/>
    <w:rsid w:val="007B4CC2"/>
    <w:rsid w:val="007C42FC"/>
    <w:rsid w:val="007C5F90"/>
    <w:rsid w:val="007E01EC"/>
    <w:rsid w:val="007E22AD"/>
    <w:rsid w:val="007E2434"/>
    <w:rsid w:val="007E3121"/>
    <w:rsid w:val="0080249E"/>
    <w:rsid w:val="0080510D"/>
    <w:rsid w:val="00807D97"/>
    <w:rsid w:val="008131D3"/>
    <w:rsid w:val="00813C6E"/>
    <w:rsid w:val="00817ACD"/>
    <w:rsid w:val="008269D2"/>
    <w:rsid w:val="00831E44"/>
    <w:rsid w:val="0087118F"/>
    <w:rsid w:val="008832B3"/>
    <w:rsid w:val="00891F2C"/>
    <w:rsid w:val="008931B8"/>
    <w:rsid w:val="008965D3"/>
    <w:rsid w:val="008A7D83"/>
    <w:rsid w:val="008B4127"/>
    <w:rsid w:val="008C5B59"/>
    <w:rsid w:val="008E5337"/>
    <w:rsid w:val="008E6728"/>
    <w:rsid w:val="009030AF"/>
    <w:rsid w:val="00904E75"/>
    <w:rsid w:val="0090590A"/>
    <w:rsid w:val="00917F86"/>
    <w:rsid w:val="00926802"/>
    <w:rsid w:val="00927C8B"/>
    <w:rsid w:val="0093273D"/>
    <w:rsid w:val="00946007"/>
    <w:rsid w:val="00950010"/>
    <w:rsid w:val="009573A5"/>
    <w:rsid w:val="009626E9"/>
    <w:rsid w:val="00966288"/>
    <w:rsid w:val="0097276F"/>
    <w:rsid w:val="00972D6B"/>
    <w:rsid w:val="00981DD3"/>
    <w:rsid w:val="00982DC6"/>
    <w:rsid w:val="009843BC"/>
    <w:rsid w:val="00997A9E"/>
    <w:rsid w:val="009A4D3B"/>
    <w:rsid w:val="009B1C32"/>
    <w:rsid w:val="009B7C4B"/>
    <w:rsid w:val="009C13EC"/>
    <w:rsid w:val="009D2217"/>
    <w:rsid w:val="009D53DF"/>
    <w:rsid w:val="009D6170"/>
    <w:rsid w:val="009D7B63"/>
    <w:rsid w:val="009E044D"/>
    <w:rsid w:val="00A00D46"/>
    <w:rsid w:val="00A061CC"/>
    <w:rsid w:val="00A23D6D"/>
    <w:rsid w:val="00A331CC"/>
    <w:rsid w:val="00A533E4"/>
    <w:rsid w:val="00A542D3"/>
    <w:rsid w:val="00A543C0"/>
    <w:rsid w:val="00A546AC"/>
    <w:rsid w:val="00A55F5C"/>
    <w:rsid w:val="00A729DD"/>
    <w:rsid w:val="00A7410B"/>
    <w:rsid w:val="00A76CE0"/>
    <w:rsid w:val="00A770A3"/>
    <w:rsid w:val="00A77DB1"/>
    <w:rsid w:val="00A90210"/>
    <w:rsid w:val="00AA2BE5"/>
    <w:rsid w:val="00AA4E5B"/>
    <w:rsid w:val="00AA7FB4"/>
    <w:rsid w:val="00AE5AD5"/>
    <w:rsid w:val="00B05D2A"/>
    <w:rsid w:val="00B06DD8"/>
    <w:rsid w:val="00B07517"/>
    <w:rsid w:val="00B100BB"/>
    <w:rsid w:val="00B21FB1"/>
    <w:rsid w:val="00B22920"/>
    <w:rsid w:val="00B310BB"/>
    <w:rsid w:val="00B31F3A"/>
    <w:rsid w:val="00B347DC"/>
    <w:rsid w:val="00B56464"/>
    <w:rsid w:val="00B76393"/>
    <w:rsid w:val="00B81E61"/>
    <w:rsid w:val="00B8460B"/>
    <w:rsid w:val="00B87291"/>
    <w:rsid w:val="00B93C0A"/>
    <w:rsid w:val="00B9541D"/>
    <w:rsid w:val="00BD74A5"/>
    <w:rsid w:val="00BD7851"/>
    <w:rsid w:val="00BE0D44"/>
    <w:rsid w:val="00BF0C34"/>
    <w:rsid w:val="00BF27E2"/>
    <w:rsid w:val="00BF3FED"/>
    <w:rsid w:val="00C056B9"/>
    <w:rsid w:val="00C10A8E"/>
    <w:rsid w:val="00C13EE3"/>
    <w:rsid w:val="00C36318"/>
    <w:rsid w:val="00C40098"/>
    <w:rsid w:val="00C430B6"/>
    <w:rsid w:val="00C63DF5"/>
    <w:rsid w:val="00C766C9"/>
    <w:rsid w:val="00C945B7"/>
    <w:rsid w:val="00CA0942"/>
    <w:rsid w:val="00CA15AE"/>
    <w:rsid w:val="00CA5E85"/>
    <w:rsid w:val="00CB472A"/>
    <w:rsid w:val="00CB5391"/>
    <w:rsid w:val="00CB6C75"/>
    <w:rsid w:val="00CC263F"/>
    <w:rsid w:val="00CC7339"/>
    <w:rsid w:val="00CD5E33"/>
    <w:rsid w:val="00CD5EEB"/>
    <w:rsid w:val="00CD7FCE"/>
    <w:rsid w:val="00CE2251"/>
    <w:rsid w:val="00CE3E76"/>
    <w:rsid w:val="00CF0084"/>
    <w:rsid w:val="00D003B9"/>
    <w:rsid w:val="00D030AB"/>
    <w:rsid w:val="00D0528B"/>
    <w:rsid w:val="00D12F0C"/>
    <w:rsid w:val="00D14C71"/>
    <w:rsid w:val="00D30F2E"/>
    <w:rsid w:val="00D30F76"/>
    <w:rsid w:val="00D572D4"/>
    <w:rsid w:val="00D6225F"/>
    <w:rsid w:val="00D917FC"/>
    <w:rsid w:val="00D97D9F"/>
    <w:rsid w:val="00DA7C05"/>
    <w:rsid w:val="00DE53F7"/>
    <w:rsid w:val="00DF2095"/>
    <w:rsid w:val="00E07F14"/>
    <w:rsid w:val="00E15676"/>
    <w:rsid w:val="00E21B32"/>
    <w:rsid w:val="00E22870"/>
    <w:rsid w:val="00E25C60"/>
    <w:rsid w:val="00E305EE"/>
    <w:rsid w:val="00E33C7B"/>
    <w:rsid w:val="00E40D0C"/>
    <w:rsid w:val="00E43E06"/>
    <w:rsid w:val="00E443D2"/>
    <w:rsid w:val="00E5336B"/>
    <w:rsid w:val="00E542F8"/>
    <w:rsid w:val="00E72547"/>
    <w:rsid w:val="00E742C7"/>
    <w:rsid w:val="00E85C39"/>
    <w:rsid w:val="00EA4ACD"/>
    <w:rsid w:val="00EB5CCD"/>
    <w:rsid w:val="00EC5914"/>
    <w:rsid w:val="00ED02DD"/>
    <w:rsid w:val="00EE0214"/>
    <w:rsid w:val="00EE3A51"/>
    <w:rsid w:val="00EF302C"/>
    <w:rsid w:val="00EF31A8"/>
    <w:rsid w:val="00F03A46"/>
    <w:rsid w:val="00F078CB"/>
    <w:rsid w:val="00F1220C"/>
    <w:rsid w:val="00F2792C"/>
    <w:rsid w:val="00F32990"/>
    <w:rsid w:val="00F370E3"/>
    <w:rsid w:val="00F41A02"/>
    <w:rsid w:val="00F455F6"/>
    <w:rsid w:val="00F53FEE"/>
    <w:rsid w:val="00F558EA"/>
    <w:rsid w:val="00F6030D"/>
    <w:rsid w:val="00F62E77"/>
    <w:rsid w:val="00F66BFB"/>
    <w:rsid w:val="00F70DC8"/>
    <w:rsid w:val="00F72951"/>
    <w:rsid w:val="00F8408E"/>
    <w:rsid w:val="00F8762E"/>
    <w:rsid w:val="00F9308E"/>
    <w:rsid w:val="00F97A7B"/>
    <w:rsid w:val="00FA51C2"/>
    <w:rsid w:val="00FB4482"/>
    <w:rsid w:val="00FC1D26"/>
    <w:rsid w:val="00FC79E8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E290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C2D6-606B-4E51-B7C6-307D2713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5264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11</cp:revision>
  <cp:lastPrinted>2019-12-10T14:50:00Z</cp:lastPrinted>
  <dcterms:created xsi:type="dcterms:W3CDTF">2020-05-07T05:50:00Z</dcterms:created>
  <dcterms:modified xsi:type="dcterms:W3CDTF">2020-05-14T07:42:00Z</dcterms:modified>
</cp:coreProperties>
</file>