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19" w:rsidRDefault="009A3219" w:rsidP="009A3219">
      <w:pPr>
        <w:spacing w:line="240" w:lineRule="auto"/>
        <w:ind w:left="2592"/>
        <w:jc w:val="center"/>
      </w:pPr>
      <w:r>
        <w:t xml:space="preserve">     PRITARTA</w:t>
      </w:r>
    </w:p>
    <w:p w:rsidR="009A3219" w:rsidRDefault="009A3219" w:rsidP="009A3219">
      <w:pPr>
        <w:spacing w:line="240" w:lineRule="auto"/>
        <w:jc w:val="center"/>
      </w:pPr>
      <w:r>
        <w:tab/>
      </w:r>
      <w:r>
        <w:tab/>
      </w:r>
      <w:r>
        <w:tab/>
      </w:r>
      <w:r>
        <w:tab/>
        <w:t xml:space="preserve">Molėtų rajono savivaldybės tarybos </w:t>
      </w:r>
    </w:p>
    <w:p w:rsidR="009A3219" w:rsidRDefault="009A3219" w:rsidP="009A3219">
      <w:pPr>
        <w:spacing w:line="240" w:lineRule="auto"/>
        <w:ind w:left="3888" w:firstLine="1296"/>
        <w:jc w:val="center"/>
      </w:pPr>
      <w:r>
        <w:t xml:space="preserve">      2020 m. vasario   d. sprendimu Nr. B1-</w:t>
      </w:r>
    </w:p>
    <w:p w:rsidR="009A3219" w:rsidRDefault="009A3219" w:rsidP="009A3219">
      <w:pPr>
        <w:tabs>
          <w:tab w:val="left" w:pos="794"/>
        </w:tabs>
        <w:rPr>
          <w:rFonts w:cs="Times New Roman"/>
          <w:b/>
          <w:szCs w:val="24"/>
        </w:rPr>
      </w:pPr>
    </w:p>
    <w:p w:rsidR="00612C24" w:rsidRPr="009A3219" w:rsidRDefault="00417D52" w:rsidP="004462C5">
      <w:pPr>
        <w:tabs>
          <w:tab w:val="left" w:pos="794"/>
        </w:tabs>
        <w:jc w:val="center"/>
        <w:rPr>
          <w:rFonts w:cs="Times New Roman"/>
          <w:b/>
          <w:szCs w:val="24"/>
        </w:rPr>
      </w:pPr>
      <w:r w:rsidRPr="009A3219">
        <w:rPr>
          <w:rFonts w:cs="Times New Roman"/>
          <w:b/>
          <w:szCs w:val="24"/>
        </w:rPr>
        <w:t xml:space="preserve">MOLĖTŲ KRAŠTO MUZIEJAUS 2019 M. </w:t>
      </w:r>
      <w:r w:rsidR="009A3219" w:rsidRPr="009A3219">
        <w:rPr>
          <w:rFonts w:cs="Times New Roman"/>
          <w:b/>
          <w:szCs w:val="24"/>
        </w:rPr>
        <w:t xml:space="preserve">VEIKLOS </w:t>
      </w:r>
      <w:r w:rsidRPr="009A3219">
        <w:rPr>
          <w:rFonts w:cs="Times New Roman"/>
          <w:b/>
          <w:szCs w:val="24"/>
        </w:rPr>
        <w:t>ATASKAITA</w:t>
      </w:r>
    </w:p>
    <w:p w:rsidR="00497818" w:rsidRDefault="00497818" w:rsidP="004462C5">
      <w:pPr>
        <w:tabs>
          <w:tab w:val="left" w:pos="794"/>
        </w:tabs>
        <w:jc w:val="center"/>
        <w:rPr>
          <w:rFonts w:cs="Times New Roman"/>
          <w:szCs w:val="24"/>
        </w:rPr>
      </w:pPr>
    </w:p>
    <w:p w:rsidR="004462C5" w:rsidRDefault="00C11494" w:rsidP="004462C5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bookmarkStart w:id="0" w:name="part_12f2369a5d794d7baf231e57b0de7e70"/>
      <w:bookmarkEnd w:id="0"/>
      <w:r>
        <w:rPr>
          <w:rFonts w:eastAsia="Times New Roman" w:cs="Times New Roman"/>
          <w:szCs w:val="24"/>
          <w:lang w:eastAsia="lt-LT"/>
        </w:rPr>
        <w:t>Muziejus vykdė p</w:t>
      </w:r>
      <w:r w:rsidR="004462C5">
        <w:rPr>
          <w:rFonts w:eastAsia="Times New Roman" w:cs="Times New Roman"/>
          <w:szCs w:val="24"/>
          <w:lang w:eastAsia="lt-LT"/>
        </w:rPr>
        <w:t xml:space="preserve">agrindinius veiklos tikslus: 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derinti muziejinių vertybių ir </w:t>
      </w:r>
      <w:r w:rsidR="004462C5">
        <w:rPr>
          <w:rFonts w:eastAsia="Times New Roman" w:cs="Times New Roman"/>
          <w:szCs w:val="24"/>
          <w:lang w:eastAsia="lt-LT"/>
        </w:rPr>
        <w:t xml:space="preserve">reikšmingiausios Molėtų krašto 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istorijos </w:t>
      </w:r>
      <w:r w:rsidR="004462C5">
        <w:rPr>
          <w:rFonts w:eastAsia="Times New Roman" w:cs="Times New Roman"/>
          <w:szCs w:val="24"/>
          <w:lang w:eastAsia="lt-LT"/>
        </w:rPr>
        <w:t>kaupimą bei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saugojimą su komunikacija, </w:t>
      </w:r>
      <w:r w:rsidR="004462C5">
        <w:rPr>
          <w:rFonts w:eastAsia="Times New Roman" w:cs="Times New Roman"/>
          <w:szCs w:val="24"/>
          <w:lang w:eastAsia="lt-LT"/>
        </w:rPr>
        <w:t>švietimu,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</w:t>
      </w:r>
      <w:r w:rsidR="004462C5">
        <w:rPr>
          <w:rFonts w:eastAsia="Times New Roman" w:cs="Times New Roman"/>
          <w:szCs w:val="24"/>
          <w:lang w:eastAsia="lt-LT"/>
        </w:rPr>
        <w:t>susieti muziejinę veiklą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su gyventojų kultūros poreikiais ir kultūros paslaugų tei</w:t>
      </w:r>
      <w:r w:rsidR="004462C5">
        <w:rPr>
          <w:rFonts w:eastAsia="Times New Roman" w:cs="Times New Roman"/>
          <w:szCs w:val="24"/>
          <w:lang w:eastAsia="lt-LT"/>
        </w:rPr>
        <w:t>kimu; saugoti ir puoselėti Molėtų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miesto ir jo apylinkių istorijos ir kultūros tapatumą ir</w:t>
      </w:r>
      <w:r w:rsidR="004462C5">
        <w:rPr>
          <w:rFonts w:eastAsia="Times New Roman" w:cs="Times New Roman"/>
          <w:szCs w:val="24"/>
          <w:lang w:eastAsia="lt-LT"/>
        </w:rPr>
        <w:t xml:space="preserve"> jį aktualizuoti; skatinti Molėtų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miesto</w:t>
      </w:r>
      <w:r w:rsidR="004462C5">
        <w:rPr>
          <w:rFonts w:eastAsia="Times New Roman" w:cs="Times New Roman"/>
          <w:szCs w:val="24"/>
          <w:lang w:eastAsia="lt-LT"/>
        </w:rPr>
        <w:t xml:space="preserve"> i</w:t>
      </w:r>
      <w:r w:rsidR="009A3219">
        <w:rPr>
          <w:rFonts w:eastAsia="Times New Roman" w:cs="Times New Roman"/>
          <w:szCs w:val="24"/>
          <w:lang w:eastAsia="lt-LT"/>
        </w:rPr>
        <w:t>storijos ir kultūros atvirumą.</w:t>
      </w:r>
    </w:p>
    <w:p w:rsidR="00C706BD" w:rsidRPr="00C706BD" w:rsidRDefault="00497818" w:rsidP="009A3219">
      <w:pPr>
        <w:tabs>
          <w:tab w:val="left" w:pos="794"/>
        </w:tabs>
        <w:ind w:firstLine="709"/>
        <w:rPr>
          <w:rFonts w:cs="Times New Roman"/>
          <w:szCs w:val="24"/>
        </w:rPr>
      </w:pPr>
      <w:r w:rsidRPr="00430B2A">
        <w:rPr>
          <w:rFonts w:cs="Times New Roman"/>
          <w:bCs/>
          <w:szCs w:val="24"/>
        </w:rPr>
        <w:t>2019</w:t>
      </w:r>
      <w:r w:rsidR="00430B2A">
        <w:rPr>
          <w:rFonts w:cs="Times New Roman"/>
          <w:bCs/>
          <w:szCs w:val="24"/>
        </w:rPr>
        <w:t xml:space="preserve"> m. Molėtų krašto muziejus</w:t>
      </w:r>
      <w:r w:rsidR="000E662F" w:rsidRPr="00430B2A">
        <w:rPr>
          <w:rFonts w:cs="Times New Roman"/>
          <w:bCs/>
          <w:szCs w:val="24"/>
        </w:rPr>
        <w:t xml:space="preserve"> išgyvena rekonstrukcijos laikotarpį. </w:t>
      </w:r>
      <w:r w:rsidR="004F03B0" w:rsidRPr="00430B2A">
        <w:rPr>
          <w:rFonts w:cs="Times New Roman"/>
          <w:bCs/>
          <w:szCs w:val="24"/>
        </w:rPr>
        <w:t>Vykdydamas 2018–2020 m. Molėtų rajono savivaldybės kultūros, sporto ir jaunimo politikos plėtros ir bendruomeniškumo skatinimo programos (Nr. 05)</w:t>
      </w:r>
      <w:r w:rsidR="00430B2A">
        <w:rPr>
          <w:rFonts w:cs="Times New Roman"/>
          <w:bCs/>
          <w:szCs w:val="24"/>
        </w:rPr>
        <w:t xml:space="preserve"> tikslus, uždavinius ir </w:t>
      </w:r>
      <w:r w:rsidR="004F03B0" w:rsidRPr="00430B2A">
        <w:rPr>
          <w:rFonts w:cs="Times New Roman"/>
          <w:bCs/>
          <w:szCs w:val="24"/>
        </w:rPr>
        <w:t xml:space="preserve">priemones, muziejus rūpinosi trijų amatų centrų, kurie įsteigti pagal atskirus projektus, išlaikymu: </w:t>
      </w:r>
      <w:r w:rsidR="004F03B0" w:rsidRPr="00430B2A">
        <w:rPr>
          <w:rFonts w:cs="Times New Roman"/>
          <w:szCs w:val="24"/>
        </w:rPr>
        <w:t>Etnografine</w:t>
      </w:r>
      <w:r w:rsidRPr="00430B2A">
        <w:rPr>
          <w:rFonts w:cs="Times New Roman"/>
          <w:szCs w:val="24"/>
        </w:rPr>
        <w:t xml:space="preserve"> sodyba ir dangaus šviesulių stebykla </w:t>
      </w:r>
      <w:proofErr w:type="spellStart"/>
      <w:r w:rsidRPr="00430B2A">
        <w:rPr>
          <w:rFonts w:cs="Times New Roman"/>
          <w:szCs w:val="24"/>
        </w:rPr>
        <w:t>Kulionyse</w:t>
      </w:r>
      <w:proofErr w:type="spellEnd"/>
      <w:r w:rsidRPr="00430B2A">
        <w:rPr>
          <w:rFonts w:cs="Times New Roman"/>
          <w:szCs w:val="24"/>
        </w:rPr>
        <w:t>, Molėtų krašto tradicinių am</w:t>
      </w:r>
      <w:r w:rsidR="00430B2A">
        <w:rPr>
          <w:rFonts w:cs="Times New Roman"/>
          <w:szCs w:val="24"/>
        </w:rPr>
        <w:t>atų centru</w:t>
      </w:r>
      <w:r w:rsidR="004F03B0" w:rsidRPr="00430B2A">
        <w:rPr>
          <w:rFonts w:cs="Times New Roman"/>
          <w:szCs w:val="24"/>
        </w:rPr>
        <w:t>, Vienuolyno muziejumi. Pagal galimybes rūpintasi Mo</w:t>
      </w:r>
      <w:r w:rsidR="00430B2A">
        <w:rPr>
          <w:rFonts w:cs="Times New Roman"/>
          <w:szCs w:val="24"/>
        </w:rPr>
        <w:t xml:space="preserve">lėtų skulptūrų parko plėtra, t. </w:t>
      </w:r>
      <w:r w:rsidR="004F03B0" w:rsidRPr="00430B2A">
        <w:rPr>
          <w:rFonts w:cs="Times New Roman"/>
          <w:szCs w:val="24"/>
        </w:rPr>
        <w:t>y.</w:t>
      </w:r>
      <w:r w:rsidR="00502CB8" w:rsidRPr="00430B2A">
        <w:rPr>
          <w:rFonts w:cs="Times New Roman"/>
          <w:szCs w:val="24"/>
        </w:rPr>
        <w:t>,</w:t>
      </w:r>
      <w:r w:rsidR="004F03B0" w:rsidRPr="00430B2A">
        <w:rPr>
          <w:rFonts w:cs="Times New Roman"/>
          <w:szCs w:val="24"/>
        </w:rPr>
        <w:t xml:space="preserve"> bendradarbiaujant su Molėtų rajono tautodailininkų draugija</w:t>
      </w:r>
      <w:r w:rsidR="00502CB8" w:rsidRPr="00430B2A">
        <w:rPr>
          <w:rFonts w:cs="Times New Roman"/>
          <w:szCs w:val="24"/>
        </w:rPr>
        <w:t>, pastaty</w:t>
      </w:r>
      <w:r w:rsidR="004F03B0" w:rsidRPr="00430B2A">
        <w:rPr>
          <w:rFonts w:cs="Times New Roman"/>
          <w:szCs w:val="24"/>
        </w:rPr>
        <w:t xml:space="preserve">ti du meno objektai: </w:t>
      </w:r>
      <w:r w:rsidR="004533B7">
        <w:rPr>
          <w:rFonts w:cs="Times New Roman"/>
          <w:szCs w:val="24"/>
        </w:rPr>
        <w:t>„</w:t>
      </w:r>
      <w:r w:rsidR="004F03B0" w:rsidRPr="00430B2A">
        <w:rPr>
          <w:rFonts w:cs="Times New Roman"/>
          <w:szCs w:val="24"/>
        </w:rPr>
        <w:t xml:space="preserve"># Molėtai 2020“ ir „Aš </w:t>
      </w:r>
      <w:r w:rsidR="004F03B0" w:rsidRPr="00430B2A">
        <w:rPr>
          <w:rFonts w:cs="Times New Roman"/>
          <w:szCs w:val="24"/>
        </w:rPr>
        <w:sym w:font="Symbol" w:char="F0A9"/>
      </w:r>
      <w:r w:rsidR="004F03B0" w:rsidRPr="00430B2A">
        <w:rPr>
          <w:rFonts w:cs="Times New Roman"/>
          <w:szCs w:val="24"/>
        </w:rPr>
        <w:t xml:space="preserve"> Molėtus“.</w:t>
      </w:r>
    </w:p>
    <w:p w:rsidR="00430B2A" w:rsidRPr="009A3219" w:rsidRDefault="00502CB8" w:rsidP="009A3219">
      <w:pPr>
        <w:tabs>
          <w:tab w:val="left" w:pos="794"/>
          <w:tab w:val="right" w:pos="7371"/>
        </w:tabs>
        <w:ind w:firstLine="709"/>
        <w:rPr>
          <w:rFonts w:cs="Times New Roman"/>
          <w:b/>
          <w:szCs w:val="24"/>
        </w:rPr>
      </w:pPr>
      <w:r w:rsidRPr="009A3219">
        <w:rPr>
          <w:rFonts w:cs="Times New Roman"/>
          <w:b/>
          <w:szCs w:val="24"/>
        </w:rPr>
        <w:t>2019 m. m</w:t>
      </w:r>
      <w:r w:rsidR="00497818" w:rsidRPr="009A3219">
        <w:rPr>
          <w:rFonts w:cs="Times New Roman"/>
          <w:b/>
          <w:szCs w:val="24"/>
        </w:rPr>
        <w:t>uziejaus statistiniai rodikliai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3553"/>
      </w:tblGrid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 w:rsidRPr="009A3219">
              <w:rPr>
                <w:rFonts w:cs="Times New Roman"/>
                <w:szCs w:val="24"/>
              </w:rPr>
              <w:t>Darbuotojų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 w:rsidRPr="009A3219">
              <w:rPr>
                <w:rFonts w:cs="Times New Roman"/>
                <w:szCs w:val="24"/>
              </w:rPr>
              <w:t xml:space="preserve">22 darbuotojai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</w:rPr>
            </w:pPr>
            <w:r w:rsidRPr="009A3219">
              <w:rPr>
                <w:rFonts w:cs="Times New Roman"/>
                <w:szCs w:val="24"/>
              </w:rPr>
              <w:t>(18,25etato)</w:t>
            </w:r>
          </w:p>
        </w:tc>
      </w:tr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Biudžeto lėšos (</w:t>
            </w:r>
            <w:r w:rsidRPr="009A3219">
              <w:rPr>
                <w:rFonts w:cs="Times New Roman"/>
                <w:szCs w:val="24"/>
              </w:rPr>
              <w:t>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 w:rsidRPr="009A3219">
              <w:rPr>
                <w:rFonts w:cs="Times New Roman"/>
                <w:szCs w:val="24"/>
                <w:lang w:eastAsia="lt-LT"/>
              </w:rPr>
              <w:t>245246,94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lang w:eastAsia="lt-LT"/>
              </w:rPr>
            </w:pPr>
          </w:p>
        </w:tc>
      </w:tr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 w:rsidRPr="009A3219">
              <w:rPr>
                <w:rFonts w:cs="Times New Roman"/>
                <w:szCs w:val="24"/>
              </w:rPr>
              <w:t>Lėšos</w:t>
            </w:r>
            <w:r>
              <w:rPr>
                <w:rFonts w:cs="Times New Roman"/>
                <w:szCs w:val="24"/>
              </w:rPr>
              <w:t xml:space="preserve"> už teikiamas paslaugas (</w:t>
            </w:r>
            <w:r w:rsidRPr="009A3219">
              <w:rPr>
                <w:rFonts w:cs="Times New Roman"/>
                <w:szCs w:val="24"/>
              </w:rPr>
              <w:t>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 w:rsidRPr="009A3219">
              <w:rPr>
                <w:rFonts w:cs="Times New Roman"/>
                <w:szCs w:val="24"/>
              </w:rPr>
              <w:t>30969,56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A3219">
              <w:rPr>
                <w:rFonts w:eastAsia="Times New Roman" w:cs="Times New Roman"/>
                <w:szCs w:val="24"/>
              </w:rPr>
              <w:t>Pajamos sumažėjo:</w:t>
            </w:r>
          </w:p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A3219">
              <w:rPr>
                <w:rFonts w:eastAsia="Times New Roman" w:cs="Times New Roman"/>
                <w:szCs w:val="24"/>
              </w:rPr>
              <w:t>2018 m. – 35374,19 Eur</w:t>
            </w:r>
          </w:p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line="240" w:lineRule="auto"/>
              <w:jc w:val="left"/>
              <w:rPr>
                <w:rFonts w:cs="Times New Roman"/>
                <w:szCs w:val="24"/>
              </w:rPr>
            </w:pPr>
            <w:r w:rsidRPr="009A3219">
              <w:rPr>
                <w:rFonts w:eastAsia="Times New Roman" w:cs="Times New Roman"/>
                <w:szCs w:val="24"/>
              </w:rPr>
              <w:t>2019 m. – 30969,56 Eur, t. y. 4404,63 Eur mažiau, kas sudaro 12 %</w:t>
            </w:r>
          </w:p>
        </w:tc>
      </w:tr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Rėmėjų lėšos (</w:t>
            </w:r>
            <w:r w:rsidRPr="009A3219">
              <w:rPr>
                <w:rFonts w:cs="Times New Roman"/>
                <w:szCs w:val="24"/>
              </w:rPr>
              <w:t>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938,50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 w:rsidRPr="009A3219">
              <w:rPr>
                <w:rFonts w:eastAsia="Times New Roman" w:cs="Times New Roman"/>
                <w:szCs w:val="24"/>
                <w:lang w:eastAsia="lt-LT"/>
              </w:rPr>
              <w:t>Pasirašyta 14 paramos sutarčių su rėmėjais</w:t>
            </w:r>
          </w:p>
        </w:tc>
      </w:tr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Projektinės lėšos (</w:t>
            </w:r>
            <w:r w:rsidRPr="009A3219">
              <w:rPr>
                <w:rFonts w:cs="Times New Roman"/>
                <w:szCs w:val="24"/>
              </w:rPr>
              <w:t>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9920,00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</w:rPr>
            </w:pPr>
            <w:r w:rsidRPr="009A3219">
              <w:rPr>
                <w:rFonts w:cs="Times New Roman"/>
                <w:szCs w:val="24"/>
              </w:rPr>
              <w:t xml:space="preserve">Kartu su muziejuje registruotų NVO bendriems renginiams </w:t>
            </w:r>
          </w:p>
        </w:tc>
      </w:tr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 w:rsidRPr="009A3219">
              <w:rPr>
                <w:rFonts w:cs="Times New Roman"/>
                <w:szCs w:val="24"/>
              </w:rPr>
              <w:t>Renginių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</w:rPr>
            </w:pPr>
            <w:r w:rsidRPr="009A3219">
              <w:rPr>
                <w:rFonts w:cs="Times New Roman"/>
                <w:szCs w:val="24"/>
              </w:rPr>
              <w:t>34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</w:p>
        </w:tc>
      </w:tr>
      <w:tr w:rsidR="009A3219" w:rsidRPr="009A3219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napToGrid w:val="0"/>
              <w:spacing w:after="1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Lankytojų skaičius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after="160" w:line="240" w:lineRule="auto"/>
              <w:rPr>
                <w:rFonts w:cs="Times New Roman"/>
                <w:szCs w:val="24"/>
                <w:highlight w:val="yellow"/>
              </w:rPr>
            </w:pPr>
            <w:r w:rsidRPr="009A3219">
              <w:rPr>
                <w:rFonts w:cs="Times New Roman"/>
                <w:szCs w:val="24"/>
              </w:rPr>
              <w:t>26987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A3219">
              <w:rPr>
                <w:rFonts w:eastAsia="Times New Roman" w:cs="Times New Roman"/>
                <w:szCs w:val="24"/>
              </w:rPr>
              <w:t>Lankytojų skaičius didėjo:</w:t>
            </w:r>
          </w:p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A3219">
              <w:rPr>
                <w:rFonts w:eastAsia="Times New Roman" w:cs="Times New Roman"/>
                <w:szCs w:val="24"/>
              </w:rPr>
              <w:t>2018 m. – 21815</w:t>
            </w:r>
          </w:p>
          <w:p w:rsidR="009A3219" w:rsidRPr="009A3219" w:rsidRDefault="009A3219" w:rsidP="004462C5">
            <w:pPr>
              <w:tabs>
                <w:tab w:val="left" w:pos="794"/>
                <w:tab w:val="right" w:pos="7371"/>
              </w:tabs>
              <w:spacing w:line="240" w:lineRule="auto"/>
              <w:jc w:val="left"/>
              <w:rPr>
                <w:rFonts w:cs="Times New Roman"/>
                <w:szCs w:val="24"/>
                <w:highlight w:val="yellow"/>
              </w:rPr>
            </w:pPr>
            <w:r w:rsidRPr="009A3219">
              <w:rPr>
                <w:rFonts w:eastAsia="Times New Roman" w:cs="Times New Roman"/>
                <w:szCs w:val="24"/>
              </w:rPr>
              <w:t>2019 m. – 26987, t. y. 5172 lankytojais daugiau, kas sudaro 19 %</w:t>
            </w:r>
          </w:p>
        </w:tc>
      </w:tr>
    </w:tbl>
    <w:p w:rsidR="00E56C3B" w:rsidRPr="009A3219" w:rsidRDefault="00E56C3B" w:rsidP="004462C5">
      <w:pPr>
        <w:tabs>
          <w:tab w:val="left" w:pos="794"/>
        </w:tabs>
        <w:spacing w:line="240" w:lineRule="auto"/>
        <w:ind w:firstLine="720"/>
        <w:rPr>
          <w:rFonts w:eastAsia="Times New Roman" w:cs="Times New Roman"/>
          <w:szCs w:val="24"/>
          <w:lang w:eastAsia="lt-LT"/>
        </w:rPr>
      </w:pPr>
    </w:p>
    <w:p w:rsidR="00497818" w:rsidRPr="00434FC8" w:rsidRDefault="00E56C3B" w:rsidP="00434FC8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r w:rsidRPr="00430B2A">
        <w:rPr>
          <w:rFonts w:eastAsia="Times New Roman" w:cs="Times New Roman"/>
          <w:szCs w:val="24"/>
          <w:lang w:eastAsia="lt-LT"/>
        </w:rPr>
        <w:t xml:space="preserve">Darbo įgūdžių įgijimo rėmimo ir finansavimo sutartis Nr. URS(19.4)-1798 papildė muziejaus darbo užmokesčio fondą </w:t>
      </w:r>
      <w:r>
        <w:rPr>
          <w:rFonts w:eastAsia="Times New Roman" w:cs="Times New Roman"/>
          <w:i/>
          <w:szCs w:val="24"/>
          <w:lang w:eastAsia="lt-LT"/>
        </w:rPr>
        <w:t xml:space="preserve">– </w:t>
      </w:r>
      <w:r w:rsidRPr="007C7053">
        <w:rPr>
          <w:rFonts w:eastAsia="Times New Roman" w:cs="Times New Roman"/>
          <w:szCs w:val="24"/>
          <w:lang w:eastAsia="lt-LT"/>
        </w:rPr>
        <w:t>1902,38</w:t>
      </w:r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Eur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(už 5 mėn.).</w:t>
      </w:r>
    </w:p>
    <w:p w:rsidR="00430B2A" w:rsidRDefault="00430B2A" w:rsidP="004462C5">
      <w:pPr>
        <w:pStyle w:val="Betarp"/>
        <w:tabs>
          <w:tab w:val="left" w:pos="7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7818" w:rsidRPr="00CE4AA7">
        <w:rPr>
          <w:rFonts w:ascii="Times New Roman" w:hAnsi="Times New Roman"/>
          <w:b/>
          <w:sz w:val="24"/>
          <w:szCs w:val="24"/>
        </w:rPr>
        <w:t>Muziejus sav</w:t>
      </w:r>
      <w:r w:rsidRPr="00CE4AA7">
        <w:rPr>
          <w:rFonts w:ascii="Times New Roman" w:hAnsi="Times New Roman"/>
          <w:b/>
          <w:sz w:val="24"/>
          <w:szCs w:val="24"/>
        </w:rPr>
        <w:t xml:space="preserve">o jėgomis parengė ir atidarė </w:t>
      </w:r>
      <w:r w:rsidR="00497818" w:rsidRPr="00CE4AA7">
        <w:rPr>
          <w:rFonts w:ascii="Times New Roman" w:hAnsi="Times New Roman"/>
          <w:b/>
          <w:sz w:val="24"/>
          <w:szCs w:val="24"/>
        </w:rPr>
        <w:t>dvi naujas ekspozicijas</w:t>
      </w:r>
      <w:r w:rsidR="00497818" w:rsidRPr="00430B2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97818" w:rsidRPr="00430B2A">
        <w:rPr>
          <w:rFonts w:ascii="Times New Roman" w:hAnsi="Times New Roman"/>
          <w:sz w:val="24"/>
          <w:szCs w:val="24"/>
        </w:rPr>
        <w:t>Teofiliaus</w:t>
      </w:r>
      <w:proofErr w:type="spellEnd"/>
      <w:r>
        <w:rPr>
          <w:rFonts w:ascii="Times New Roman" w:hAnsi="Times New Roman"/>
          <w:sz w:val="24"/>
          <w:szCs w:val="24"/>
        </w:rPr>
        <w:t xml:space="preserve"> Matulionio </w:t>
      </w:r>
      <w:r w:rsidR="00497818" w:rsidRPr="00430B2A">
        <w:rPr>
          <w:rFonts w:ascii="Times New Roman" w:hAnsi="Times New Roman"/>
          <w:sz w:val="24"/>
          <w:szCs w:val="24"/>
        </w:rPr>
        <w:t xml:space="preserve">ekspoziciją Alantos dvare ir Kunigaikščių Giedraičių ekspoziciją </w:t>
      </w:r>
      <w:proofErr w:type="spellStart"/>
      <w:r w:rsidR="00497818" w:rsidRPr="00430B2A">
        <w:rPr>
          <w:rFonts w:ascii="Times New Roman" w:hAnsi="Times New Roman"/>
          <w:sz w:val="24"/>
          <w:szCs w:val="24"/>
        </w:rPr>
        <w:t>Videniškių</w:t>
      </w:r>
      <w:proofErr w:type="spellEnd"/>
      <w:r w:rsidR="00497818" w:rsidRPr="00430B2A">
        <w:rPr>
          <w:rFonts w:ascii="Times New Roman" w:hAnsi="Times New Roman"/>
          <w:sz w:val="24"/>
          <w:szCs w:val="24"/>
        </w:rPr>
        <w:t xml:space="preserve"> vienuolyno muziejuje. </w:t>
      </w:r>
      <w:r w:rsidR="0095153A">
        <w:rPr>
          <w:rFonts w:ascii="Times New Roman" w:hAnsi="Times New Roman"/>
          <w:sz w:val="24"/>
          <w:szCs w:val="24"/>
        </w:rPr>
        <w:lastRenderedPageBreak/>
        <w:t>Vienuolyno ekspozicija parengta lietuvių, lenkų ir anglų kalbomis bendradarbiaujan</w:t>
      </w:r>
      <w:r w:rsidR="00CE4AA7">
        <w:rPr>
          <w:rFonts w:ascii="Times New Roman" w:hAnsi="Times New Roman"/>
          <w:sz w:val="24"/>
          <w:szCs w:val="24"/>
        </w:rPr>
        <w:t>t su ž</w:t>
      </w:r>
      <w:r w:rsidR="0095153A">
        <w:rPr>
          <w:rFonts w:ascii="Times New Roman" w:hAnsi="Times New Roman"/>
          <w:sz w:val="24"/>
          <w:szCs w:val="24"/>
        </w:rPr>
        <w:t>ymiausiais Lietuvos istorikais</w:t>
      </w:r>
      <w:r w:rsidR="00CE4AA7">
        <w:rPr>
          <w:rFonts w:ascii="Times New Roman" w:hAnsi="Times New Roman"/>
          <w:sz w:val="24"/>
          <w:szCs w:val="24"/>
        </w:rPr>
        <w:t>,</w:t>
      </w:r>
      <w:r w:rsidR="0095153A">
        <w:rPr>
          <w:rFonts w:ascii="Times New Roman" w:hAnsi="Times New Roman"/>
          <w:sz w:val="24"/>
          <w:szCs w:val="24"/>
        </w:rPr>
        <w:t xml:space="preserve"> </w:t>
      </w:r>
      <w:r w:rsidR="00C11494">
        <w:rPr>
          <w:rFonts w:ascii="Times New Roman" w:hAnsi="Times New Roman"/>
          <w:sz w:val="24"/>
          <w:szCs w:val="24"/>
        </w:rPr>
        <w:t>tyrinė</w:t>
      </w:r>
      <w:r w:rsidR="00CE4AA7">
        <w:rPr>
          <w:rFonts w:ascii="Times New Roman" w:hAnsi="Times New Roman"/>
          <w:sz w:val="24"/>
          <w:szCs w:val="24"/>
        </w:rPr>
        <w:t xml:space="preserve">jančiais </w:t>
      </w:r>
      <w:r w:rsidR="0095153A">
        <w:rPr>
          <w:rFonts w:ascii="Times New Roman" w:hAnsi="Times New Roman"/>
          <w:sz w:val="24"/>
          <w:szCs w:val="24"/>
        </w:rPr>
        <w:t>Palaimin</w:t>
      </w:r>
      <w:r w:rsidR="00C11494">
        <w:rPr>
          <w:rFonts w:ascii="Times New Roman" w:hAnsi="Times New Roman"/>
          <w:sz w:val="24"/>
          <w:szCs w:val="24"/>
        </w:rPr>
        <w:t>tojo Mykolo Giedraičio istoriją</w:t>
      </w:r>
      <w:r w:rsidR="0095153A">
        <w:rPr>
          <w:rFonts w:ascii="Times New Roman" w:hAnsi="Times New Roman"/>
          <w:sz w:val="24"/>
          <w:szCs w:val="24"/>
        </w:rPr>
        <w:t>, vyskupais, vienuolėmis iš Lenkijos bei giminėmis iš viso pasaulio. Ši ekspozicija buvo labai gražiai įvertinta ir buvome pakviesti eksponuoti ją Palaimintojo Mykolo</w:t>
      </w:r>
      <w:r w:rsidR="0095153A" w:rsidRPr="0095153A">
        <w:rPr>
          <w:rFonts w:ascii="Times New Roman" w:hAnsi="Times New Roman"/>
          <w:sz w:val="24"/>
          <w:szCs w:val="24"/>
        </w:rPr>
        <w:t xml:space="preserve"> Giedraičio beatifikacijos </w:t>
      </w:r>
      <w:r w:rsidR="0095153A">
        <w:rPr>
          <w:rFonts w:ascii="Times New Roman" w:hAnsi="Times New Roman"/>
          <w:sz w:val="24"/>
          <w:szCs w:val="24"/>
        </w:rPr>
        <w:t>renginyje Krokuvoje. Dabar ji keliauja per Lenkijos bažnyčias.</w:t>
      </w:r>
      <w:r w:rsidR="003F4A00">
        <w:rPr>
          <w:rFonts w:ascii="Times New Roman" w:hAnsi="Times New Roman"/>
          <w:sz w:val="24"/>
          <w:szCs w:val="24"/>
        </w:rPr>
        <w:t xml:space="preserve"> </w:t>
      </w:r>
      <w:r w:rsidR="003F4A00" w:rsidRPr="003F4A00">
        <w:rPr>
          <w:rFonts w:ascii="Times New Roman" w:hAnsi="Times New Roman"/>
          <w:sz w:val="24"/>
          <w:szCs w:val="24"/>
        </w:rPr>
        <w:t>Vienas atsakingiausių momentų muziejaus ve</w:t>
      </w:r>
      <w:r w:rsidR="00CE4AA7">
        <w:rPr>
          <w:rFonts w:ascii="Times New Roman" w:hAnsi="Times New Roman"/>
          <w:sz w:val="24"/>
          <w:szCs w:val="24"/>
        </w:rPr>
        <w:t>ikloje buvo Palaimintojo Mykolo</w:t>
      </w:r>
      <w:r w:rsidR="003F4A00" w:rsidRPr="003F4A00">
        <w:rPr>
          <w:rFonts w:ascii="Times New Roman" w:hAnsi="Times New Roman"/>
          <w:sz w:val="24"/>
          <w:szCs w:val="24"/>
        </w:rPr>
        <w:t xml:space="preserve"> Giedraičio beatifikacijos renginys </w:t>
      </w:r>
      <w:proofErr w:type="spellStart"/>
      <w:r w:rsidR="003F4A00" w:rsidRPr="003F4A00">
        <w:rPr>
          <w:rFonts w:ascii="Times New Roman" w:hAnsi="Times New Roman"/>
          <w:sz w:val="24"/>
          <w:szCs w:val="24"/>
        </w:rPr>
        <w:t>Videniškiuose</w:t>
      </w:r>
      <w:proofErr w:type="spellEnd"/>
      <w:r w:rsidR="003F4A00" w:rsidRPr="003F4A00">
        <w:rPr>
          <w:rFonts w:ascii="Times New Roman" w:hAnsi="Times New Roman"/>
          <w:sz w:val="24"/>
          <w:szCs w:val="24"/>
        </w:rPr>
        <w:t>.</w:t>
      </w:r>
      <w:r w:rsidR="003F4A00">
        <w:rPr>
          <w:rFonts w:ascii="Times New Roman" w:hAnsi="Times New Roman"/>
          <w:sz w:val="24"/>
          <w:szCs w:val="24"/>
        </w:rPr>
        <w:t xml:space="preserve"> Ta proga vienuolyne surengta Bažnytinio paveldo muziejaus direktorės dr. Sigitos </w:t>
      </w:r>
      <w:proofErr w:type="spellStart"/>
      <w:r w:rsidR="003F4A00">
        <w:rPr>
          <w:rFonts w:ascii="Times New Roman" w:hAnsi="Times New Roman"/>
          <w:sz w:val="24"/>
          <w:szCs w:val="24"/>
        </w:rPr>
        <w:t>Maslauskaitės</w:t>
      </w:r>
      <w:proofErr w:type="spellEnd"/>
      <w:r w:rsidR="003F4A00">
        <w:rPr>
          <w:rFonts w:ascii="Times New Roman" w:hAnsi="Times New Roman"/>
          <w:sz w:val="24"/>
          <w:szCs w:val="24"/>
        </w:rPr>
        <w:t>-Mažylienės paroda, kurioje pirmą kartą galima buvo išvysti patį naujausią, labai profesionaliai sukurtą</w:t>
      </w:r>
      <w:r w:rsidR="00CE4AA7">
        <w:rPr>
          <w:rFonts w:ascii="Times New Roman" w:hAnsi="Times New Roman"/>
          <w:sz w:val="24"/>
          <w:szCs w:val="24"/>
        </w:rPr>
        <w:t>, Palaimintojo Mykolo portretą.</w:t>
      </w:r>
      <w:r w:rsidR="003F4A00">
        <w:rPr>
          <w:rFonts w:ascii="Times New Roman" w:hAnsi="Times New Roman"/>
          <w:sz w:val="24"/>
          <w:szCs w:val="24"/>
        </w:rPr>
        <w:t xml:space="preserve"> </w:t>
      </w:r>
      <w:r w:rsidR="00CE4AA7">
        <w:rPr>
          <w:rFonts w:ascii="Times New Roman" w:hAnsi="Times New Roman"/>
          <w:sz w:val="24"/>
          <w:szCs w:val="24"/>
        </w:rPr>
        <w:t xml:space="preserve">Portretas </w:t>
      </w:r>
      <w:r w:rsidR="003F4A00">
        <w:rPr>
          <w:rFonts w:ascii="Times New Roman" w:hAnsi="Times New Roman"/>
          <w:sz w:val="24"/>
          <w:szCs w:val="24"/>
        </w:rPr>
        <w:t xml:space="preserve">sužavėjo tiek čia viešėjusius bažnyčios hierarchus, tiek gimines. </w:t>
      </w:r>
    </w:p>
    <w:p w:rsidR="0095153A" w:rsidRDefault="00430B2A" w:rsidP="004462C5">
      <w:pPr>
        <w:pStyle w:val="Betarp"/>
        <w:tabs>
          <w:tab w:val="left" w:pos="7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7818" w:rsidRPr="00CE4AA7">
        <w:rPr>
          <w:rFonts w:ascii="Times New Roman" w:hAnsi="Times New Roman"/>
          <w:b/>
          <w:sz w:val="24"/>
          <w:szCs w:val="24"/>
        </w:rPr>
        <w:t>Svarbiausi muziejaus renginiai</w:t>
      </w:r>
      <w:r w:rsidR="00497818" w:rsidRPr="00CE4AA7">
        <w:rPr>
          <w:rFonts w:ascii="Times New Roman" w:hAnsi="Times New Roman"/>
          <w:sz w:val="24"/>
          <w:szCs w:val="24"/>
        </w:rPr>
        <w:t>:</w:t>
      </w:r>
      <w:r w:rsidR="00552093">
        <w:rPr>
          <w:rFonts w:ascii="Times New Roman" w:hAnsi="Times New Roman"/>
          <w:sz w:val="24"/>
          <w:szCs w:val="24"/>
        </w:rPr>
        <w:t xml:space="preserve"> </w:t>
      </w:r>
      <w:r w:rsidR="00497818" w:rsidRPr="00430B2A">
        <w:rPr>
          <w:rFonts w:ascii="Times New Roman" w:hAnsi="Times New Roman"/>
          <w:sz w:val="24"/>
          <w:szCs w:val="24"/>
        </w:rPr>
        <w:t>XXIV-</w:t>
      </w:r>
      <w:proofErr w:type="spellStart"/>
      <w:r w:rsidR="00497818" w:rsidRPr="00430B2A">
        <w:rPr>
          <w:rFonts w:ascii="Times New Roman" w:hAnsi="Times New Roman"/>
          <w:sz w:val="24"/>
          <w:szCs w:val="24"/>
        </w:rPr>
        <w:t>oji</w:t>
      </w:r>
      <w:proofErr w:type="spellEnd"/>
      <w:r w:rsidR="00497818" w:rsidRPr="00430B2A">
        <w:rPr>
          <w:rFonts w:ascii="Times New Roman" w:hAnsi="Times New Roman"/>
          <w:sz w:val="24"/>
          <w:szCs w:val="24"/>
        </w:rPr>
        <w:t xml:space="preserve"> Žiemos žūklės šventė „Mindūnai 2019“, </w:t>
      </w:r>
      <w:r w:rsidR="004F03B0" w:rsidRPr="00430B2A">
        <w:rPr>
          <w:rFonts w:ascii="Times New Roman" w:hAnsi="Times New Roman"/>
          <w:sz w:val="24"/>
          <w:szCs w:val="24"/>
        </w:rPr>
        <w:t xml:space="preserve">Rajono dailės </w:t>
      </w:r>
      <w:r>
        <w:rPr>
          <w:rFonts w:ascii="Times New Roman" w:hAnsi="Times New Roman"/>
          <w:sz w:val="24"/>
          <w:szCs w:val="24"/>
        </w:rPr>
        <w:t>ir fotografijos premijos paroda,</w:t>
      </w:r>
      <w:r w:rsidR="004F03B0" w:rsidRPr="00430B2A">
        <w:rPr>
          <w:rFonts w:ascii="Times New Roman" w:hAnsi="Times New Roman"/>
          <w:sz w:val="24"/>
          <w:szCs w:val="24"/>
        </w:rPr>
        <w:t xml:space="preserve"> </w:t>
      </w:r>
      <w:r w:rsidR="00497818" w:rsidRPr="00430B2A">
        <w:rPr>
          <w:rFonts w:ascii="Times New Roman" w:hAnsi="Times New Roman"/>
          <w:sz w:val="24"/>
          <w:szCs w:val="24"/>
        </w:rPr>
        <w:t>XXIII-oji pirmosios pavasario žalumos šventė „Jorė 2019“,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94">
        <w:rPr>
          <w:rFonts w:ascii="Times New Roman" w:hAnsi="Times New Roman"/>
          <w:sz w:val="24"/>
          <w:szCs w:val="24"/>
        </w:rPr>
        <w:t>m</w:t>
      </w:r>
      <w:r w:rsidR="00C11494" w:rsidRPr="00C11494">
        <w:rPr>
          <w:rFonts w:ascii="Times New Roman" w:hAnsi="Times New Roman"/>
          <w:sz w:val="24"/>
          <w:szCs w:val="24"/>
        </w:rPr>
        <w:t xml:space="preserve">okslinė konferencija </w:t>
      </w:r>
      <w:r w:rsidR="00C11494">
        <w:rPr>
          <w:rFonts w:ascii="Times New Roman" w:hAnsi="Times New Roman"/>
          <w:sz w:val="24"/>
          <w:szCs w:val="24"/>
        </w:rPr>
        <w:t>„</w:t>
      </w:r>
      <w:r w:rsidR="00C11494" w:rsidRPr="00C11494">
        <w:rPr>
          <w:rFonts w:ascii="Times New Roman" w:hAnsi="Times New Roman"/>
          <w:sz w:val="24"/>
          <w:szCs w:val="24"/>
        </w:rPr>
        <w:t>Palaimintojo Mykolo Giedraičio beatifikacijos istorija</w:t>
      </w:r>
      <w:r w:rsidR="00C1149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497818" w:rsidRPr="00430B2A">
        <w:rPr>
          <w:rFonts w:ascii="Times New Roman" w:hAnsi="Times New Roman"/>
          <w:sz w:val="24"/>
          <w:szCs w:val="24"/>
        </w:rPr>
        <w:t>Videniškiuose</w:t>
      </w:r>
      <w:proofErr w:type="spellEnd"/>
      <w:r w:rsidR="00497818" w:rsidRPr="00430B2A">
        <w:rPr>
          <w:rFonts w:ascii="Times New Roman" w:hAnsi="Times New Roman"/>
          <w:sz w:val="24"/>
          <w:szCs w:val="24"/>
        </w:rPr>
        <w:t xml:space="preserve"> </w:t>
      </w:r>
      <w:r w:rsidR="00CE4AA7">
        <w:rPr>
          <w:rFonts w:ascii="Times New Roman" w:hAnsi="Times New Roman"/>
          <w:sz w:val="24"/>
          <w:szCs w:val="24"/>
        </w:rPr>
        <w:t>pavyko surengti tapybos plenerą</w:t>
      </w:r>
      <w:r w:rsidR="00497818" w:rsidRPr="00430B2A">
        <w:rPr>
          <w:rFonts w:ascii="Times New Roman" w:hAnsi="Times New Roman"/>
          <w:sz w:val="24"/>
          <w:szCs w:val="24"/>
        </w:rPr>
        <w:t xml:space="preserve">, </w:t>
      </w:r>
      <w:r w:rsidR="00CE4AA7">
        <w:rPr>
          <w:rFonts w:ascii="Times New Roman" w:hAnsi="Times New Roman"/>
          <w:sz w:val="24"/>
          <w:szCs w:val="24"/>
        </w:rPr>
        <w:t>Alantoje – XXI-</w:t>
      </w:r>
      <w:proofErr w:type="spellStart"/>
      <w:r w:rsidR="00CE4AA7">
        <w:rPr>
          <w:rFonts w:ascii="Times New Roman" w:hAnsi="Times New Roman"/>
          <w:sz w:val="24"/>
          <w:szCs w:val="24"/>
        </w:rPr>
        <w:t>ąją</w:t>
      </w:r>
      <w:proofErr w:type="spellEnd"/>
      <w:r w:rsidR="00CE4AA7">
        <w:rPr>
          <w:rFonts w:ascii="Times New Roman" w:hAnsi="Times New Roman"/>
          <w:sz w:val="24"/>
          <w:szCs w:val="24"/>
        </w:rPr>
        <w:t xml:space="preserve"> respublikinę tradicinio siuvinėjimo stovyklą</w:t>
      </w:r>
      <w:r w:rsidR="00552093" w:rsidRPr="00552093">
        <w:rPr>
          <w:rFonts w:ascii="Times New Roman" w:hAnsi="Times New Roman"/>
          <w:sz w:val="24"/>
          <w:szCs w:val="24"/>
        </w:rPr>
        <w:t xml:space="preserve"> „Žaliasis laumžirgis“</w:t>
      </w:r>
      <w:r w:rsidR="00497818" w:rsidRPr="00430B2A">
        <w:rPr>
          <w:rFonts w:ascii="Times New Roman" w:hAnsi="Times New Roman"/>
          <w:sz w:val="24"/>
          <w:szCs w:val="24"/>
        </w:rPr>
        <w:t xml:space="preserve">. </w:t>
      </w:r>
      <w:r w:rsidR="00552093">
        <w:rPr>
          <w:rFonts w:ascii="Times New Roman" w:hAnsi="Times New Roman"/>
          <w:sz w:val="24"/>
          <w:szCs w:val="24"/>
        </w:rPr>
        <w:t>Vilniaus knygų mugėje buvo pristatyta projektinė knyga</w:t>
      </w:r>
      <w:r w:rsidR="00552093" w:rsidRPr="00552093">
        <w:rPr>
          <w:rFonts w:ascii="Times New Roman" w:hAnsi="Times New Roman"/>
          <w:sz w:val="24"/>
          <w:szCs w:val="24"/>
        </w:rPr>
        <w:t xml:space="preserve"> „Istoriniai pasakojimai apie Molėt</w:t>
      </w:r>
      <w:r w:rsidR="00552093">
        <w:rPr>
          <w:rFonts w:ascii="Times New Roman" w:hAnsi="Times New Roman"/>
          <w:sz w:val="24"/>
          <w:szCs w:val="24"/>
        </w:rPr>
        <w:t>ų krašto žydų kultūros paveldą“</w:t>
      </w:r>
      <w:r w:rsidR="009B7402">
        <w:rPr>
          <w:rFonts w:ascii="Times New Roman" w:hAnsi="Times New Roman"/>
          <w:sz w:val="24"/>
          <w:szCs w:val="24"/>
        </w:rPr>
        <w:t>, Molėtuose suorganizuotas d</w:t>
      </w:r>
      <w:r w:rsidR="009B7402" w:rsidRPr="009B7402">
        <w:rPr>
          <w:rFonts w:ascii="Times New Roman" w:hAnsi="Times New Roman"/>
          <w:sz w:val="24"/>
          <w:szCs w:val="24"/>
        </w:rPr>
        <w:t xml:space="preserve">okumentinio filmo </w:t>
      </w:r>
      <w:r w:rsidR="009B7402">
        <w:rPr>
          <w:rFonts w:ascii="Times New Roman" w:hAnsi="Times New Roman"/>
          <w:sz w:val="24"/>
          <w:szCs w:val="24"/>
        </w:rPr>
        <w:t xml:space="preserve">apie holokaustą Molėtų mieste </w:t>
      </w:r>
      <w:r w:rsidR="009B7402" w:rsidRPr="009B7402">
        <w:rPr>
          <w:rFonts w:ascii="Times New Roman" w:hAnsi="Times New Roman"/>
          <w:sz w:val="24"/>
          <w:szCs w:val="24"/>
        </w:rPr>
        <w:t xml:space="preserve">„Paskutinis </w:t>
      </w:r>
      <w:r w:rsidR="009B7402">
        <w:rPr>
          <w:rFonts w:ascii="Times New Roman" w:hAnsi="Times New Roman"/>
          <w:sz w:val="24"/>
          <w:szCs w:val="24"/>
        </w:rPr>
        <w:t>rugpjūčio sekmadienis“ pristatymas.</w:t>
      </w:r>
      <w:r w:rsidR="00552093">
        <w:rPr>
          <w:rFonts w:ascii="Times New Roman" w:hAnsi="Times New Roman"/>
          <w:sz w:val="24"/>
          <w:szCs w:val="24"/>
        </w:rPr>
        <w:t xml:space="preserve"> </w:t>
      </w:r>
      <w:r w:rsidR="00552093" w:rsidRPr="00552093">
        <w:rPr>
          <w:rFonts w:ascii="Times New Roman" w:hAnsi="Times New Roman"/>
          <w:sz w:val="24"/>
          <w:szCs w:val="24"/>
        </w:rPr>
        <w:t>„Įdomiausių Molėtų rajono vietovardžių TOP 10“</w:t>
      </w:r>
      <w:r w:rsidR="00552093">
        <w:rPr>
          <w:rFonts w:ascii="Times New Roman" w:hAnsi="Times New Roman"/>
          <w:sz w:val="24"/>
          <w:szCs w:val="24"/>
        </w:rPr>
        <w:t xml:space="preserve"> renginiai buvo skirti vietovardžių metams.</w:t>
      </w:r>
      <w:r w:rsidR="00E56C3B">
        <w:rPr>
          <w:rFonts w:ascii="Times New Roman" w:hAnsi="Times New Roman"/>
          <w:sz w:val="24"/>
          <w:szCs w:val="24"/>
        </w:rPr>
        <w:t xml:space="preserve"> </w:t>
      </w:r>
      <w:r w:rsidR="00E56C3B" w:rsidRPr="00E56C3B">
        <w:rPr>
          <w:rFonts w:ascii="Times New Roman" w:hAnsi="Times New Roman"/>
          <w:sz w:val="24"/>
          <w:szCs w:val="24"/>
        </w:rPr>
        <w:t>Panaudojant projektines lėšas, parengtas ir išleistas leidinys „Aukštaitijos tautinių marškinių detalių siuvinėjimas“.</w:t>
      </w:r>
    </w:p>
    <w:p w:rsidR="00665230" w:rsidRPr="00665230" w:rsidRDefault="00665230" w:rsidP="004462C5">
      <w:pPr>
        <w:pStyle w:val="Betarp"/>
        <w:tabs>
          <w:tab w:val="left" w:pos="79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5230">
        <w:rPr>
          <w:rFonts w:ascii="Times New Roman" w:hAnsi="Times New Roman"/>
          <w:b/>
          <w:sz w:val="24"/>
          <w:szCs w:val="24"/>
        </w:rPr>
        <w:t>Lankytojai ir pajamos.</w:t>
      </w:r>
    </w:p>
    <w:p w:rsidR="00612C24" w:rsidRPr="004462C5" w:rsidRDefault="006C199F" w:rsidP="004462C5">
      <w:pPr>
        <w:tabs>
          <w:tab w:val="left" w:pos="794"/>
        </w:tabs>
        <w:jc w:val="center"/>
        <w:rPr>
          <w:rFonts w:eastAsia="Times New Roman" w:cs="Times New Roman"/>
          <w:sz w:val="10"/>
          <w:szCs w:val="10"/>
          <w:lang w:eastAsia="lt-LT"/>
        </w:rPr>
      </w:pPr>
      <w:r w:rsidRPr="004462C5">
        <w:rPr>
          <w:rFonts w:cs="Times New Roman"/>
          <w:noProof/>
          <w:sz w:val="10"/>
          <w:szCs w:val="10"/>
          <w:lang w:eastAsia="lt-LT"/>
        </w:rPr>
        <w:drawing>
          <wp:inline distT="0" distB="0" distL="0" distR="0" wp14:anchorId="348C971A" wp14:editId="108D895B">
            <wp:extent cx="5140296" cy="3418318"/>
            <wp:effectExtent l="0" t="0" r="3810" b="1079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0B2A" w:rsidRDefault="00430B2A" w:rsidP="004462C5">
      <w:pPr>
        <w:tabs>
          <w:tab w:val="left" w:pos="794"/>
        </w:tabs>
        <w:jc w:val="center"/>
        <w:rPr>
          <w:rFonts w:eastAsia="Times New Roman" w:cs="Times New Roman"/>
          <w:szCs w:val="24"/>
          <w:lang w:eastAsia="lt-LT"/>
        </w:rPr>
      </w:pPr>
      <w:r w:rsidRPr="007C7053">
        <w:rPr>
          <w:rFonts w:eastAsia="Times New Roman" w:cs="Times New Roman"/>
          <w:szCs w:val="24"/>
          <w:lang w:eastAsia="lt-LT"/>
        </w:rPr>
        <w:t>1 pav. 2019 m. lankytojų skaičius ir su</w:t>
      </w:r>
      <w:r w:rsidR="00434FC8">
        <w:rPr>
          <w:rFonts w:eastAsia="Times New Roman" w:cs="Times New Roman"/>
          <w:szCs w:val="24"/>
          <w:lang w:eastAsia="lt-LT"/>
        </w:rPr>
        <w:t xml:space="preserve">rinktos pajamos už bilietus </w:t>
      </w:r>
      <w:r w:rsidR="005E5255">
        <w:rPr>
          <w:rFonts w:eastAsia="Times New Roman" w:cs="Times New Roman"/>
          <w:szCs w:val="24"/>
          <w:lang w:eastAsia="lt-LT"/>
        </w:rPr>
        <w:t>€</w:t>
      </w:r>
      <w:r w:rsidRPr="007C7053">
        <w:rPr>
          <w:rFonts w:eastAsia="Times New Roman" w:cs="Times New Roman"/>
          <w:szCs w:val="24"/>
          <w:lang w:eastAsia="lt-LT"/>
        </w:rPr>
        <w:t>.</w:t>
      </w:r>
    </w:p>
    <w:p w:rsidR="005A1A12" w:rsidRDefault="005A1A12" w:rsidP="004462C5">
      <w:pPr>
        <w:tabs>
          <w:tab w:val="left" w:pos="794"/>
        </w:tabs>
        <w:jc w:val="center"/>
        <w:rPr>
          <w:rFonts w:eastAsia="Times New Roman" w:cs="Times New Roman"/>
          <w:szCs w:val="24"/>
          <w:lang w:eastAsia="lt-LT"/>
        </w:rPr>
      </w:pPr>
    </w:p>
    <w:p w:rsidR="00C00A99" w:rsidRDefault="00026911" w:rsidP="004462C5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ab/>
      </w:r>
      <w:r w:rsidR="005A1A12">
        <w:rPr>
          <w:rFonts w:eastAsia="Times New Roman" w:cs="Times New Roman"/>
          <w:szCs w:val="24"/>
          <w:lang w:eastAsia="lt-LT"/>
        </w:rPr>
        <w:t xml:space="preserve">Daugiausiai pajamų ir lankytojų privilioja Mindūnuose esantys trys muziejaus padaliniai. Suprantama, kad A. Truskausko gamtos ir medžioklės muziejus </w:t>
      </w:r>
      <w:r w:rsidR="0095153A">
        <w:rPr>
          <w:rFonts w:eastAsia="Times New Roman" w:cs="Times New Roman"/>
          <w:szCs w:val="24"/>
          <w:lang w:eastAsia="lt-LT"/>
        </w:rPr>
        <w:t>gal kai kam atrodo</w:t>
      </w:r>
      <w:r w:rsidR="005A1A12">
        <w:rPr>
          <w:rFonts w:eastAsia="Times New Roman" w:cs="Times New Roman"/>
          <w:szCs w:val="24"/>
          <w:lang w:eastAsia="lt-LT"/>
        </w:rPr>
        <w:t xml:space="preserve"> netgi patrauklesnis už Ežerų žvejybos muziejų, tačiau jo lankymas yra nemokamas</w:t>
      </w:r>
      <w:r>
        <w:rPr>
          <w:rFonts w:eastAsia="Times New Roman" w:cs="Times New Roman"/>
          <w:szCs w:val="24"/>
          <w:lang w:eastAsia="lt-LT"/>
        </w:rPr>
        <w:t xml:space="preserve">, nes mokestis už bilietus prieštarautų </w:t>
      </w:r>
      <w:r w:rsidRPr="00026911">
        <w:rPr>
          <w:rFonts w:eastAsia="Times New Roman" w:cs="Times New Roman"/>
          <w:szCs w:val="24"/>
          <w:lang w:eastAsia="lt-LT"/>
        </w:rPr>
        <w:t xml:space="preserve">Nykstančių laukinės faunos ir floros rūšių </w:t>
      </w:r>
      <w:r>
        <w:rPr>
          <w:rFonts w:eastAsia="Times New Roman" w:cs="Times New Roman"/>
          <w:szCs w:val="24"/>
          <w:lang w:eastAsia="lt-LT"/>
        </w:rPr>
        <w:t xml:space="preserve">tarptautinės prekybos konvencijai </w:t>
      </w:r>
      <w:r w:rsidRPr="00026911">
        <w:rPr>
          <w:rFonts w:eastAsia="Times New Roman" w:cs="Times New Roman"/>
          <w:szCs w:val="24"/>
          <w:lang w:eastAsia="lt-LT"/>
        </w:rPr>
        <w:t>(CITES</w:t>
      </w:r>
      <w:r>
        <w:rPr>
          <w:rFonts w:eastAsia="Times New Roman" w:cs="Times New Roman"/>
          <w:szCs w:val="24"/>
          <w:lang w:eastAsia="lt-LT"/>
        </w:rPr>
        <w:t xml:space="preserve">, </w:t>
      </w:r>
      <w:r w:rsidRPr="00026911">
        <w:rPr>
          <w:rFonts w:eastAsia="Times New Roman" w:cs="Times New Roman"/>
          <w:szCs w:val="24"/>
          <w:lang w:eastAsia="lt-LT"/>
        </w:rPr>
        <w:t xml:space="preserve">angl.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Convention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on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International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Trade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in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Endangered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Species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of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Wild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Fauna </w:t>
      </w:r>
      <w:proofErr w:type="spellStart"/>
      <w:r w:rsidRPr="00026911">
        <w:rPr>
          <w:rFonts w:eastAsia="Times New Roman" w:cs="Times New Roman"/>
          <w:szCs w:val="24"/>
          <w:lang w:eastAsia="lt-LT"/>
        </w:rPr>
        <w:t>and</w:t>
      </w:r>
      <w:proofErr w:type="spellEnd"/>
      <w:r w:rsidRPr="00026911">
        <w:rPr>
          <w:rFonts w:eastAsia="Times New Roman" w:cs="Times New Roman"/>
          <w:szCs w:val="24"/>
          <w:lang w:eastAsia="lt-LT"/>
        </w:rPr>
        <w:t xml:space="preserve"> Flora)</w:t>
      </w:r>
      <w:r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ab/>
        <w:t xml:space="preserve">Reiktų vertinti kaip labai sėkmingą Mindūnuose esančio amatų centro veiklą, kurios pagrindą sudaro garsioji </w:t>
      </w:r>
      <w:proofErr w:type="spellStart"/>
      <w:r>
        <w:rPr>
          <w:rFonts w:eastAsia="Times New Roman" w:cs="Times New Roman"/>
          <w:szCs w:val="24"/>
          <w:lang w:eastAsia="lt-LT"/>
        </w:rPr>
        <w:t>Rimydžių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žuvienė, </w:t>
      </w:r>
      <w:r w:rsidR="00C00A99">
        <w:rPr>
          <w:rFonts w:eastAsia="Times New Roman" w:cs="Times New Roman"/>
          <w:szCs w:val="24"/>
          <w:lang w:eastAsia="lt-LT"/>
        </w:rPr>
        <w:t xml:space="preserve">papildanti muziejaus pajamas </w:t>
      </w:r>
      <w:r>
        <w:rPr>
          <w:rFonts w:eastAsia="Times New Roman" w:cs="Times New Roman"/>
          <w:szCs w:val="24"/>
          <w:lang w:eastAsia="lt-LT"/>
        </w:rPr>
        <w:t xml:space="preserve">virš 7 tūkst. </w:t>
      </w:r>
      <w:r w:rsidR="00C00A99">
        <w:rPr>
          <w:rFonts w:eastAsia="Times New Roman" w:cs="Times New Roman"/>
          <w:szCs w:val="24"/>
          <w:lang w:eastAsia="lt-LT"/>
        </w:rPr>
        <w:t xml:space="preserve">€ </w:t>
      </w:r>
      <w:r>
        <w:rPr>
          <w:rFonts w:eastAsia="Times New Roman" w:cs="Times New Roman"/>
          <w:szCs w:val="24"/>
          <w:lang w:eastAsia="lt-LT"/>
        </w:rPr>
        <w:t>per metus.</w:t>
      </w:r>
    </w:p>
    <w:p w:rsidR="00026911" w:rsidRDefault="00C00A99" w:rsidP="004462C5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  <w:t>Kitų atokiuose kaimuose įkurtų muziejaus padalinių pajamos ir lankytojai</w:t>
      </w:r>
      <w:r w:rsidR="00026911">
        <w:rPr>
          <w:rFonts w:eastAsia="Times New Roman" w:cs="Times New Roman"/>
          <w:szCs w:val="24"/>
          <w:lang w:eastAsia="lt-LT"/>
        </w:rPr>
        <w:t xml:space="preserve"> </w:t>
      </w:r>
      <w:r w:rsidR="00665230">
        <w:rPr>
          <w:rFonts w:eastAsia="Times New Roman" w:cs="Times New Roman"/>
          <w:szCs w:val="24"/>
          <w:lang w:eastAsia="lt-LT"/>
        </w:rPr>
        <w:t>ženkliai atsilieka nuo Mindūnų. Manome, kad tai natūralu ir dėsninga</w:t>
      </w:r>
      <w:r>
        <w:rPr>
          <w:rFonts w:eastAsia="Times New Roman" w:cs="Times New Roman"/>
          <w:szCs w:val="24"/>
          <w:lang w:eastAsia="lt-LT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lt-LT"/>
        </w:rPr>
        <w:t>Videniškių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ir </w:t>
      </w:r>
      <w:proofErr w:type="spellStart"/>
      <w:r>
        <w:rPr>
          <w:rFonts w:eastAsia="Times New Roman" w:cs="Times New Roman"/>
          <w:szCs w:val="24"/>
          <w:lang w:eastAsia="lt-LT"/>
        </w:rPr>
        <w:t>Kulionių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patalpos nedidelės, </w:t>
      </w:r>
      <w:r w:rsidR="00665230">
        <w:rPr>
          <w:rFonts w:eastAsia="Times New Roman" w:cs="Times New Roman"/>
          <w:szCs w:val="24"/>
          <w:lang w:eastAsia="lt-LT"/>
        </w:rPr>
        <w:t xml:space="preserve">ekspozicijos įrengtos pačių muziejininkų, </w:t>
      </w:r>
      <w:r>
        <w:rPr>
          <w:rFonts w:eastAsia="Times New Roman" w:cs="Times New Roman"/>
          <w:szCs w:val="24"/>
          <w:lang w:eastAsia="lt-LT"/>
        </w:rPr>
        <w:t>remonto bei aplink</w:t>
      </w:r>
      <w:r w:rsidR="00665230">
        <w:rPr>
          <w:rFonts w:eastAsia="Times New Roman" w:cs="Times New Roman"/>
          <w:szCs w:val="24"/>
          <w:lang w:eastAsia="lt-LT"/>
        </w:rPr>
        <w:t>os sutvarkymo darbai nepabaigti</w:t>
      </w:r>
      <w:r>
        <w:rPr>
          <w:rFonts w:eastAsia="Times New Roman" w:cs="Times New Roman"/>
          <w:szCs w:val="24"/>
          <w:lang w:eastAsia="lt-LT"/>
        </w:rPr>
        <w:t>. Gal išimtis būtų Alantos dvaras, kuris vis dėlto mažiausiai lankytojų suvilioja.</w:t>
      </w:r>
    </w:p>
    <w:p w:rsidR="00552093" w:rsidRDefault="00552093" w:rsidP="004462C5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  <w:t xml:space="preserve">2019 m. steigėjas buvo įpareigojęs </w:t>
      </w:r>
      <w:r w:rsidR="00E56C3B" w:rsidRPr="00E56C3B">
        <w:rPr>
          <w:rFonts w:eastAsia="Times New Roman" w:cs="Times New Roman"/>
          <w:szCs w:val="24"/>
          <w:lang w:eastAsia="lt-LT"/>
        </w:rPr>
        <w:t>už teikiamas paslaugas</w:t>
      </w:r>
      <w:r w:rsidR="00E56C3B">
        <w:rPr>
          <w:rFonts w:eastAsia="Times New Roman" w:cs="Times New Roman"/>
          <w:szCs w:val="24"/>
          <w:lang w:eastAsia="lt-LT"/>
        </w:rPr>
        <w:t xml:space="preserve"> surinkti 45.5 tūkst. €.</w:t>
      </w:r>
      <w:r w:rsidR="00665230">
        <w:rPr>
          <w:rFonts w:eastAsia="Times New Roman" w:cs="Times New Roman"/>
          <w:szCs w:val="24"/>
          <w:lang w:eastAsia="lt-LT"/>
        </w:rPr>
        <w:t xml:space="preserve"> Padarėme lyginamąją analizę su kitomis savivaldybėmis.</w:t>
      </w:r>
    </w:p>
    <w:p w:rsidR="004462C5" w:rsidRDefault="004462C5" w:rsidP="004462C5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</w:p>
    <w:p w:rsidR="008175F1" w:rsidRPr="004462C5" w:rsidRDefault="008175F1" w:rsidP="004462C5">
      <w:pPr>
        <w:tabs>
          <w:tab w:val="left" w:pos="794"/>
        </w:tabs>
        <w:rPr>
          <w:rFonts w:eastAsia="Times New Roman" w:cs="Times New Roman"/>
          <w:sz w:val="20"/>
          <w:szCs w:val="20"/>
          <w:lang w:eastAsia="lt-LT"/>
        </w:rPr>
      </w:pPr>
      <w:r w:rsidRPr="004462C5">
        <w:rPr>
          <w:rFonts w:cs="Times New Roman"/>
          <w:noProof/>
          <w:sz w:val="20"/>
          <w:szCs w:val="20"/>
          <w:lang w:eastAsia="lt-LT"/>
        </w:rPr>
        <w:drawing>
          <wp:inline distT="0" distB="0" distL="0" distR="0" wp14:anchorId="20DB116C" wp14:editId="0F3819E7">
            <wp:extent cx="5208317" cy="2867114"/>
            <wp:effectExtent l="0" t="0" r="11430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184C" w:rsidRDefault="00C706BD" w:rsidP="005E5255">
      <w:pPr>
        <w:tabs>
          <w:tab w:val="left" w:pos="794"/>
        </w:tabs>
        <w:ind w:firstLine="720"/>
        <w:jc w:val="center"/>
        <w:rPr>
          <w:rFonts w:eastAsia="Times New Roman" w:cs="Times New Roman"/>
          <w:sz w:val="20"/>
          <w:szCs w:val="20"/>
          <w:lang w:eastAsia="lt-LT"/>
        </w:rPr>
      </w:pPr>
      <w:r w:rsidRPr="004462C5">
        <w:rPr>
          <w:rFonts w:eastAsia="Times New Roman" w:cs="Times New Roman"/>
          <w:sz w:val="20"/>
          <w:szCs w:val="20"/>
          <w:lang w:eastAsia="lt-LT"/>
        </w:rPr>
        <w:t>2 pav. Kitų rajonų 2019 m. biudžete muziejams nustatyto</w:t>
      </w:r>
      <w:r w:rsidR="00665230" w:rsidRPr="004462C5">
        <w:rPr>
          <w:rFonts w:eastAsia="Times New Roman" w:cs="Times New Roman"/>
          <w:sz w:val="20"/>
          <w:szCs w:val="20"/>
          <w:lang w:eastAsia="lt-LT"/>
        </w:rPr>
        <w:t>s surenkamos pajamos, tūkst. €</w:t>
      </w:r>
    </w:p>
    <w:p w:rsidR="005E5255" w:rsidRPr="005E5255" w:rsidRDefault="005E5255" w:rsidP="005E5255">
      <w:pPr>
        <w:tabs>
          <w:tab w:val="left" w:pos="794"/>
        </w:tabs>
        <w:ind w:firstLine="720"/>
        <w:jc w:val="center"/>
        <w:rPr>
          <w:rFonts w:eastAsia="Times New Roman" w:cs="Times New Roman"/>
          <w:sz w:val="20"/>
          <w:szCs w:val="20"/>
          <w:lang w:eastAsia="lt-LT"/>
        </w:rPr>
      </w:pPr>
    </w:p>
    <w:p w:rsidR="00C706BD" w:rsidRDefault="00665230" w:rsidP="004462C5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Manome, kad esamomis sąlygomis muziejus negali </w:t>
      </w:r>
      <w:r w:rsidR="00CE184C">
        <w:rPr>
          <w:rFonts w:eastAsia="Times New Roman" w:cs="Times New Roman"/>
          <w:szCs w:val="24"/>
          <w:lang w:eastAsia="lt-LT"/>
        </w:rPr>
        <w:t xml:space="preserve">surinkti tiek daug pajamų. </w:t>
      </w:r>
    </w:p>
    <w:p w:rsidR="004462C5" w:rsidRPr="00430B2A" w:rsidRDefault="004462C5" w:rsidP="004462C5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r w:rsidRPr="00430B2A">
        <w:rPr>
          <w:rFonts w:eastAsia="Times New Roman" w:cs="Times New Roman"/>
          <w:szCs w:val="24"/>
          <w:lang w:eastAsia="lt-LT"/>
        </w:rPr>
        <w:t>Didžiausiu 2019 m. laimėjimu muziejus laiko faktą, kad jau antroji (geriausias rezultatas Lietuvoje!) Molėtų krašto vertybė įrašyta nacionalinį Nematerialaus kultūros paveldo vertybių sąvadą: „</w:t>
      </w:r>
      <w:proofErr w:type="spellStart"/>
      <w:r w:rsidRPr="00430B2A">
        <w:rPr>
          <w:rFonts w:eastAsia="Times New Roman" w:cs="Times New Roman"/>
          <w:szCs w:val="24"/>
          <w:lang w:eastAsia="lt-LT"/>
        </w:rPr>
        <w:t>Skudutiškio</w:t>
      </w:r>
      <w:proofErr w:type="spellEnd"/>
      <w:r w:rsidRPr="00430B2A">
        <w:rPr>
          <w:rFonts w:eastAsia="Times New Roman" w:cs="Times New Roman"/>
          <w:szCs w:val="24"/>
          <w:lang w:eastAsia="lt-LT"/>
        </w:rPr>
        <w:t xml:space="preserve"> (Molėtų r.) šventvietė ir jos </w:t>
      </w:r>
      <w:r>
        <w:rPr>
          <w:rFonts w:eastAsia="Times New Roman" w:cs="Times New Roman"/>
          <w:szCs w:val="24"/>
          <w:lang w:eastAsia="lt-LT"/>
        </w:rPr>
        <w:t>garbinimo (lankymo) tradicija“.</w:t>
      </w:r>
    </w:p>
    <w:p w:rsidR="00365641" w:rsidRPr="00430B2A" w:rsidRDefault="00C11494" w:rsidP="004462C5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</w:t>
      </w:r>
      <w:r w:rsidR="005E5255">
        <w:rPr>
          <w:rFonts w:eastAsia="Times New Roman" w:cs="Times New Roman"/>
          <w:szCs w:val="24"/>
          <w:lang w:eastAsia="lt-LT"/>
        </w:rPr>
        <w:t xml:space="preserve">Per metus dovanojimo būdu </w:t>
      </w:r>
      <w:r>
        <w:rPr>
          <w:rFonts w:eastAsia="Times New Roman" w:cs="Times New Roman"/>
          <w:szCs w:val="24"/>
          <w:lang w:eastAsia="lt-LT"/>
        </w:rPr>
        <w:t xml:space="preserve">sukaupti ir suinventorinti </w:t>
      </w:r>
      <w:r w:rsidR="005E5255">
        <w:rPr>
          <w:rFonts w:eastAsia="Times New Roman" w:cs="Times New Roman"/>
          <w:szCs w:val="24"/>
          <w:lang w:eastAsia="lt-LT"/>
        </w:rPr>
        <w:t xml:space="preserve">1123 eksponatai </w:t>
      </w:r>
      <w:bookmarkStart w:id="1" w:name="_GoBack"/>
      <w:bookmarkEnd w:id="1"/>
      <w:r w:rsidR="005E5255">
        <w:rPr>
          <w:rFonts w:eastAsia="Times New Roman" w:cs="Times New Roman"/>
          <w:szCs w:val="24"/>
          <w:lang w:eastAsia="lt-LT"/>
        </w:rPr>
        <w:t xml:space="preserve"> </w:t>
      </w:r>
      <w:r w:rsidR="00C706BD">
        <w:rPr>
          <w:rFonts w:eastAsia="Times New Roman" w:cs="Times New Roman"/>
          <w:szCs w:val="24"/>
          <w:lang w:eastAsia="lt-LT"/>
        </w:rPr>
        <w:t xml:space="preserve">įtraukti į pagrindinius </w:t>
      </w:r>
      <w:r w:rsidR="00365641" w:rsidRPr="00430B2A">
        <w:rPr>
          <w:rFonts w:eastAsia="Times New Roman" w:cs="Times New Roman"/>
          <w:szCs w:val="24"/>
          <w:lang w:eastAsia="lt-LT"/>
        </w:rPr>
        <w:t>dai</w:t>
      </w:r>
      <w:r w:rsidR="00C706BD">
        <w:rPr>
          <w:rFonts w:eastAsia="Times New Roman" w:cs="Times New Roman"/>
          <w:szCs w:val="24"/>
          <w:lang w:eastAsia="lt-LT"/>
        </w:rPr>
        <w:t>lės, raštijos, archeologijos ir</w:t>
      </w:r>
      <w:r w:rsidR="00365641" w:rsidRPr="00430B2A">
        <w:rPr>
          <w:rFonts w:eastAsia="Times New Roman" w:cs="Times New Roman"/>
          <w:szCs w:val="24"/>
          <w:lang w:eastAsia="lt-LT"/>
        </w:rPr>
        <w:t xml:space="preserve"> i</w:t>
      </w:r>
      <w:r w:rsidR="00467DF9">
        <w:rPr>
          <w:rFonts w:eastAsia="Times New Roman" w:cs="Times New Roman"/>
          <w:szCs w:val="24"/>
          <w:lang w:eastAsia="lt-LT"/>
        </w:rPr>
        <w:t>storijos-etnografijos rinkinius.</w:t>
      </w:r>
      <w:r w:rsidR="00365641" w:rsidRPr="00430B2A">
        <w:rPr>
          <w:rFonts w:eastAsia="Times New Roman" w:cs="Times New Roman"/>
          <w:szCs w:val="24"/>
          <w:lang w:eastAsia="lt-LT"/>
        </w:rPr>
        <w:t xml:space="preserve"> </w:t>
      </w:r>
    </w:p>
    <w:p w:rsidR="00C44B6F" w:rsidRPr="00430B2A" w:rsidRDefault="00C44B6F" w:rsidP="004462C5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r w:rsidRPr="00430B2A">
        <w:rPr>
          <w:rFonts w:eastAsia="Times New Roman" w:cs="Times New Roman"/>
          <w:szCs w:val="24"/>
          <w:lang w:eastAsia="lt-LT"/>
        </w:rPr>
        <w:t xml:space="preserve">2019 m. muziejus buvo priverstas kraustytis </w:t>
      </w:r>
      <w:r w:rsidR="00467DF9">
        <w:rPr>
          <w:rFonts w:eastAsia="Times New Roman" w:cs="Times New Roman"/>
          <w:szCs w:val="24"/>
          <w:lang w:eastAsia="lt-LT"/>
        </w:rPr>
        <w:t xml:space="preserve">iš vienos vietos į kitą jau aštuntą kartą: teko skubiai apleisti Molėtų progimnazijoje turėtas dvi klases ir daugybe reisų nuvežti eksponatus į </w:t>
      </w:r>
      <w:r w:rsidR="00467DF9">
        <w:rPr>
          <w:rFonts w:eastAsia="Times New Roman" w:cs="Times New Roman"/>
          <w:szCs w:val="24"/>
          <w:lang w:eastAsia="lt-LT"/>
        </w:rPr>
        <w:lastRenderedPageBreak/>
        <w:t>Inturkės mokyklą, sunešioti į trečią aukštą ir ten užimti dvi klases.</w:t>
      </w:r>
      <w:r w:rsidRPr="00430B2A">
        <w:rPr>
          <w:rFonts w:eastAsia="Times New Roman" w:cs="Times New Roman"/>
          <w:szCs w:val="24"/>
          <w:lang w:eastAsia="lt-LT"/>
        </w:rPr>
        <w:t xml:space="preserve"> Tai yra nepakeliama našta darbuotojams ir didžiulė rizika eksponatams. </w:t>
      </w:r>
    </w:p>
    <w:p w:rsidR="000B47B7" w:rsidRDefault="000B47B7" w:rsidP="004462C5">
      <w:pPr>
        <w:tabs>
          <w:tab w:val="left" w:pos="794"/>
        </w:tabs>
        <w:ind w:firstLine="709"/>
        <w:rPr>
          <w:rFonts w:cs="Times New Roman"/>
          <w:b/>
          <w:szCs w:val="24"/>
        </w:rPr>
      </w:pPr>
      <w:bookmarkStart w:id="2" w:name="part_b51b3c6dfe8d4a489cd083e01811da7c"/>
      <w:bookmarkEnd w:id="2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C706BD" w:rsidTr="00C706BD">
        <w:tc>
          <w:tcPr>
            <w:tcW w:w="4927" w:type="dxa"/>
          </w:tcPr>
          <w:p w:rsidR="00C706BD" w:rsidRDefault="00C706BD" w:rsidP="004462C5">
            <w:pPr>
              <w:tabs>
                <w:tab w:val="left" w:pos="794"/>
              </w:tabs>
              <w:jc w:val="left"/>
              <w:rPr>
                <w:rFonts w:cs="Times New Roman"/>
                <w:b/>
                <w:szCs w:val="24"/>
              </w:rPr>
            </w:pPr>
            <w:r w:rsidRPr="00430B2A">
              <w:rPr>
                <w:rFonts w:cs="Times New Roman"/>
                <w:szCs w:val="24"/>
              </w:rPr>
              <w:t>Direktorė</w:t>
            </w:r>
          </w:p>
        </w:tc>
        <w:tc>
          <w:tcPr>
            <w:tcW w:w="4927" w:type="dxa"/>
          </w:tcPr>
          <w:p w:rsidR="00C706BD" w:rsidRPr="00C706BD" w:rsidRDefault="00C706BD" w:rsidP="004462C5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</w:rPr>
            </w:pPr>
            <w:r w:rsidRPr="00430B2A">
              <w:rPr>
                <w:rFonts w:cs="Times New Roman"/>
                <w:szCs w:val="24"/>
              </w:rPr>
              <w:t>Viktorija Kazlienė</w:t>
            </w:r>
          </w:p>
        </w:tc>
      </w:tr>
    </w:tbl>
    <w:p w:rsidR="00C706BD" w:rsidRPr="00430B2A" w:rsidRDefault="00C706BD" w:rsidP="004462C5">
      <w:pPr>
        <w:tabs>
          <w:tab w:val="left" w:pos="794"/>
        </w:tabs>
        <w:rPr>
          <w:rFonts w:cs="Times New Roman"/>
          <w:b/>
          <w:szCs w:val="24"/>
        </w:rPr>
      </w:pPr>
    </w:p>
    <w:p w:rsidR="00612C24" w:rsidRPr="00430B2A" w:rsidRDefault="000B47B7" w:rsidP="004462C5">
      <w:pPr>
        <w:tabs>
          <w:tab w:val="left" w:pos="794"/>
        </w:tabs>
        <w:ind w:firstLine="709"/>
        <w:rPr>
          <w:rFonts w:cs="Times New Roman"/>
          <w:szCs w:val="24"/>
        </w:rPr>
      </w:pPr>
      <w:r w:rsidRPr="00430B2A">
        <w:rPr>
          <w:rFonts w:cs="Times New Roman"/>
          <w:szCs w:val="24"/>
        </w:rPr>
        <w:tab/>
      </w:r>
      <w:r w:rsidRPr="00430B2A">
        <w:rPr>
          <w:rFonts w:cs="Times New Roman"/>
          <w:szCs w:val="24"/>
        </w:rPr>
        <w:tab/>
      </w:r>
      <w:r w:rsidRPr="00430B2A">
        <w:rPr>
          <w:rFonts w:cs="Times New Roman"/>
          <w:szCs w:val="24"/>
        </w:rPr>
        <w:tab/>
      </w:r>
      <w:r w:rsidRPr="00430B2A">
        <w:rPr>
          <w:rFonts w:cs="Times New Roman"/>
          <w:szCs w:val="24"/>
        </w:rPr>
        <w:tab/>
      </w:r>
    </w:p>
    <w:sectPr w:rsidR="00612C24" w:rsidRPr="00430B2A" w:rsidSect="004462C5">
      <w:headerReference w:type="default" r:id="rId8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99" w:rsidRDefault="00DC3B99" w:rsidP="00C706BD">
      <w:pPr>
        <w:spacing w:line="240" w:lineRule="auto"/>
      </w:pPr>
      <w:r>
        <w:separator/>
      </w:r>
    </w:p>
  </w:endnote>
  <w:endnote w:type="continuationSeparator" w:id="0">
    <w:p w:rsidR="00DC3B99" w:rsidRDefault="00DC3B99" w:rsidP="00C70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99" w:rsidRDefault="00DC3B99" w:rsidP="00C706BD">
      <w:pPr>
        <w:spacing w:line="240" w:lineRule="auto"/>
      </w:pPr>
      <w:r>
        <w:separator/>
      </w:r>
    </w:p>
  </w:footnote>
  <w:footnote w:type="continuationSeparator" w:id="0">
    <w:p w:rsidR="00DC3B99" w:rsidRDefault="00DC3B99" w:rsidP="00C70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264611"/>
      <w:docPartObj>
        <w:docPartGallery w:val="Page Numbers (Top of Page)"/>
        <w:docPartUnique/>
      </w:docPartObj>
    </w:sdtPr>
    <w:sdtEndPr/>
    <w:sdtContent>
      <w:p w:rsidR="00C706BD" w:rsidRDefault="00C706B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55">
          <w:rPr>
            <w:noProof/>
          </w:rPr>
          <w:t>4</w:t>
        </w:r>
        <w:r>
          <w:fldChar w:fldCharType="end"/>
        </w:r>
      </w:p>
    </w:sdtContent>
  </w:sdt>
  <w:p w:rsidR="00C706BD" w:rsidRDefault="00C706B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C"/>
    <w:rsid w:val="00026911"/>
    <w:rsid w:val="00063484"/>
    <w:rsid w:val="000B47B7"/>
    <w:rsid w:val="000E662F"/>
    <w:rsid w:val="002354C9"/>
    <w:rsid w:val="0033001C"/>
    <w:rsid w:val="00365641"/>
    <w:rsid w:val="003F4A00"/>
    <w:rsid w:val="00417D52"/>
    <w:rsid w:val="00430B2A"/>
    <w:rsid w:val="00434FC8"/>
    <w:rsid w:val="004462C5"/>
    <w:rsid w:val="004533B7"/>
    <w:rsid w:val="00467DF9"/>
    <w:rsid w:val="00497818"/>
    <w:rsid w:val="004F03B0"/>
    <w:rsid w:val="00502CB8"/>
    <w:rsid w:val="005230C2"/>
    <w:rsid w:val="00552093"/>
    <w:rsid w:val="005A1A12"/>
    <w:rsid w:val="005E5255"/>
    <w:rsid w:val="00612C24"/>
    <w:rsid w:val="0063531F"/>
    <w:rsid w:val="00665230"/>
    <w:rsid w:val="006C199F"/>
    <w:rsid w:val="00703974"/>
    <w:rsid w:val="00716175"/>
    <w:rsid w:val="007341AB"/>
    <w:rsid w:val="00782838"/>
    <w:rsid w:val="007C7053"/>
    <w:rsid w:val="007F288C"/>
    <w:rsid w:val="008175F1"/>
    <w:rsid w:val="00915DD7"/>
    <w:rsid w:val="0095153A"/>
    <w:rsid w:val="009A3219"/>
    <w:rsid w:val="009B7402"/>
    <w:rsid w:val="009F280C"/>
    <w:rsid w:val="00AB48EB"/>
    <w:rsid w:val="00C00A99"/>
    <w:rsid w:val="00C07C88"/>
    <w:rsid w:val="00C11494"/>
    <w:rsid w:val="00C44B6F"/>
    <w:rsid w:val="00C706BD"/>
    <w:rsid w:val="00C745E8"/>
    <w:rsid w:val="00CE184C"/>
    <w:rsid w:val="00CE4AA7"/>
    <w:rsid w:val="00DC3B99"/>
    <w:rsid w:val="00E56C3B"/>
    <w:rsid w:val="00ED7A65"/>
    <w:rsid w:val="00EF13B7"/>
    <w:rsid w:val="00F31F27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10C"/>
  <w15:docId w15:val="{F5D13B67-A2BA-4632-8824-4B99A12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001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F28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24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497818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C8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C7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706B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6B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706BD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6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Lankytojų skaičius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C26-419B-BC64-7A75BC77895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C26-419B-BC64-7A75BC77895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C26-419B-BC64-7A75BC77895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26-419B-BC64-7A75BC77895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C26-419B-BC64-7A75BC778952}"/>
              </c:ext>
            </c:extLst>
          </c:dPt>
          <c:dLbls>
            <c:dLbl>
              <c:idx val="0"/>
              <c:layout>
                <c:manualLayout>
                  <c:x val="-8.5197018104366355E-3"/>
                  <c:y val="-9.5238095238095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26-419B-BC64-7A75BC77895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26-419B-BC64-7A75BC77895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26-419B-BC64-7A75BC77895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26-419B-BC64-7A75BC778952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26-419B-BC64-7A75BC7789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Ežerų žvejybos muziejus ir Antano Truskausko medžioklės ir gamtos muziejus</c:v>
                </c:pt>
                <c:pt idx="1">
                  <c:v>Molėtų krašto tradicinių amatų centras</c:v>
                </c:pt>
                <c:pt idx="2">
                  <c:v>Vienuolyno muziejus</c:v>
                </c:pt>
                <c:pt idx="3">
                  <c:v>Etnografinė sodyba ir dangaus šviesulių stebykla</c:v>
                </c:pt>
                <c:pt idx="4">
                  <c:v>Alantos dvaro muziejus-galerija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13253</c:v>
                </c:pt>
                <c:pt idx="1">
                  <c:v>5731</c:v>
                </c:pt>
                <c:pt idx="2">
                  <c:v>3001</c:v>
                </c:pt>
                <c:pt idx="3">
                  <c:v>2543</c:v>
                </c:pt>
                <c:pt idx="4">
                  <c:v>2459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D-469D-AE60-00874627DF2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Pajamos už bilietus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169329073482389E-2"/>
                  <c:y val="-6.349206349206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5AB-4343-8D90-52B77722A178}"/>
                </c:ext>
              </c:extLst>
            </c:dLbl>
            <c:dLbl>
              <c:idx val="1"/>
              <c:layout>
                <c:manualLayout>
                  <c:x val="1.7039403620873271E-2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5AB-4343-8D90-52B77722A178}"/>
                </c:ext>
              </c:extLst>
            </c:dLbl>
            <c:dLbl>
              <c:idx val="2"/>
              <c:layout>
                <c:manualLayout>
                  <c:x val="1.9169329073482427E-2"/>
                  <c:y val="-9.5238095238096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5AB-4343-8D90-52B77722A178}"/>
                </c:ext>
              </c:extLst>
            </c:dLbl>
            <c:dLbl>
              <c:idx val="3"/>
              <c:layout>
                <c:manualLayout>
                  <c:x val="2.5559105431309747E-2"/>
                  <c:y val="-1.164007717304685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5AB-4343-8D90-52B77722A178}"/>
                </c:ext>
              </c:extLst>
            </c:dLbl>
            <c:dLbl>
              <c:idx val="4"/>
              <c:layout>
                <c:manualLayout>
                  <c:x val="2.3429179978700747E-2"/>
                  <c:y val="-1.2698412698412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5AB-4343-8D90-52B77722A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Ežerų žvejybos muziejus ir Antano Truskausko medžioklės ir gamtos muziejus</c:v>
                </c:pt>
                <c:pt idx="1">
                  <c:v>Molėtų krašto tradicinių amatų centras</c:v>
                </c:pt>
                <c:pt idx="2">
                  <c:v>Vienuolyno muziejus</c:v>
                </c:pt>
                <c:pt idx="3">
                  <c:v>Etnografinė sodyba ir dangaus šviesulių stebykla</c:v>
                </c:pt>
                <c:pt idx="4">
                  <c:v>Alantos dvaro muziejus-galerija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15166</c:v>
                </c:pt>
                <c:pt idx="1">
                  <c:v>7434</c:v>
                </c:pt>
                <c:pt idx="2">
                  <c:v>2412</c:v>
                </c:pt>
                <c:pt idx="3">
                  <c:v>2087</c:v>
                </c:pt>
                <c:pt idx="4">
                  <c:v>1947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5AB-4343-8D90-52B77722A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7935992"/>
        <c:axId val="327935208"/>
        <c:axId val="0"/>
      </c:bar3DChart>
      <c:catAx>
        <c:axId val="32793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27935208"/>
        <c:crosses val="autoZero"/>
        <c:auto val="1"/>
        <c:lblAlgn val="ctr"/>
        <c:lblOffset val="100"/>
        <c:noMultiLvlLbl val="0"/>
      </c:catAx>
      <c:valAx>
        <c:axId val="327935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27935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effectLst/>
              </a:rPr>
              <a:t>KITŲ RAJONŲ 2019 M. BIUDŽETE MUZIEJAMS NUSTATYTOS </a:t>
            </a:r>
            <a:endParaRPr lang="lt-LT" sz="12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effectLst/>
              </a:rPr>
              <a:t>SURENKAMOS PAJAMOS TŪKST.</a:t>
            </a:r>
            <a:r>
              <a:rPr lang="lt-LT" sz="1200" b="1" baseline="0">
                <a:effectLst/>
              </a:rPr>
              <a:t> EURŲ</a:t>
            </a:r>
            <a:endParaRPr lang="lt-LT" sz="1200">
              <a:effectLst/>
            </a:endParaRPr>
          </a:p>
        </c:rich>
      </c:tx>
      <c:layout>
        <c:manualLayout>
          <c:xMode val="edge"/>
          <c:yMode val="edge"/>
          <c:x val="0.22512130189734866"/>
          <c:y val="3.174596464032600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Lapas1!$A$2:$A$10</c:f>
              <c:strCache>
                <c:ptCount val="9"/>
                <c:pt idx="0">
                  <c:v>Utenos kraštotyros muziejus</c:v>
                </c:pt>
                <c:pt idx="1">
                  <c:v>Ukmergė kraštotyros muziejus</c:v>
                </c:pt>
                <c:pt idx="2">
                  <c:v>Zarasų krašto muziejus</c:v>
                </c:pt>
                <c:pt idx="3">
                  <c:v>Švenčionių Nalšios muziejus</c:v>
                </c:pt>
                <c:pt idx="4">
                  <c:v>Molėtų krašto muziejus</c:v>
                </c:pt>
                <c:pt idx="5">
                  <c:v>Panevėžio kraštotyros muziejus, Dailės galerija</c:v>
                </c:pt>
                <c:pt idx="6">
                  <c:v>Visagino kultūros centras (kartu su krašto muziejum)</c:v>
                </c:pt>
                <c:pt idx="7">
                  <c:v>Kupiškio etnografijos muziejus</c:v>
                </c:pt>
                <c:pt idx="8">
                  <c:v>Kėdainių krašto muziejus</c:v>
                </c:pt>
              </c:strCache>
            </c:strRef>
          </c:cat>
          <c:val>
            <c:numRef>
              <c:f>Lapas1!$B$2:$B$10</c:f>
              <c:numCache>
                <c:formatCode>General</c:formatCode>
                <c:ptCount val="9"/>
                <c:pt idx="0">
                  <c:v>5.5</c:v>
                </c:pt>
                <c:pt idx="1">
                  <c:v>38.799999999999997</c:v>
                </c:pt>
                <c:pt idx="2">
                  <c:v>3.8</c:v>
                </c:pt>
                <c:pt idx="3">
                  <c:v>2.2000000000000002</c:v>
                </c:pt>
                <c:pt idx="4">
                  <c:v>45.5</c:v>
                </c:pt>
                <c:pt idx="5">
                  <c:v>6.5</c:v>
                </c:pt>
                <c:pt idx="6">
                  <c:v>37.799999999999997</c:v>
                </c:pt>
                <c:pt idx="7">
                  <c:v>2.2999999999999998</c:v>
                </c:pt>
                <c:pt idx="8">
                  <c:v>33.200000000000003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CD-4314-B325-5B39412591F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Lapas1!$A$2:$A$10</c:f>
              <c:strCache>
                <c:ptCount val="9"/>
                <c:pt idx="0">
                  <c:v>Utenos kraštotyros muziejus</c:v>
                </c:pt>
                <c:pt idx="1">
                  <c:v>Ukmergė kraštotyros muziejus</c:v>
                </c:pt>
                <c:pt idx="2">
                  <c:v>Zarasų krašto muziejus</c:v>
                </c:pt>
                <c:pt idx="3">
                  <c:v>Švenčionių Nalšios muziejus</c:v>
                </c:pt>
                <c:pt idx="4">
                  <c:v>Molėtų krašto muziejus</c:v>
                </c:pt>
                <c:pt idx="5">
                  <c:v>Panevėžio kraštotyros muziejus, Dailės galerija</c:v>
                </c:pt>
                <c:pt idx="6">
                  <c:v>Visagino kultūros centras (kartu su krašto muziejum)</c:v>
                </c:pt>
                <c:pt idx="7">
                  <c:v>Kupiškio etnografijos muziejus</c:v>
                </c:pt>
                <c:pt idx="8">
                  <c:v>Kėdainių krašto muziejus</c:v>
                </c:pt>
              </c:strCache>
            </c:strRef>
          </c:cat>
          <c:val>
            <c:numRef>
              <c:f>Lapas1!$C$2:$C$10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49CD-4314-B325-5B39412591F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Lapas1!$A$2:$A$10</c:f>
              <c:strCache>
                <c:ptCount val="9"/>
                <c:pt idx="0">
                  <c:v>Utenos kraštotyros muziejus</c:v>
                </c:pt>
                <c:pt idx="1">
                  <c:v>Ukmergė kraštotyros muziejus</c:v>
                </c:pt>
                <c:pt idx="2">
                  <c:v>Zarasų krašto muziejus</c:v>
                </c:pt>
                <c:pt idx="3">
                  <c:v>Švenčionių Nalšios muziejus</c:v>
                </c:pt>
                <c:pt idx="4">
                  <c:v>Molėtų krašto muziejus</c:v>
                </c:pt>
                <c:pt idx="5">
                  <c:v>Panevėžio kraštotyros muziejus, Dailės galerija</c:v>
                </c:pt>
                <c:pt idx="6">
                  <c:v>Visagino kultūros centras (kartu su krašto muziejum)</c:v>
                </c:pt>
                <c:pt idx="7">
                  <c:v>Kupiškio etnografijos muziejus</c:v>
                </c:pt>
                <c:pt idx="8">
                  <c:v>Kėdainių krašto muziejus</c:v>
                </c:pt>
              </c:strCache>
            </c:strRef>
          </c:cat>
          <c:val>
            <c:numRef>
              <c:f>Lapas1!$D$2:$D$10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49CD-4314-B325-5B3941259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7937952"/>
        <c:axId val="327941088"/>
        <c:axId val="0"/>
      </c:bar3DChart>
      <c:catAx>
        <c:axId val="32793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27941088"/>
        <c:crosses val="autoZero"/>
        <c:auto val="1"/>
        <c:lblAlgn val="ctr"/>
        <c:lblOffset val="100"/>
        <c:noMultiLvlLbl val="0"/>
      </c:catAx>
      <c:valAx>
        <c:axId val="32794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2793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3856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Matkevičius Gintautas</cp:lastModifiedBy>
  <cp:revision>4</cp:revision>
  <dcterms:created xsi:type="dcterms:W3CDTF">2020-02-14T07:21:00Z</dcterms:created>
  <dcterms:modified xsi:type="dcterms:W3CDTF">2020-02-14T07:35:00Z</dcterms:modified>
</cp:coreProperties>
</file>