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2794B" w:rsidRPr="0052794B">
        <w:rPr>
          <w:b/>
          <w:caps/>
          <w:noProof/>
        </w:rPr>
        <w:t xml:space="preserve">DĖL MOLĖTŲ RAJONO SAVIVALDYBĖS TARYBOS 2018 M. GRUODŽIO 18 D. SPRENDIMO NR. B1-280 „DĖL MOLĖTŲ RAJONO SAVIVALDYBĖS STRATEGINIO VEIKLOS PLANO 2019-2021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794B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C6A34" w:rsidRPr="00794407" w:rsidRDefault="00CC6A34" w:rsidP="00CC6A34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C6A34" w:rsidRPr="00052663" w:rsidRDefault="00CC6A34" w:rsidP="00CC6A34">
      <w:pPr>
        <w:tabs>
          <w:tab w:val="left" w:pos="680"/>
          <w:tab w:val="left" w:pos="1206"/>
        </w:tabs>
        <w:spacing w:line="360" w:lineRule="auto"/>
      </w:pPr>
    </w:p>
    <w:p w:rsidR="009022A8" w:rsidRPr="00052663" w:rsidRDefault="00CC6A34" w:rsidP="009022A8">
      <w:pPr>
        <w:suppressAutoHyphens/>
        <w:spacing w:line="360" w:lineRule="auto"/>
        <w:ind w:firstLine="851"/>
        <w:jc w:val="both"/>
        <w:textAlignment w:val="baseline"/>
      </w:pPr>
      <w:r w:rsidRPr="00052663">
        <w:t xml:space="preserve">Vadovaudamasi Lietuvos Respublikos vietos savivaldos įstatymo </w:t>
      </w:r>
      <w:r w:rsidR="00240527" w:rsidRPr="00052663">
        <w:t>18</w:t>
      </w:r>
      <w:r w:rsidRPr="00052663">
        <w:t xml:space="preserve"> straipsnio </w:t>
      </w:r>
      <w:r w:rsidR="00240527" w:rsidRPr="00052663">
        <w:t>1</w:t>
      </w:r>
      <w:r w:rsidRPr="00052663">
        <w:t xml:space="preserve"> dalimi, </w:t>
      </w:r>
      <w:r w:rsidR="00BF2B74" w:rsidRPr="00052663">
        <w:t xml:space="preserve">2014-2020 </w:t>
      </w:r>
      <w:r w:rsidRPr="00052663">
        <w:t xml:space="preserve">Europos Sąjungos fondų investicijų veiksmų programos 4 prioriteto „Energijos efektyvumo ir atsinaujinančių išteklių energijos gamybos ir naudojimo skatinimas“ 04.5.1-TID-R-516 priemonės „Pėsčiųjų ir dviračių takų rekonstrukcija ir plėtra“ </w:t>
      </w:r>
      <w:r w:rsidRPr="00052663">
        <w:rPr>
          <w:lang w:eastAsia="lt-LT"/>
        </w:rPr>
        <w:t>projektų finansavimo sąlygų aprašo</w:t>
      </w:r>
      <w:r w:rsidRPr="00052663">
        <w:t>, patvirtinto Lietuvos R</w:t>
      </w:r>
      <w:r w:rsidR="00C2138B">
        <w:t xml:space="preserve">espublikos susisiekimo ministro </w:t>
      </w:r>
      <w:r w:rsidRPr="00052663">
        <w:t>2016 m. liepos 28 d. įsakym</w:t>
      </w:r>
      <w:r w:rsidR="00240527" w:rsidRPr="00052663">
        <w:t>u</w:t>
      </w:r>
      <w:r w:rsidRPr="00052663">
        <w:t xml:space="preserve"> Nr. 3-265</w:t>
      </w:r>
      <w:r w:rsidR="00240527" w:rsidRPr="00052663">
        <w:t xml:space="preserve"> </w:t>
      </w:r>
      <w:r w:rsidRPr="00052663">
        <w:t>(1.5 E) „Dėl 2014–2020 metų Europos Sąjungos fondų investicijų veiksmų programos 4 prioriteto „Energijos efektyvumo ir atsinaujinančių išteklių energijos gamybos ir naudojimo skatinimas“ 04.5.1-TID-R-516 priemonės „Pėsčiųjų ir dviračių takų rekonstrukcija ir plėtra“ projektų finansavimo sąlygų aprašo patvirtinimo“, 20.3 punktu</w:t>
      </w:r>
      <w:r w:rsidR="009D2E5C" w:rsidRPr="00052663">
        <w:t>, siekdama sudaryti galimybę dalyvauti pėsčiųjų ir dviračių takų rekonstrukcijos ir plėtros projekt</w:t>
      </w:r>
      <w:r w:rsidR="009022A8" w:rsidRPr="00052663">
        <w:t xml:space="preserve">ų atrankoje bei atitikti specialiuosius projektų atrankos kriterijus, </w:t>
      </w:r>
    </w:p>
    <w:p w:rsidR="00CC6A34" w:rsidRPr="00052663" w:rsidRDefault="00CC6A34" w:rsidP="009022A8">
      <w:pPr>
        <w:suppressAutoHyphens/>
        <w:spacing w:line="360" w:lineRule="auto"/>
        <w:ind w:firstLine="851"/>
        <w:jc w:val="both"/>
        <w:textAlignment w:val="baseline"/>
      </w:pPr>
      <w:r w:rsidRPr="00052663">
        <w:t>Molėtų rajono savivaldybės taryba  n u s p r e n d ž i a:</w:t>
      </w:r>
    </w:p>
    <w:p w:rsidR="00CC6A34" w:rsidRPr="00052663" w:rsidRDefault="008C5023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052663">
        <w:t>P</w:t>
      </w:r>
      <w:r w:rsidR="00AA0356" w:rsidRPr="00052663">
        <w:t>apildyti</w:t>
      </w:r>
      <w:r w:rsidR="00CC6A34" w:rsidRPr="00052663">
        <w:t xml:space="preserve"> Molėtų rajono savivaldybės strategin</w:t>
      </w:r>
      <w:r w:rsidR="007D50AB">
        <w:t>į</w:t>
      </w:r>
      <w:r w:rsidR="00CC6A34" w:rsidRPr="00052663">
        <w:t xml:space="preserve"> veiklos plan</w:t>
      </w:r>
      <w:r w:rsidR="007D50AB">
        <w:t>ą</w:t>
      </w:r>
      <w:r w:rsidR="00CC6A34" w:rsidRPr="00052663">
        <w:t xml:space="preserve"> 2019-2021 metams, patvirtint</w:t>
      </w:r>
      <w:r w:rsidR="007D50AB">
        <w:t>ą</w:t>
      </w:r>
      <w:r w:rsidR="00CC6A34" w:rsidRPr="00052663">
        <w:t xml:space="preserve"> Molėtų rajono savivaldybės tarybos 2018 m. gruodžio 18 d. sprendimu Nr. B1-280 „Dėl Molėtų rajono savivaldybės strateginio veiklos plano 2019-2021 metams patvirtinimo“, </w:t>
      </w:r>
      <w:r w:rsidR="008507FE" w:rsidRPr="00052663">
        <w:t xml:space="preserve">Infrastruktūros objektų ir gyvenamosios aplinkos tvarkymo ir priežiūros programos (Nr. </w:t>
      </w:r>
      <w:r w:rsidR="008507FE" w:rsidRPr="0032387B">
        <w:t>03</w:t>
      </w:r>
      <w:r w:rsidR="0032387B">
        <w:t xml:space="preserve">) </w:t>
      </w:r>
      <w:r w:rsidR="00CC6A34" w:rsidRPr="0032387B">
        <w:t>3</w:t>
      </w:r>
      <w:r w:rsidR="00CC6A34" w:rsidRPr="00052663">
        <w:t xml:space="preserve"> strateginio prioriteto „Infrastruktūra užtikrinanti kokybišką, patogų gyvenimą“ 7 tikslo „Plėtoti kokybišką ir saugią susisie</w:t>
      </w:r>
      <w:r w:rsidR="001C0CCD" w:rsidRPr="00052663">
        <w:t>kimo infrastruktūrą“ 1 uždavinį</w:t>
      </w:r>
      <w:r w:rsidR="00CC6A34" w:rsidRPr="00052663">
        <w:t xml:space="preserve"> „Užtikrinti gerą rajono viešųjų kelių būklę ir vykdyti dviračių i</w:t>
      </w:r>
      <w:r w:rsidR="00D3075A" w:rsidRPr="00052663">
        <w:t>r pėsčiųjų takų plėtrą“ priemone</w:t>
      </w:r>
      <w:r w:rsidR="00CC6A34" w:rsidRPr="00052663">
        <w:t xml:space="preserve"> 03.07.01.30 „</w:t>
      </w:r>
      <w:r w:rsidR="008253A8" w:rsidRPr="00052663">
        <w:t>Susisiekimo sąlygų gerinimas Molėtų mieste įrengiant pėsčiųjų takus tarp Ąžuolų ir Melioratorių gatvių</w:t>
      </w:r>
      <w:r w:rsidR="00CC6A34" w:rsidRPr="00052663">
        <w:t>“ ir ją išdėstyti taip:</w:t>
      </w: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434065" w:rsidRDefault="00434065" w:rsidP="007D50AB">
      <w:pPr>
        <w:tabs>
          <w:tab w:val="left" w:pos="680"/>
          <w:tab w:val="left" w:pos="1206"/>
        </w:tabs>
        <w:spacing w:line="360" w:lineRule="auto"/>
        <w:jc w:val="both"/>
      </w:pPr>
    </w:p>
    <w:p w:rsidR="00CC6A34" w:rsidRPr="007D50AB" w:rsidRDefault="007D50AB" w:rsidP="007D50AB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  <w:r w:rsidRPr="007D50AB">
        <w:lastRenderedPageBreak/>
        <w:t>„</w:t>
      </w:r>
    </w:p>
    <w:tbl>
      <w:tblPr>
        <w:tblW w:w="1005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03"/>
        <w:gridCol w:w="708"/>
        <w:gridCol w:w="709"/>
        <w:gridCol w:w="709"/>
        <w:gridCol w:w="709"/>
        <w:gridCol w:w="1417"/>
        <w:gridCol w:w="567"/>
        <w:gridCol w:w="567"/>
        <w:gridCol w:w="567"/>
        <w:gridCol w:w="1553"/>
      </w:tblGrid>
      <w:tr w:rsidR="00D3075A" w:rsidRPr="001E70EE" w:rsidTr="001C0CCD">
        <w:trPr>
          <w:trHeight w:val="5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textDirection w:val="btLr"/>
          </w:tcPr>
          <w:p w:rsidR="00D3075A" w:rsidRDefault="00D3075A" w:rsidP="00DB6DD7">
            <w:pPr>
              <w:ind w:left="113" w:right="113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Priemonės kodas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Finansavimo šaltinis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2019-ųjų metų asignavimo planas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2020-ųjų metų asignavimų planas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2021-ųjų metų asignavimų planas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1C0CC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Produkto kriterijus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7D7774">
            <w:pPr>
              <w:rPr>
                <w:lang w:eastAsia="lt-LT"/>
              </w:rPr>
            </w:pPr>
            <w:r>
              <w:rPr>
                <w:lang w:eastAsia="lt-LT"/>
              </w:rPr>
              <w:t>Atsakingas priemonės koordinatorius</w:t>
            </w:r>
          </w:p>
        </w:tc>
      </w:tr>
      <w:tr w:rsidR="00D3075A" w:rsidRPr="001E70EE" w:rsidTr="001C0CCD">
        <w:trPr>
          <w:cantSplit/>
          <w:trHeight w:val="1903"/>
        </w:trPr>
        <w:tc>
          <w:tcPr>
            <w:tcW w:w="11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extDirection w:val="btLr"/>
          </w:tcPr>
          <w:p w:rsidR="00D3075A" w:rsidRDefault="00D3075A" w:rsidP="00D3075A">
            <w:pPr>
              <w:ind w:left="113" w:right="113"/>
              <w:jc w:val="center"/>
              <w:rPr>
                <w:bCs/>
                <w:lang w:eastAsia="lt-LT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3075A" w:rsidRDefault="00D3075A" w:rsidP="00D3075A">
            <w:pPr>
              <w:ind w:left="113" w:right="113"/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3075A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3075A" w:rsidRPr="00215DD8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D3075A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D3075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2019-ieji metai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2020-ieji metai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2021-ieji metai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75A" w:rsidRDefault="001C0CCD" w:rsidP="001C0CC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</w:tr>
      <w:tr w:rsidR="001C0CCD" w:rsidRPr="001E70EE" w:rsidTr="001C0CCD">
        <w:trPr>
          <w:trHeight w:val="5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CCD" w:rsidRPr="00F97C5C" w:rsidRDefault="001C0CCD" w:rsidP="007D777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03.07.01.30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CCD" w:rsidRPr="00F97C5C" w:rsidRDefault="001C0CCD" w:rsidP="00DB6DD7">
            <w:pPr>
              <w:ind w:left="131"/>
              <w:rPr>
                <w:lang w:eastAsia="lt-LT"/>
              </w:rPr>
            </w:pPr>
            <w:r w:rsidRPr="00D945A1">
              <w:t>Susisiekimo sąlygų gerinimas Molėtų mieste įrengiant pėsčiųjų takus tarp Ąžuolų ir Melioratorių gatvių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CD" w:rsidRPr="00215DD8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CCD" w:rsidRPr="00F97C5C" w:rsidRDefault="001C0CCD" w:rsidP="00DB6DD7">
            <w:pPr>
              <w:ind w:left="139"/>
              <w:rPr>
                <w:lang w:eastAsia="lt-LT"/>
              </w:rPr>
            </w:pPr>
            <w:r>
              <w:rPr>
                <w:lang w:eastAsia="lt-LT"/>
              </w:rPr>
              <w:t>Pėsčiųjų takų ilgis metrais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rPr>
                <w:lang w:eastAsia="lt-LT"/>
              </w:rPr>
            </w:pPr>
            <w:r>
              <w:rPr>
                <w:lang w:eastAsia="lt-LT"/>
              </w:rPr>
              <w:t>550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0CCD" w:rsidRDefault="001C0CCD" w:rsidP="00DB6DD7">
            <w:pPr>
              <w:ind w:left="138"/>
              <w:rPr>
                <w:lang w:eastAsia="lt-LT"/>
              </w:rPr>
            </w:pPr>
            <w:r>
              <w:rPr>
                <w:lang w:eastAsia="lt-LT"/>
              </w:rPr>
              <w:t>Statybos ir žemės ūkio skyrius</w:t>
            </w:r>
          </w:p>
        </w:tc>
      </w:tr>
      <w:tr w:rsidR="001C0CCD" w:rsidRPr="001E70EE" w:rsidTr="001C0CCD">
        <w:trPr>
          <w:trHeight w:val="5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C0CCD" w:rsidRDefault="001C0CCD" w:rsidP="007D7774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CD" w:rsidRDefault="001C0CCD" w:rsidP="007D7774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SB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CCD" w:rsidRPr="00215DD8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44,54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CD" w:rsidRDefault="001C0CCD" w:rsidP="007D7774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</w:tr>
    </w:tbl>
    <w:p w:rsidR="00CC6A34" w:rsidRDefault="00CC6A34" w:rsidP="00CC6A3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065">
        <w:t xml:space="preserve">        </w:t>
      </w:r>
      <w:r w:rsidR="00434065" w:rsidRPr="00052663">
        <w:t>“</w:t>
      </w:r>
      <w:r>
        <w:tab/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40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52663"/>
    <w:rsid w:val="0006055B"/>
    <w:rsid w:val="00097CFB"/>
    <w:rsid w:val="000F6611"/>
    <w:rsid w:val="001156B7"/>
    <w:rsid w:val="0012091C"/>
    <w:rsid w:val="00132437"/>
    <w:rsid w:val="001C0CCD"/>
    <w:rsid w:val="001E2111"/>
    <w:rsid w:val="00211F14"/>
    <w:rsid w:val="00240527"/>
    <w:rsid w:val="002D6C3C"/>
    <w:rsid w:val="00305758"/>
    <w:rsid w:val="0032387B"/>
    <w:rsid w:val="00341D56"/>
    <w:rsid w:val="00384B4D"/>
    <w:rsid w:val="003975CE"/>
    <w:rsid w:val="003A762C"/>
    <w:rsid w:val="00434065"/>
    <w:rsid w:val="00481AD6"/>
    <w:rsid w:val="00485D98"/>
    <w:rsid w:val="004968FC"/>
    <w:rsid w:val="004A7D37"/>
    <w:rsid w:val="004D19A6"/>
    <w:rsid w:val="004F285B"/>
    <w:rsid w:val="00503B36"/>
    <w:rsid w:val="00504780"/>
    <w:rsid w:val="0052794B"/>
    <w:rsid w:val="00537D2C"/>
    <w:rsid w:val="00561916"/>
    <w:rsid w:val="0057702D"/>
    <w:rsid w:val="005A4424"/>
    <w:rsid w:val="005F38B6"/>
    <w:rsid w:val="006213AE"/>
    <w:rsid w:val="00687932"/>
    <w:rsid w:val="0071431B"/>
    <w:rsid w:val="00776F64"/>
    <w:rsid w:val="00794407"/>
    <w:rsid w:val="00794C2F"/>
    <w:rsid w:val="007951EA"/>
    <w:rsid w:val="00796C66"/>
    <w:rsid w:val="007A3F5C"/>
    <w:rsid w:val="007D50AB"/>
    <w:rsid w:val="007D77E6"/>
    <w:rsid w:val="007E4516"/>
    <w:rsid w:val="008253A8"/>
    <w:rsid w:val="008507FE"/>
    <w:rsid w:val="00872337"/>
    <w:rsid w:val="008A401C"/>
    <w:rsid w:val="008C5023"/>
    <w:rsid w:val="008D3C92"/>
    <w:rsid w:val="009022A8"/>
    <w:rsid w:val="0093412A"/>
    <w:rsid w:val="009B4614"/>
    <w:rsid w:val="009D2E5C"/>
    <w:rsid w:val="009E70D9"/>
    <w:rsid w:val="00A03493"/>
    <w:rsid w:val="00AA0356"/>
    <w:rsid w:val="00AE325A"/>
    <w:rsid w:val="00B86216"/>
    <w:rsid w:val="00BA65BB"/>
    <w:rsid w:val="00BB70B1"/>
    <w:rsid w:val="00BF2B74"/>
    <w:rsid w:val="00C16EA1"/>
    <w:rsid w:val="00C2138B"/>
    <w:rsid w:val="00CC1DF9"/>
    <w:rsid w:val="00CC6A34"/>
    <w:rsid w:val="00CD5057"/>
    <w:rsid w:val="00D03D5A"/>
    <w:rsid w:val="00D3075A"/>
    <w:rsid w:val="00D65251"/>
    <w:rsid w:val="00D74773"/>
    <w:rsid w:val="00D8136A"/>
    <w:rsid w:val="00DB6DD7"/>
    <w:rsid w:val="00DB7660"/>
    <w:rsid w:val="00DC6469"/>
    <w:rsid w:val="00E032E8"/>
    <w:rsid w:val="00EA506E"/>
    <w:rsid w:val="00EE645F"/>
    <w:rsid w:val="00EF6A79"/>
    <w:rsid w:val="00F06EE6"/>
    <w:rsid w:val="00F54307"/>
    <w:rsid w:val="00F64E9C"/>
    <w:rsid w:val="00F953A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92EA228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307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307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569B-8973-4636-8749-EEB488C7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322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Toločkienė Asta</cp:lastModifiedBy>
  <cp:revision>2</cp:revision>
  <cp:lastPrinted>2019-11-14T11:37:00Z</cp:lastPrinted>
  <dcterms:created xsi:type="dcterms:W3CDTF">2019-11-19T07:19:00Z</dcterms:created>
  <dcterms:modified xsi:type="dcterms:W3CDTF">2019-11-19T07:19:00Z</dcterms:modified>
</cp:coreProperties>
</file>