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D958D5" w:rsidRPr="00D958D5">
        <w:rPr>
          <w:b/>
          <w:caps/>
          <w:noProof/>
        </w:rPr>
        <w:t xml:space="preserve">DĖL MOLĖTŲ RAJONO SAVIVALDYBĖS VALDOMŲ </w:t>
      </w:r>
      <w:r w:rsidR="004B562C">
        <w:rPr>
          <w:b/>
          <w:caps/>
          <w:noProof/>
        </w:rPr>
        <w:t>bendrovių</w:t>
      </w:r>
      <w:r w:rsidR="00D958D5" w:rsidRPr="00D958D5">
        <w:rPr>
          <w:b/>
          <w:caps/>
          <w:noProof/>
        </w:rPr>
        <w:t xml:space="preserve"> VADOVŲ DARBO UŽMOKESČIO</w:t>
      </w:r>
      <w:r w:rsidR="008D6209">
        <w:rPr>
          <w:b/>
          <w:caps/>
          <w:noProof/>
        </w:rPr>
        <w:t xml:space="preserve"> ir </w:t>
      </w:r>
      <w:r w:rsidR="008D6209" w:rsidRPr="008D6209">
        <w:rPr>
          <w:b/>
          <w:caps/>
          <w:noProof/>
        </w:rPr>
        <w:t>ATLYGIO VALDYBŲ</w:t>
      </w:r>
      <w:r w:rsidR="008D6209">
        <w:rPr>
          <w:b/>
          <w:caps/>
          <w:noProof/>
        </w:rPr>
        <w:t xml:space="preserve"> </w:t>
      </w:r>
      <w:r w:rsidR="008D6209" w:rsidRPr="008D6209">
        <w:rPr>
          <w:b/>
          <w:caps/>
          <w:noProof/>
        </w:rPr>
        <w:t>NARIAMS NUSTATYMO</w:t>
      </w:r>
      <w:r w:rsidR="00D958D5" w:rsidRPr="00D958D5">
        <w:rPr>
          <w:b/>
          <w:caps/>
          <w:noProof/>
        </w:rPr>
        <w:t xml:space="preserve"> TVARKOS APRAŠO PATVIRTINIMO</w:t>
      </w:r>
      <w:r>
        <w:rPr>
          <w:b/>
          <w:caps/>
        </w:rPr>
        <w:fldChar w:fldCharType="end"/>
      </w:r>
      <w:bookmarkEnd w:id="1"/>
      <w:r w:rsidR="00C16EA1">
        <w:rPr>
          <w:b/>
          <w:caps/>
        </w:rPr>
        <w:br/>
      </w:r>
    </w:p>
    <w:p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2019</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D958D5">
        <w:rPr>
          <w:noProof/>
        </w:rPr>
        <w:t>birželio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006565">
        <w:rPr>
          <w:noProof/>
        </w:rPr>
        <w:t>13</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006565">
        <w:rPr>
          <w:noProof/>
        </w:rPr>
        <w:t>B1-132</w:t>
      </w:r>
      <w:r w:rsidR="004F285B">
        <w:fldChar w:fldCharType="end"/>
      </w:r>
      <w:bookmarkEnd w:id="5"/>
    </w:p>
    <w:p w:rsidR="00C16EA1" w:rsidRDefault="00C16EA1" w:rsidP="00D74773">
      <w:pPr>
        <w:jc w:val="center"/>
      </w:pPr>
      <w:r>
        <w:t>Molėtai</w:t>
      </w:r>
    </w:p>
    <w:p w:rsidR="00C16EA1" w:rsidRDefault="00C16EA1" w:rsidP="00D74773">
      <w:pPr>
        <w:sectPr w:rsidR="00C16EA1">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rsidR="00C16EA1" w:rsidRDefault="00C16EA1" w:rsidP="00D74773">
      <w:pPr>
        <w:tabs>
          <w:tab w:val="left" w:pos="1674"/>
        </w:tabs>
        <w:ind w:firstLine="1247"/>
      </w:pPr>
    </w:p>
    <w:p w:rsidR="00C16EA1" w:rsidRDefault="00C16EA1" w:rsidP="00D74773">
      <w:pPr>
        <w:tabs>
          <w:tab w:val="left" w:pos="680"/>
          <w:tab w:val="left" w:pos="1206"/>
        </w:tabs>
        <w:spacing w:line="360" w:lineRule="auto"/>
        <w:ind w:firstLine="1247"/>
      </w:pPr>
    </w:p>
    <w:p w:rsidR="008D6209" w:rsidRDefault="00D958D5" w:rsidP="00645618">
      <w:pPr>
        <w:tabs>
          <w:tab w:val="left" w:pos="1134"/>
        </w:tabs>
        <w:spacing w:line="360" w:lineRule="auto"/>
        <w:ind w:firstLine="709"/>
        <w:jc w:val="both"/>
        <w:rPr>
          <w:rFonts w:ascii="Thorndale" w:eastAsia="HG Mincho Light J" w:hAnsi="Thorndale"/>
          <w:color w:val="000000"/>
          <w:szCs w:val="20"/>
          <w:lang w:eastAsia="ar-SA"/>
        </w:rPr>
      </w:pPr>
      <w:r w:rsidRPr="00933E18">
        <w:rPr>
          <w:lang w:eastAsia="lt-LT"/>
        </w:rPr>
        <w:t xml:space="preserve">Vadovaudamasi </w:t>
      </w:r>
      <w:r w:rsidRPr="00933E18">
        <w:rPr>
          <w:spacing w:val="-2"/>
          <w:lang w:eastAsia="lt-LT"/>
        </w:rPr>
        <w:t xml:space="preserve">Lietuvos Respublikos vietos savivaldos įstatymo </w:t>
      </w:r>
      <w:r w:rsidRPr="00933E18">
        <w:rPr>
          <w:spacing w:val="-1"/>
          <w:lang w:eastAsia="lt-LT"/>
        </w:rPr>
        <w:t>16 straipsnio 4 dalimi,</w:t>
      </w:r>
      <w:r w:rsidRPr="00933E18">
        <w:rPr>
          <w:lang w:eastAsia="lt-LT"/>
        </w:rPr>
        <w:t xml:space="preserve"> Lietuvos Respublikos Vyriausybės 2002 m. rugpjūčio 23 d. nutarimo Nr. 1341 „Dėl valstybės valdomų įmonių vadovų darbo užmokesčio“ 4 punktu, 5.1. ir 5.2 papunkčiais, </w:t>
      </w:r>
      <w:r w:rsidR="008D6209" w:rsidRPr="008D6209">
        <w:rPr>
          <w:rFonts w:ascii="Thorndale" w:eastAsia="HG Mincho Light J" w:hAnsi="Thorndale"/>
          <w:color w:val="000000"/>
          <w:szCs w:val="20"/>
          <w:lang w:eastAsia="ar-SA"/>
        </w:rPr>
        <w:t xml:space="preserve">Lietuvos Respublikos Vyriausybės 2007 m. birželio 6 d. nutarimo Nr. 567 „Dėl savivaldybių turtinių ir neturtinių teisių įgyvendinimo akcinėse bendrovėse ir uždarose akcinėse bendrovėse“ </w:t>
      </w:r>
      <w:r w:rsidR="004B562C">
        <w:rPr>
          <w:rFonts w:ascii="Thorndale" w:eastAsia="HG Mincho Light J" w:hAnsi="Thorndale"/>
          <w:color w:val="000000"/>
          <w:szCs w:val="20"/>
          <w:lang w:eastAsia="ar-SA"/>
        </w:rPr>
        <w:t>3.1.</w:t>
      </w:r>
      <w:r w:rsidR="008D6209" w:rsidRPr="008D6209">
        <w:rPr>
          <w:rFonts w:ascii="Thorndale" w:eastAsia="HG Mincho Light J" w:hAnsi="Thorndale"/>
          <w:color w:val="000000"/>
          <w:szCs w:val="20"/>
          <w:lang w:eastAsia="ar-SA"/>
        </w:rPr>
        <w:t xml:space="preserve">2 </w:t>
      </w:r>
      <w:r w:rsidR="00645618">
        <w:rPr>
          <w:rFonts w:ascii="Thorndale" w:eastAsia="HG Mincho Light J" w:hAnsi="Thorndale"/>
          <w:color w:val="000000"/>
          <w:szCs w:val="20"/>
          <w:lang w:eastAsia="ar-SA"/>
        </w:rPr>
        <w:t>pa</w:t>
      </w:r>
      <w:r w:rsidR="008D6209" w:rsidRPr="008D6209">
        <w:rPr>
          <w:rFonts w:ascii="Thorndale" w:eastAsia="HG Mincho Light J" w:hAnsi="Thorndale"/>
          <w:color w:val="000000"/>
          <w:szCs w:val="20"/>
          <w:lang w:eastAsia="ar-SA"/>
        </w:rPr>
        <w:t>punk</w:t>
      </w:r>
      <w:r w:rsidR="00645618">
        <w:rPr>
          <w:rFonts w:ascii="Thorndale" w:eastAsia="HG Mincho Light J" w:hAnsi="Thorndale"/>
          <w:color w:val="000000"/>
          <w:szCs w:val="20"/>
          <w:lang w:eastAsia="ar-SA"/>
        </w:rPr>
        <w:t>čiu</w:t>
      </w:r>
      <w:r w:rsidR="00645618" w:rsidRPr="00006565">
        <w:rPr>
          <w:rFonts w:ascii="Thorndale" w:eastAsia="HG Mincho Light J" w:hAnsi="Thorndale"/>
          <w:color w:val="000000"/>
          <w:szCs w:val="20"/>
          <w:lang w:eastAsia="ar-SA"/>
        </w:rPr>
        <w:t>,</w:t>
      </w:r>
      <w:r w:rsidR="008D6209" w:rsidRPr="00006565">
        <w:rPr>
          <w:rFonts w:ascii="Thorndale" w:eastAsia="HG Mincho Light J" w:hAnsi="Thorndale"/>
          <w:color w:val="000000"/>
          <w:szCs w:val="20"/>
          <w:lang w:eastAsia="ar-SA"/>
        </w:rPr>
        <w:t xml:space="preserve"> </w:t>
      </w:r>
      <w:r w:rsidR="001C13C0" w:rsidRPr="00006565">
        <w:rPr>
          <w:rFonts w:ascii="Thorndale" w:eastAsia="HG Mincho Light J" w:hAnsi="Thorndale"/>
          <w:color w:val="000000"/>
          <w:szCs w:val="20"/>
          <w:lang w:eastAsia="ar-SA"/>
        </w:rPr>
        <w:t xml:space="preserve">Lietuvos Respublikos Vyriausybės 2012 m. birželio 6 d. nutarimo Nr. 665 „Dėl </w:t>
      </w:r>
      <w:r w:rsidR="001C13C0" w:rsidRPr="00006565">
        <w:t>valstybės turtinių ir neturtinių teisių įgyvendinimo valstybės valdomose įmonėse tvarkos aprašo patvirtinimo“ 72</w:t>
      </w:r>
      <w:r w:rsidR="00026A5F" w:rsidRPr="00006565">
        <w:t>, 74</w:t>
      </w:r>
      <w:r w:rsidR="001C13C0" w:rsidRPr="00006565">
        <w:t xml:space="preserve"> punkt</w:t>
      </w:r>
      <w:r w:rsidR="00026A5F" w:rsidRPr="00006565">
        <w:t>ais</w:t>
      </w:r>
      <w:r w:rsidR="001C13C0" w:rsidRPr="00006565">
        <w:t>,</w:t>
      </w:r>
    </w:p>
    <w:p w:rsidR="00D958D5" w:rsidRPr="00933E18" w:rsidRDefault="00D958D5" w:rsidP="00645618">
      <w:pPr>
        <w:tabs>
          <w:tab w:val="left" w:pos="1134"/>
        </w:tabs>
        <w:spacing w:line="360" w:lineRule="auto"/>
        <w:ind w:firstLine="709"/>
        <w:jc w:val="both"/>
        <w:rPr>
          <w:spacing w:val="40"/>
          <w:lang w:eastAsia="lt-LT"/>
        </w:rPr>
      </w:pPr>
      <w:r>
        <w:rPr>
          <w:lang w:eastAsia="lt-LT"/>
        </w:rPr>
        <w:t>Molėtų</w:t>
      </w:r>
      <w:r w:rsidRPr="00933E18">
        <w:rPr>
          <w:lang w:eastAsia="lt-LT"/>
        </w:rPr>
        <w:t xml:space="preserve"> rajono savivaldybės taryba </w:t>
      </w:r>
      <w:r w:rsidRPr="00933E18">
        <w:rPr>
          <w:spacing w:val="40"/>
          <w:lang w:eastAsia="lt-LT"/>
        </w:rPr>
        <w:t>nusprendžia:</w:t>
      </w:r>
    </w:p>
    <w:p w:rsidR="00D958D5" w:rsidRPr="00933E18" w:rsidRDefault="00D958D5" w:rsidP="00645618">
      <w:pPr>
        <w:spacing w:line="360" w:lineRule="auto"/>
        <w:ind w:firstLine="709"/>
        <w:jc w:val="both"/>
        <w:rPr>
          <w:lang w:eastAsia="lt-LT"/>
        </w:rPr>
      </w:pPr>
      <w:r w:rsidRPr="00933E18">
        <w:rPr>
          <w:lang w:eastAsia="lt-LT"/>
        </w:rPr>
        <w:t xml:space="preserve">Patvirtinti </w:t>
      </w:r>
      <w:r>
        <w:rPr>
          <w:lang w:eastAsia="lt-LT"/>
        </w:rPr>
        <w:t>Molėtų</w:t>
      </w:r>
      <w:r w:rsidRPr="00933E18">
        <w:rPr>
          <w:lang w:eastAsia="lt-LT"/>
        </w:rPr>
        <w:t xml:space="preserve"> rajono savivaldybės valdom</w:t>
      </w:r>
      <w:r w:rsidR="00645618">
        <w:rPr>
          <w:lang w:eastAsia="lt-LT"/>
        </w:rPr>
        <w:t xml:space="preserve">ų bendrovių </w:t>
      </w:r>
      <w:r w:rsidRPr="00933E18">
        <w:rPr>
          <w:lang w:eastAsia="lt-LT"/>
        </w:rPr>
        <w:t xml:space="preserve">vadovų darbo užmokesčio </w:t>
      </w:r>
      <w:r w:rsidR="00645618">
        <w:rPr>
          <w:lang w:eastAsia="lt-LT"/>
        </w:rPr>
        <w:t xml:space="preserve">ir atlygio valdybų nariams </w:t>
      </w:r>
      <w:r w:rsidRPr="00933E18">
        <w:rPr>
          <w:lang w:eastAsia="lt-LT"/>
        </w:rPr>
        <w:t>nustatymo tvarkos aprašą (pridedama).</w:t>
      </w:r>
    </w:p>
    <w:p w:rsidR="003975CE" w:rsidRDefault="003975CE" w:rsidP="000A339C">
      <w:pPr>
        <w:tabs>
          <w:tab w:val="left" w:pos="680"/>
          <w:tab w:val="left" w:pos="1206"/>
        </w:tabs>
        <w:spacing w:line="360" w:lineRule="auto"/>
        <w:ind w:firstLine="1247"/>
      </w:pPr>
    </w:p>
    <w:p w:rsidR="00C16EA1" w:rsidRDefault="00C16EA1" w:rsidP="009B4614">
      <w:pPr>
        <w:tabs>
          <w:tab w:val="left" w:pos="680"/>
          <w:tab w:val="left" w:pos="1674"/>
        </w:tabs>
        <w:spacing w:line="360" w:lineRule="auto"/>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EndPr/>
        <w:sdtContent>
          <w:r w:rsidR="00006565">
            <w:t>Saulius Jauneika</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D958D5" w:rsidRDefault="00D958D5" w:rsidP="007951EA">
      <w:pPr>
        <w:tabs>
          <w:tab w:val="left" w:pos="7513"/>
        </w:tabs>
      </w:pPr>
    </w:p>
    <w:p w:rsidR="00D958D5" w:rsidRDefault="00D958D5">
      <w:r>
        <w:br w:type="page"/>
      </w:r>
    </w:p>
    <w:p w:rsidR="00D958D5" w:rsidRPr="00933E18" w:rsidRDefault="00D958D5" w:rsidP="00D958D5">
      <w:pPr>
        <w:ind w:left="4536" w:firstLine="720"/>
        <w:rPr>
          <w:rFonts w:eastAsia="Calibri"/>
          <w:lang w:eastAsia="lt-LT"/>
        </w:rPr>
      </w:pPr>
      <w:r w:rsidRPr="00933E18">
        <w:rPr>
          <w:rFonts w:eastAsia="Calibri"/>
          <w:lang w:eastAsia="lt-LT"/>
        </w:rPr>
        <w:lastRenderedPageBreak/>
        <w:t>PATVIRTINTA</w:t>
      </w:r>
    </w:p>
    <w:p w:rsidR="00D958D5" w:rsidRPr="00933E18" w:rsidRDefault="00645618" w:rsidP="00D958D5">
      <w:pPr>
        <w:ind w:left="4536" w:firstLine="720"/>
        <w:rPr>
          <w:rFonts w:eastAsia="Calibri"/>
          <w:lang w:eastAsia="lt-LT"/>
        </w:rPr>
      </w:pPr>
      <w:r>
        <w:rPr>
          <w:rFonts w:eastAsia="Calibri"/>
          <w:lang w:eastAsia="lt-LT"/>
        </w:rPr>
        <w:t>Molėtų</w:t>
      </w:r>
      <w:r w:rsidR="00D958D5" w:rsidRPr="00933E18">
        <w:rPr>
          <w:rFonts w:eastAsia="Calibri"/>
          <w:lang w:eastAsia="lt-LT"/>
        </w:rPr>
        <w:t xml:space="preserve"> rajono savivaldybės tarybos</w:t>
      </w:r>
    </w:p>
    <w:p w:rsidR="00006565" w:rsidRDefault="00D958D5" w:rsidP="00866A68">
      <w:pPr>
        <w:ind w:left="4536" w:firstLine="720"/>
        <w:rPr>
          <w:rFonts w:eastAsia="Calibri"/>
          <w:lang w:eastAsia="lt-LT"/>
        </w:rPr>
      </w:pPr>
      <w:r w:rsidRPr="00933E18">
        <w:rPr>
          <w:rFonts w:eastAsia="Calibri"/>
          <w:lang w:eastAsia="lt-LT"/>
        </w:rPr>
        <w:t xml:space="preserve">2019 m. </w:t>
      </w:r>
      <w:r w:rsidR="00645618">
        <w:rPr>
          <w:rFonts w:eastAsia="Calibri"/>
          <w:lang w:eastAsia="lt-LT"/>
        </w:rPr>
        <w:t>birželio</w:t>
      </w:r>
      <w:r w:rsidRPr="00933E18">
        <w:rPr>
          <w:rFonts w:eastAsia="Calibri"/>
          <w:lang w:eastAsia="lt-LT"/>
        </w:rPr>
        <w:t xml:space="preserve"> </w:t>
      </w:r>
      <w:r w:rsidR="00006565">
        <w:rPr>
          <w:rFonts w:eastAsia="Calibri"/>
          <w:lang w:eastAsia="lt-LT"/>
        </w:rPr>
        <w:t>13</w:t>
      </w:r>
      <w:r w:rsidRPr="00933E18">
        <w:rPr>
          <w:rFonts w:eastAsia="Calibri"/>
          <w:lang w:eastAsia="lt-LT"/>
        </w:rPr>
        <w:t xml:space="preserve"> d. sprendimu</w:t>
      </w:r>
    </w:p>
    <w:p w:rsidR="00D958D5" w:rsidRPr="00866A68" w:rsidRDefault="00D958D5" w:rsidP="00866A68">
      <w:pPr>
        <w:ind w:left="4536" w:firstLine="720"/>
        <w:rPr>
          <w:rFonts w:eastAsia="Calibri"/>
          <w:lang w:eastAsia="lt-LT"/>
        </w:rPr>
      </w:pPr>
      <w:r w:rsidRPr="00933E18">
        <w:rPr>
          <w:rFonts w:eastAsia="Calibri"/>
          <w:lang w:eastAsia="lt-LT"/>
        </w:rPr>
        <w:t xml:space="preserve"> Nr. </w:t>
      </w:r>
      <w:r w:rsidR="00006565">
        <w:rPr>
          <w:rFonts w:eastAsia="Calibri"/>
          <w:lang w:eastAsia="lt-LT"/>
        </w:rPr>
        <w:t>B1-132</w:t>
      </w:r>
    </w:p>
    <w:p w:rsidR="00D958D5" w:rsidRPr="00933E18" w:rsidRDefault="00D958D5" w:rsidP="00D958D5">
      <w:pPr>
        <w:jc w:val="center"/>
        <w:rPr>
          <w:rFonts w:eastAsia="Calibri"/>
          <w:b/>
          <w:shd w:val="clear" w:color="auto" w:fill="00FF00"/>
          <w:lang w:eastAsia="lt-LT"/>
        </w:rPr>
      </w:pPr>
    </w:p>
    <w:p w:rsidR="00D958D5" w:rsidRPr="00645618" w:rsidRDefault="00645618" w:rsidP="00D958D5">
      <w:pPr>
        <w:jc w:val="center"/>
        <w:rPr>
          <w:b/>
          <w:bCs/>
          <w:lang w:eastAsia="lt-LT"/>
        </w:rPr>
      </w:pPr>
      <w:r w:rsidRPr="00645618">
        <w:rPr>
          <w:b/>
          <w:lang w:eastAsia="lt-LT"/>
        </w:rPr>
        <w:t xml:space="preserve">MOLĖTŲ RAJONO SAVIVALDYBĖS VALDOMŲ </w:t>
      </w:r>
      <w:r w:rsidR="004B562C">
        <w:rPr>
          <w:b/>
          <w:lang w:eastAsia="lt-LT"/>
        </w:rPr>
        <w:t>BENDROVIŲ</w:t>
      </w:r>
      <w:r w:rsidRPr="00645618">
        <w:rPr>
          <w:b/>
          <w:lang w:eastAsia="lt-LT"/>
        </w:rPr>
        <w:t xml:space="preserve"> VADOVŲ DARBO UŽMOKESČIO IR ATLYGIO VALDYBŲ NARIAMS NUSTATYMO TVARKOS APRAŠ</w:t>
      </w:r>
      <w:r>
        <w:rPr>
          <w:b/>
          <w:lang w:eastAsia="lt-LT"/>
        </w:rPr>
        <w:t>AS</w:t>
      </w:r>
    </w:p>
    <w:p w:rsidR="00645618" w:rsidRDefault="00645618" w:rsidP="00D958D5">
      <w:pPr>
        <w:jc w:val="center"/>
        <w:rPr>
          <w:b/>
          <w:bCs/>
          <w:lang w:eastAsia="lt-LT"/>
        </w:rPr>
      </w:pPr>
    </w:p>
    <w:p w:rsidR="00D958D5" w:rsidRPr="00933E18" w:rsidRDefault="00D958D5" w:rsidP="00D958D5">
      <w:pPr>
        <w:jc w:val="center"/>
        <w:rPr>
          <w:b/>
          <w:bCs/>
          <w:lang w:eastAsia="lt-LT"/>
        </w:rPr>
      </w:pPr>
      <w:r w:rsidRPr="00933E18">
        <w:rPr>
          <w:b/>
          <w:bCs/>
          <w:lang w:eastAsia="lt-LT"/>
        </w:rPr>
        <w:t>I SKYRIUS</w:t>
      </w:r>
    </w:p>
    <w:p w:rsidR="00D958D5" w:rsidRPr="00933E18" w:rsidRDefault="00D958D5" w:rsidP="00D958D5">
      <w:pPr>
        <w:jc w:val="center"/>
        <w:rPr>
          <w:b/>
          <w:bCs/>
          <w:lang w:eastAsia="lt-LT"/>
        </w:rPr>
      </w:pPr>
      <w:r w:rsidRPr="00933E18">
        <w:rPr>
          <w:b/>
          <w:bCs/>
          <w:lang w:eastAsia="lt-LT"/>
        </w:rPr>
        <w:t>BENDROSIOS NUOSTATOS</w:t>
      </w:r>
    </w:p>
    <w:p w:rsidR="00D958D5" w:rsidRPr="00933E18" w:rsidRDefault="00D958D5" w:rsidP="00D958D5">
      <w:pPr>
        <w:jc w:val="center"/>
        <w:rPr>
          <w:b/>
          <w:bCs/>
          <w:lang w:eastAsia="lt-LT"/>
        </w:rPr>
      </w:pPr>
    </w:p>
    <w:p w:rsidR="00D958D5" w:rsidRPr="00933E18" w:rsidRDefault="00D958D5" w:rsidP="00B03898">
      <w:pPr>
        <w:spacing w:line="360" w:lineRule="auto"/>
        <w:ind w:firstLine="709"/>
        <w:jc w:val="both"/>
        <w:rPr>
          <w:lang w:eastAsia="lt-LT"/>
        </w:rPr>
      </w:pPr>
      <w:r w:rsidRPr="00933E18">
        <w:rPr>
          <w:lang w:eastAsia="lt-LT"/>
        </w:rPr>
        <w:t xml:space="preserve">1. </w:t>
      </w:r>
      <w:r w:rsidR="00645618">
        <w:rPr>
          <w:lang w:eastAsia="lt-LT"/>
        </w:rPr>
        <w:t>Molėtų</w:t>
      </w:r>
      <w:r w:rsidR="00645618" w:rsidRPr="00933E18">
        <w:rPr>
          <w:lang w:eastAsia="lt-LT"/>
        </w:rPr>
        <w:t xml:space="preserve"> rajono savivaldybės</w:t>
      </w:r>
      <w:r w:rsidR="00645618">
        <w:rPr>
          <w:lang w:eastAsia="lt-LT"/>
        </w:rPr>
        <w:t xml:space="preserve"> (toliau – Savivaldybė)</w:t>
      </w:r>
      <w:r w:rsidR="00645618" w:rsidRPr="00933E18">
        <w:rPr>
          <w:lang w:eastAsia="lt-LT"/>
        </w:rPr>
        <w:t xml:space="preserve"> valdom</w:t>
      </w:r>
      <w:r w:rsidR="00645618">
        <w:rPr>
          <w:lang w:eastAsia="lt-LT"/>
        </w:rPr>
        <w:t xml:space="preserve">ų bendrovių (toliau – </w:t>
      </w:r>
      <w:r w:rsidR="00B03898">
        <w:rPr>
          <w:lang w:eastAsia="lt-LT"/>
        </w:rPr>
        <w:t>b</w:t>
      </w:r>
      <w:r w:rsidR="00645618">
        <w:rPr>
          <w:lang w:eastAsia="lt-LT"/>
        </w:rPr>
        <w:t xml:space="preserve">endrovė) </w:t>
      </w:r>
      <w:r w:rsidR="00645618" w:rsidRPr="00933E18">
        <w:rPr>
          <w:lang w:eastAsia="lt-LT"/>
        </w:rPr>
        <w:t xml:space="preserve">vadovų darbo užmokesčio </w:t>
      </w:r>
      <w:r w:rsidR="00645618">
        <w:rPr>
          <w:lang w:eastAsia="lt-LT"/>
        </w:rPr>
        <w:t xml:space="preserve">ir atlygio valdybų nariams </w:t>
      </w:r>
      <w:r w:rsidR="00645618" w:rsidRPr="00933E18">
        <w:rPr>
          <w:lang w:eastAsia="lt-LT"/>
        </w:rPr>
        <w:t xml:space="preserve">nustatymo tvarkos </w:t>
      </w:r>
      <w:r w:rsidRPr="00933E18">
        <w:rPr>
          <w:lang w:eastAsia="lt-LT"/>
        </w:rPr>
        <w:t>aprašas (toliau – aprašas) reglamentuoja bendrovių vadovų darbo užmokesčio</w:t>
      </w:r>
      <w:r w:rsidR="00645618">
        <w:rPr>
          <w:lang w:eastAsia="lt-LT"/>
        </w:rPr>
        <w:t xml:space="preserve"> ir</w:t>
      </w:r>
      <w:r w:rsidRPr="00933E18">
        <w:rPr>
          <w:lang w:eastAsia="lt-LT"/>
        </w:rPr>
        <w:t xml:space="preserve"> </w:t>
      </w:r>
      <w:r w:rsidR="00645618">
        <w:rPr>
          <w:lang w:eastAsia="lt-LT"/>
        </w:rPr>
        <w:t xml:space="preserve">atlygio valdybų nariams </w:t>
      </w:r>
      <w:r w:rsidRPr="00933E18">
        <w:rPr>
          <w:lang w:eastAsia="lt-LT"/>
        </w:rPr>
        <w:t>nustatymo tvarką.</w:t>
      </w:r>
    </w:p>
    <w:p w:rsidR="00D958D5" w:rsidRPr="00933E18" w:rsidRDefault="00D958D5" w:rsidP="00B03898">
      <w:pPr>
        <w:spacing w:line="360" w:lineRule="auto"/>
        <w:ind w:firstLine="709"/>
        <w:jc w:val="both"/>
        <w:rPr>
          <w:lang w:eastAsia="lt-LT"/>
        </w:rPr>
      </w:pPr>
      <w:r w:rsidRPr="00933E18">
        <w:rPr>
          <w:color w:val="000000"/>
          <w:lang w:eastAsia="lt-LT"/>
        </w:rPr>
        <w:t xml:space="preserve">2. Bendrovės vadovo </w:t>
      </w:r>
      <w:r w:rsidRPr="00933E18">
        <w:rPr>
          <w:lang w:eastAsia="lt-LT"/>
        </w:rPr>
        <w:t>darbo užmokestį sudaro mėnesinė alga ir premija.</w:t>
      </w:r>
    </w:p>
    <w:p w:rsidR="00D958D5" w:rsidRPr="00933E18" w:rsidRDefault="00DC5676" w:rsidP="00B03898">
      <w:pPr>
        <w:spacing w:line="360" w:lineRule="auto"/>
        <w:ind w:firstLine="709"/>
        <w:jc w:val="both"/>
        <w:rPr>
          <w:lang w:eastAsia="lt-LT"/>
        </w:rPr>
      </w:pPr>
      <w:r>
        <w:rPr>
          <w:lang w:eastAsia="lt-LT"/>
        </w:rPr>
        <w:t>3</w:t>
      </w:r>
      <w:r w:rsidR="00D958D5" w:rsidRPr="00933E18">
        <w:rPr>
          <w:lang w:eastAsia="lt-LT"/>
        </w:rPr>
        <w:t>. Mėnesinė alga susideda iš pastoviosios dalies ir kintamosios dalies:</w:t>
      </w:r>
    </w:p>
    <w:p w:rsidR="00D958D5" w:rsidRPr="00933E18" w:rsidRDefault="00DC5676" w:rsidP="00B03898">
      <w:pPr>
        <w:spacing w:line="360" w:lineRule="auto"/>
        <w:ind w:firstLine="709"/>
        <w:jc w:val="both"/>
        <w:rPr>
          <w:lang w:eastAsia="lt-LT"/>
        </w:rPr>
      </w:pPr>
      <w:r>
        <w:rPr>
          <w:lang w:eastAsia="lt-LT"/>
        </w:rPr>
        <w:t>3</w:t>
      </w:r>
      <w:r w:rsidR="00D958D5" w:rsidRPr="00933E18">
        <w:rPr>
          <w:lang w:eastAsia="lt-LT"/>
        </w:rPr>
        <w:t xml:space="preserve">.1. </w:t>
      </w:r>
      <w:r w:rsidR="00B03898">
        <w:rPr>
          <w:lang w:eastAsia="lt-LT"/>
        </w:rPr>
        <w:t>p</w:t>
      </w:r>
      <w:r w:rsidR="00D958D5" w:rsidRPr="00933E18">
        <w:rPr>
          <w:lang w:eastAsia="lt-LT"/>
        </w:rPr>
        <w:t>astovioji dalis – nustatoma koeficientais,</w:t>
      </w:r>
      <w:r w:rsidR="00680278">
        <w:rPr>
          <w:lang w:eastAsia="lt-LT"/>
        </w:rPr>
        <w:t xml:space="preserve"> nurodytais aprašo </w:t>
      </w:r>
      <w:r w:rsidR="005B2E6B">
        <w:rPr>
          <w:lang w:eastAsia="lt-LT"/>
        </w:rPr>
        <w:t>8</w:t>
      </w:r>
      <w:r w:rsidR="00680278">
        <w:rPr>
          <w:lang w:eastAsia="lt-LT"/>
        </w:rPr>
        <w:t xml:space="preserve"> punkte,</w:t>
      </w:r>
      <w:r w:rsidR="00D958D5" w:rsidRPr="00933E18">
        <w:rPr>
          <w:lang w:eastAsia="lt-LT"/>
        </w:rPr>
        <w:t xml:space="preserve"> taikant atitinkamų metų Lietuvos Respublikos Seimo nustatytą Lietuvos Respublikos valstybės politikų, teisėjų, valstybės pareigūnų ir valstybės tarnautojų pareiginės algos (atlyginimo) bazinį dydį ir atsižvelgiant į bendrovės kategoriją;</w:t>
      </w:r>
    </w:p>
    <w:p w:rsidR="00D958D5" w:rsidRPr="00933E18" w:rsidRDefault="00DC5676" w:rsidP="00B03898">
      <w:pPr>
        <w:spacing w:line="360" w:lineRule="auto"/>
        <w:ind w:firstLine="709"/>
        <w:jc w:val="both"/>
        <w:rPr>
          <w:lang w:eastAsia="lt-LT"/>
        </w:rPr>
      </w:pPr>
      <w:r>
        <w:rPr>
          <w:lang w:eastAsia="lt-LT"/>
        </w:rPr>
        <w:t>3</w:t>
      </w:r>
      <w:r w:rsidR="00D958D5" w:rsidRPr="00933E18">
        <w:rPr>
          <w:lang w:eastAsia="lt-LT"/>
        </w:rPr>
        <w:t xml:space="preserve">.2. </w:t>
      </w:r>
      <w:r w:rsidR="00B03898">
        <w:rPr>
          <w:lang w:eastAsia="lt-LT"/>
        </w:rPr>
        <w:t>k</w:t>
      </w:r>
      <w:r w:rsidR="00D958D5" w:rsidRPr="00933E18">
        <w:rPr>
          <w:lang w:eastAsia="lt-LT"/>
        </w:rPr>
        <w:t xml:space="preserve">intamoji dalis – priklauso nuo bendrovės tikslų, nustatytų vadovaujantis </w:t>
      </w:r>
      <w:r w:rsidR="00B03898" w:rsidRPr="00B03898">
        <w:rPr>
          <w:lang w:eastAsia="lt-LT"/>
        </w:rPr>
        <w:t>Molėtų rajono savivaldybės kontroliuojamų uždarųjų akcinių bendrovių pasiektų veiklos tikslų atitikties joms nustatytiems veiklos tikslams vertinimo tvarkos apraš</w:t>
      </w:r>
      <w:r w:rsidR="00B03898">
        <w:rPr>
          <w:lang w:eastAsia="lt-LT"/>
        </w:rPr>
        <w:t>u,</w:t>
      </w:r>
      <w:r w:rsidR="00B03898" w:rsidRPr="00B03898">
        <w:rPr>
          <w:lang w:eastAsia="lt-LT"/>
        </w:rPr>
        <w:t xml:space="preserve"> patvirtin</w:t>
      </w:r>
      <w:r w:rsidR="00B03898">
        <w:rPr>
          <w:lang w:eastAsia="lt-LT"/>
        </w:rPr>
        <w:t>tu Molėtų</w:t>
      </w:r>
      <w:r w:rsidR="00D958D5" w:rsidRPr="00933E18">
        <w:rPr>
          <w:lang w:eastAsia="lt-LT"/>
        </w:rPr>
        <w:t xml:space="preserve"> rajono savivaldybės tarybos </w:t>
      </w:r>
      <w:r w:rsidR="00C7792F">
        <w:rPr>
          <w:lang w:eastAsia="lt-LT"/>
        </w:rPr>
        <w:t xml:space="preserve">2018 m. spalio 25 d. </w:t>
      </w:r>
      <w:r w:rsidR="00D958D5" w:rsidRPr="00933E18">
        <w:rPr>
          <w:lang w:eastAsia="lt-LT"/>
        </w:rPr>
        <w:t>sprendimu</w:t>
      </w:r>
      <w:r w:rsidR="00C7792F">
        <w:rPr>
          <w:lang w:eastAsia="lt-LT"/>
        </w:rPr>
        <w:t xml:space="preserve"> Nr. B1-248</w:t>
      </w:r>
      <w:r w:rsidR="00D958D5" w:rsidRPr="00933E18">
        <w:rPr>
          <w:lang w:eastAsia="lt-LT"/>
        </w:rPr>
        <w:t xml:space="preserve"> </w:t>
      </w:r>
      <w:r w:rsidR="00C7792F">
        <w:rPr>
          <w:lang w:eastAsia="lt-LT"/>
        </w:rPr>
        <w:t xml:space="preserve">„Dėl </w:t>
      </w:r>
      <w:r w:rsidR="00C7792F" w:rsidRPr="00B03898">
        <w:rPr>
          <w:lang w:eastAsia="lt-LT"/>
        </w:rPr>
        <w:t>Molėtų rajono savivaldybės kontroliuojamų uždarųjų akcinių bendrovių pasiektų veiklos tikslų atitikties joms nustatytiems veiklos tikslams vertinimo tvarkos apraš</w:t>
      </w:r>
      <w:r w:rsidR="00C7792F">
        <w:rPr>
          <w:lang w:eastAsia="lt-LT"/>
        </w:rPr>
        <w:t>o</w:t>
      </w:r>
      <w:r w:rsidR="00C7792F" w:rsidRPr="00933E18">
        <w:rPr>
          <w:lang w:eastAsia="lt-LT"/>
        </w:rPr>
        <w:t xml:space="preserve"> </w:t>
      </w:r>
      <w:r w:rsidR="00D958D5" w:rsidRPr="00933E18">
        <w:rPr>
          <w:lang w:eastAsia="lt-LT"/>
        </w:rPr>
        <w:t>patvirtin</w:t>
      </w:r>
      <w:r w:rsidR="00C7792F">
        <w:rPr>
          <w:lang w:eastAsia="lt-LT"/>
        </w:rPr>
        <w:t>imo“,</w:t>
      </w:r>
      <w:r w:rsidR="00D958D5" w:rsidRPr="00933E18">
        <w:rPr>
          <w:lang w:eastAsia="lt-LT"/>
        </w:rPr>
        <w:t xml:space="preserve"> įgyvendinimo ir veiklos rezultatų. Kintamoji dalis nustatoma finansiniams metams, atsižvelgiant į praėjusiais finansiniais metais pasiektus konkrečius bendrovės veiklos rezultatus. Mėnesinės algos kintamosios dalies dydį nustato bendrovės valdyba, jeigu bendrovėje valdyba nesudaroma – savininko teises ir pareigas įgyvendinanti institucija. Bendrovės savininko teises ir pareigas įgyvendinančios institucijos arba bendrovės valdybos motyvuotu sprendimu mėnesinės algos kintamoji dalis gali būti nustatoma ir trumpesniam finansinių metų laikotarpiui, atsižvelgiant į praėjusio atitinkamo laikotarpio veiklos rezultatus, kai bendrovės veiklos strategijoje nustatytas terminas veiklos rezultatui pasiekti yra trumpesnis nei finansiniai metai. Mėnesinės algos kintamoji dalis negali viršyti 50 proc. bendrovės vadovui nustatytos mėnesinės algos pastoviosios dalies dydžio.</w:t>
      </w:r>
    </w:p>
    <w:p w:rsidR="00D958D5" w:rsidRPr="00933E18" w:rsidRDefault="00DC5676" w:rsidP="00C7792F">
      <w:pPr>
        <w:spacing w:line="360" w:lineRule="auto"/>
        <w:ind w:firstLine="709"/>
        <w:jc w:val="both"/>
        <w:rPr>
          <w:lang w:eastAsia="lt-LT"/>
        </w:rPr>
      </w:pPr>
      <w:r>
        <w:rPr>
          <w:lang w:eastAsia="lt-LT"/>
        </w:rPr>
        <w:lastRenderedPageBreak/>
        <w:t>4</w:t>
      </w:r>
      <w:r w:rsidR="00D958D5" w:rsidRPr="00933E18">
        <w:rPr>
          <w:lang w:eastAsia="lt-LT"/>
        </w:rPr>
        <w:t xml:space="preserve">.  Bendrovės kategorija nustatoma </w:t>
      </w:r>
      <w:r w:rsidR="00056796">
        <w:rPr>
          <w:lang w:eastAsia="lt-LT"/>
        </w:rPr>
        <w:t xml:space="preserve">vadovaujantis </w:t>
      </w:r>
      <w:r w:rsidR="00056796" w:rsidRPr="00933E18">
        <w:rPr>
          <w:lang w:eastAsia="lt-LT"/>
        </w:rPr>
        <w:t>Lietuvos Respublikos Vyriausybės 2002 m. rugpjūčio 23 d. nutarim</w:t>
      </w:r>
      <w:r w:rsidR="00056796">
        <w:rPr>
          <w:lang w:eastAsia="lt-LT"/>
        </w:rPr>
        <w:t>u</w:t>
      </w:r>
      <w:r w:rsidR="00056796" w:rsidRPr="00933E18">
        <w:rPr>
          <w:lang w:eastAsia="lt-LT"/>
        </w:rPr>
        <w:t xml:space="preserve"> Nr. 1341 „Dėl valstybės valdomų įmonių vadovų darbo užmokesčio“</w:t>
      </w:r>
      <w:r w:rsidR="00056796">
        <w:rPr>
          <w:lang w:eastAsia="lt-LT"/>
        </w:rPr>
        <w:t xml:space="preserve"> (toliau – Vyriausybės nutarimas) ir </w:t>
      </w:r>
      <w:r w:rsidR="00D958D5" w:rsidRPr="00933E18">
        <w:rPr>
          <w:lang w:eastAsia="lt-LT"/>
        </w:rPr>
        <w:t>atsižvelgiant į praė</w:t>
      </w:r>
      <w:r w:rsidR="00056796">
        <w:rPr>
          <w:lang w:eastAsia="lt-LT"/>
        </w:rPr>
        <w:t>jusių finansinių metų rodiklius.</w:t>
      </w:r>
    </w:p>
    <w:p w:rsidR="00D958D5" w:rsidRPr="00933E18" w:rsidRDefault="00DC5676" w:rsidP="002510B2">
      <w:pPr>
        <w:spacing w:line="360" w:lineRule="auto"/>
        <w:ind w:firstLine="709"/>
        <w:jc w:val="both"/>
        <w:rPr>
          <w:lang w:eastAsia="lt-LT"/>
        </w:rPr>
      </w:pPr>
      <w:r>
        <w:rPr>
          <w:lang w:eastAsia="lt-LT"/>
        </w:rPr>
        <w:t>5</w:t>
      </w:r>
      <w:r w:rsidR="00D958D5" w:rsidRPr="00933E18">
        <w:rPr>
          <w:lang w:eastAsia="lt-LT"/>
        </w:rPr>
        <w:t xml:space="preserve">. Bendrovės valdyba arba savininko teises ir pareigas įgyvendinanti institucija, jeigu valdyba nesudaroma, nustato bendrovės vadovo mėnesinę algą (pastoviąją dalį kartu su kintamąja), kuri negali būti didesnė už praėjusių finansinių metų bendrovės </w:t>
      </w:r>
      <w:r w:rsidR="00D958D5" w:rsidRPr="00006565">
        <w:rPr>
          <w:lang w:eastAsia="lt-LT"/>
        </w:rPr>
        <w:t>darbuoto</w:t>
      </w:r>
      <w:r w:rsidR="00BC3B1F" w:rsidRPr="00006565">
        <w:rPr>
          <w:lang w:eastAsia="lt-LT"/>
        </w:rPr>
        <w:t>jų 4 (keturis</w:t>
      </w:r>
      <w:r w:rsidR="00D958D5" w:rsidRPr="00006565">
        <w:rPr>
          <w:lang w:eastAsia="lt-LT"/>
        </w:rPr>
        <w:t>)</w:t>
      </w:r>
      <w:r w:rsidR="00D958D5" w:rsidRPr="00933E18">
        <w:rPr>
          <w:lang w:eastAsia="lt-LT"/>
        </w:rPr>
        <w:t xml:space="preserve"> vidutinius mėnesinius darbo užmokesčius, apskaičiuotus pagal </w:t>
      </w:r>
      <w:r w:rsidR="002510B2">
        <w:rPr>
          <w:lang w:eastAsia="lt-LT"/>
        </w:rPr>
        <w:t xml:space="preserve">Vyriausybės nutarimo </w:t>
      </w:r>
      <w:r w:rsidR="002510B2">
        <w:t>2 punkte nurodytą aprašą.</w:t>
      </w:r>
    </w:p>
    <w:p w:rsidR="00D958D5" w:rsidRDefault="00DC5676" w:rsidP="002510B2">
      <w:pPr>
        <w:spacing w:line="360" w:lineRule="auto"/>
        <w:ind w:firstLine="709"/>
        <w:jc w:val="both"/>
        <w:rPr>
          <w:lang w:eastAsia="lt-LT"/>
        </w:rPr>
      </w:pPr>
      <w:r>
        <w:rPr>
          <w:lang w:eastAsia="lt-LT"/>
        </w:rPr>
        <w:t>6</w:t>
      </w:r>
      <w:r w:rsidR="00D958D5" w:rsidRPr="00933E18">
        <w:rPr>
          <w:lang w:eastAsia="lt-LT"/>
        </w:rPr>
        <w:t>. Bendrovės valdybai arba savininko teises ir pareigas įgyvendinančiai institucijai, jeigu valdyba nesudaroma, priėmus sprendimą mėnesinės algos kintamąją dalį nustatyti trumpesniam nei metų laikotarpiui, bendrovės vadovo mėnesinė alga (pastovioji dalis kartu su kintamąja dalimi) negali būti didesnė už atitinkamo praėjusio laikotarpio</w:t>
      </w:r>
      <w:r w:rsidR="00D958D5" w:rsidRPr="00933E18">
        <w:rPr>
          <w:b/>
          <w:bCs/>
          <w:lang w:eastAsia="lt-LT"/>
        </w:rPr>
        <w:t xml:space="preserve"> </w:t>
      </w:r>
      <w:r w:rsidR="00D958D5" w:rsidRPr="00933E18">
        <w:rPr>
          <w:bCs/>
          <w:lang w:eastAsia="lt-LT"/>
        </w:rPr>
        <w:t>b</w:t>
      </w:r>
      <w:r w:rsidR="00D958D5" w:rsidRPr="00933E18">
        <w:rPr>
          <w:lang w:eastAsia="lt-LT"/>
        </w:rPr>
        <w:t>endrovės darbuotojų 8 (aštuonis) vidutinius mėnesinius darbo užmokesčius.</w:t>
      </w:r>
    </w:p>
    <w:p w:rsidR="00D958D5" w:rsidRPr="00933E18" w:rsidRDefault="00DC5676" w:rsidP="005B2E6B">
      <w:pPr>
        <w:widowControl w:val="0"/>
        <w:adjustRightInd w:val="0"/>
        <w:spacing w:line="360" w:lineRule="auto"/>
        <w:ind w:firstLine="709"/>
        <w:jc w:val="both"/>
        <w:textAlignment w:val="baseline"/>
        <w:rPr>
          <w:noProof/>
          <w:lang w:eastAsia="lt-LT"/>
        </w:rPr>
      </w:pPr>
      <w:r>
        <w:rPr>
          <w:noProof/>
          <w:lang w:eastAsia="lt-LT"/>
        </w:rPr>
        <w:t xml:space="preserve">7. </w:t>
      </w:r>
      <w:r w:rsidR="00680278" w:rsidRPr="00680278">
        <w:rPr>
          <w:noProof/>
          <w:lang w:eastAsia="lt-LT"/>
        </w:rPr>
        <w:t xml:space="preserve">Pradėjus vadovo pareigas eiti kitam vadovui, nustatomas pastoviosios dalies koeficientas, kaip numatyta </w:t>
      </w:r>
      <w:r>
        <w:rPr>
          <w:noProof/>
          <w:lang w:eastAsia="lt-LT"/>
        </w:rPr>
        <w:t>a</w:t>
      </w:r>
      <w:r w:rsidR="00680278" w:rsidRPr="00680278">
        <w:rPr>
          <w:noProof/>
          <w:lang w:eastAsia="lt-LT"/>
        </w:rPr>
        <w:t xml:space="preserve">prašo </w:t>
      </w:r>
      <w:r>
        <w:rPr>
          <w:noProof/>
          <w:lang w:eastAsia="lt-LT"/>
        </w:rPr>
        <w:t>3.1 papunktyje</w:t>
      </w:r>
      <w:r w:rsidR="00680278" w:rsidRPr="00680278">
        <w:rPr>
          <w:noProof/>
          <w:lang w:eastAsia="lt-LT"/>
        </w:rPr>
        <w:t>, o kintamoji dalis</w:t>
      </w:r>
      <w:r w:rsidR="00471DCD">
        <w:rPr>
          <w:noProof/>
          <w:lang w:eastAsia="lt-LT"/>
        </w:rPr>
        <w:t xml:space="preserve"> -</w:t>
      </w:r>
      <w:r w:rsidR="00680278" w:rsidRPr="00680278">
        <w:rPr>
          <w:noProof/>
          <w:lang w:eastAsia="lt-LT"/>
        </w:rPr>
        <w:t xml:space="preserve"> </w:t>
      </w:r>
      <w:r w:rsidR="00471DCD" w:rsidRPr="00680278">
        <w:rPr>
          <w:noProof/>
          <w:lang w:eastAsia="lt-LT"/>
        </w:rPr>
        <w:t xml:space="preserve">kaip numatyta </w:t>
      </w:r>
      <w:r w:rsidR="00471DCD">
        <w:rPr>
          <w:noProof/>
          <w:lang w:eastAsia="lt-LT"/>
        </w:rPr>
        <w:t>a</w:t>
      </w:r>
      <w:r w:rsidR="00471DCD" w:rsidRPr="00680278">
        <w:rPr>
          <w:noProof/>
          <w:lang w:eastAsia="lt-LT"/>
        </w:rPr>
        <w:t xml:space="preserve">prašo </w:t>
      </w:r>
      <w:r w:rsidR="00471DCD">
        <w:rPr>
          <w:noProof/>
          <w:lang w:eastAsia="lt-LT"/>
        </w:rPr>
        <w:t>3.2 papunktyje</w:t>
      </w:r>
      <w:r w:rsidR="00680278" w:rsidRPr="00680278">
        <w:rPr>
          <w:noProof/>
          <w:lang w:eastAsia="lt-LT"/>
        </w:rPr>
        <w:t xml:space="preserve">, </w:t>
      </w:r>
      <w:r w:rsidR="00471DCD">
        <w:rPr>
          <w:noProof/>
          <w:lang w:eastAsia="lt-LT"/>
        </w:rPr>
        <w:t>bet</w:t>
      </w:r>
      <w:r w:rsidR="00680278" w:rsidRPr="00680278">
        <w:rPr>
          <w:noProof/>
          <w:lang w:eastAsia="lt-LT"/>
        </w:rPr>
        <w:t xml:space="preserve"> ne daugiau nei 30 procent</w:t>
      </w:r>
      <w:r w:rsidR="00471DCD">
        <w:rPr>
          <w:noProof/>
          <w:lang w:eastAsia="lt-LT"/>
        </w:rPr>
        <w:t>ų</w:t>
      </w:r>
      <w:r w:rsidR="00680278" w:rsidRPr="00680278">
        <w:rPr>
          <w:noProof/>
          <w:lang w:eastAsia="lt-LT"/>
        </w:rPr>
        <w:t xml:space="preserve"> bendrovės vadovui nustatytos mėnesinės algos pastoviosios dalies dydžio.</w:t>
      </w:r>
    </w:p>
    <w:p w:rsidR="00D958D5" w:rsidRPr="00933E18" w:rsidRDefault="00D958D5" w:rsidP="00D958D5">
      <w:pPr>
        <w:jc w:val="center"/>
        <w:rPr>
          <w:b/>
          <w:bCs/>
          <w:color w:val="000000"/>
          <w:lang w:eastAsia="lt-LT"/>
        </w:rPr>
      </w:pPr>
    </w:p>
    <w:p w:rsidR="00D958D5" w:rsidRPr="00933E18" w:rsidRDefault="00D958D5" w:rsidP="00D958D5">
      <w:pPr>
        <w:jc w:val="center"/>
        <w:rPr>
          <w:b/>
          <w:bCs/>
          <w:lang w:eastAsia="lt-LT"/>
        </w:rPr>
      </w:pPr>
      <w:r w:rsidRPr="00933E18">
        <w:rPr>
          <w:b/>
          <w:bCs/>
          <w:color w:val="000000"/>
          <w:lang w:eastAsia="lt-LT"/>
        </w:rPr>
        <w:t xml:space="preserve">II </w:t>
      </w:r>
      <w:r w:rsidRPr="00933E18">
        <w:rPr>
          <w:b/>
          <w:bCs/>
          <w:lang w:eastAsia="lt-LT"/>
        </w:rPr>
        <w:t>SKYRIUS</w:t>
      </w:r>
    </w:p>
    <w:p w:rsidR="00D958D5" w:rsidRPr="00933E18" w:rsidRDefault="00D958D5" w:rsidP="00D958D5">
      <w:pPr>
        <w:jc w:val="center"/>
        <w:rPr>
          <w:b/>
          <w:bCs/>
          <w:color w:val="000000"/>
          <w:lang w:eastAsia="lt-LT"/>
        </w:rPr>
      </w:pPr>
      <w:r w:rsidRPr="00933E18">
        <w:rPr>
          <w:b/>
          <w:bCs/>
          <w:color w:val="000000"/>
          <w:lang w:eastAsia="lt-LT"/>
        </w:rPr>
        <w:t>BENDROVĖS VADOVO MĖNESINĖS ALGOS PASTOVIOSIOS DALIES DYDŽIŲ SĄRAŠAS</w:t>
      </w:r>
    </w:p>
    <w:p w:rsidR="00D958D5" w:rsidRPr="00933E18" w:rsidRDefault="00D958D5" w:rsidP="00D958D5">
      <w:pPr>
        <w:jc w:val="center"/>
        <w:rPr>
          <w:b/>
          <w:bCs/>
          <w:color w:val="000000"/>
          <w:lang w:eastAsia="lt-LT"/>
        </w:rPr>
      </w:pPr>
    </w:p>
    <w:p w:rsidR="00D958D5" w:rsidRPr="00933E18" w:rsidRDefault="005B2E6B" w:rsidP="006C5903">
      <w:pPr>
        <w:ind w:firstLine="709"/>
        <w:jc w:val="both"/>
        <w:rPr>
          <w:color w:val="000000"/>
          <w:lang w:eastAsia="lt-LT"/>
        </w:rPr>
      </w:pPr>
      <w:r>
        <w:rPr>
          <w:color w:val="000000"/>
          <w:lang w:eastAsia="lt-LT"/>
        </w:rPr>
        <w:t>8</w:t>
      </w:r>
      <w:r w:rsidR="00D958D5" w:rsidRPr="00933E18">
        <w:rPr>
          <w:color w:val="000000"/>
          <w:lang w:eastAsia="lt-LT"/>
        </w:rPr>
        <w:t xml:space="preserve">. Bendrovės vadovo mėnesinės algos pastoviosios dalies dydis nustatomas pagal </w:t>
      </w:r>
      <w:r w:rsidR="00D958D5" w:rsidRPr="00933E18">
        <w:rPr>
          <w:bCs/>
          <w:lang w:eastAsia="lt-LT"/>
        </w:rPr>
        <w:t>lentelėje nurodytus koeficientus:</w:t>
      </w:r>
    </w:p>
    <w:p w:rsidR="00D958D5" w:rsidRPr="00933E18" w:rsidRDefault="00D958D5" w:rsidP="00D958D5">
      <w:pPr>
        <w:ind w:firstLine="720"/>
        <w:rPr>
          <w:bCs/>
          <w:lang w:eastAsia="lt-LT"/>
        </w:rPr>
      </w:pPr>
    </w:p>
    <w:tbl>
      <w:tblPr>
        <w:tblW w:w="96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2580"/>
        <w:gridCol w:w="7057"/>
      </w:tblGrid>
      <w:tr w:rsidR="00D958D5" w:rsidRPr="00933E18" w:rsidTr="00CB36A9">
        <w:trPr>
          <w:jc w:val="center"/>
        </w:trPr>
        <w:tc>
          <w:tcPr>
            <w:tcW w:w="2405" w:type="dxa"/>
            <w:vAlign w:val="center"/>
          </w:tcPr>
          <w:p w:rsidR="00D958D5" w:rsidRPr="00933E18" w:rsidRDefault="00D958D5" w:rsidP="00CB36A9">
            <w:pPr>
              <w:jc w:val="center"/>
              <w:rPr>
                <w:bCs/>
                <w:lang w:eastAsia="lt-LT"/>
              </w:rPr>
            </w:pPr>
            <w:r w:rsidRPr="00933E18">
              <w:rPr>
                <w:bCs/>
                <w:lang w:eastAsia="lt-LT"/>
              </w:rPr>
              <w:t>Bendrovės kategorija</w:t>
            </w:r>
          </w:p>
        </w:tc>
        <w:tc>
          <w:tcPr>
            <w:tcW w:w="6578" w:type="dxa"/>
            <w:vAlign w:val="center"/>
          </w:tcPr>
          <w:p w:rsidR="00D958D5" w:rsidRPr="00933E18" w:rsidRDefault="00D958D5" w:rsidP="00CB36A9">
            <w:pPr>
              <w:jc w:val="center"/>
              <w:rPr>
                <w:bCs/>
                <w:lang w:eastAsia="lt-LT"/>
              </w:rPr>
            </w:pPr>
            <w:r w:rsidRPr="00933E18">
              <w:rPr>
                <w:bCs/>
                <w:lang w:eastAsia="lt-LT"/>
              </w:rPr>
              <w:t xml:space="preserve">Didžiausias leistinas koeficientas </w:t>
            </w:r>
          </w:p>
          <w:p w:rsidR="00D958D5" w:rsidRPr="00933E18" w:rsidRDefault="00D958D5" w:rsidP="00CB36A9">
            <w:pPr>
              <w:jc w:val="center"/>
              <w:rPr>
                <w:bCs/>
                <w:lang w:eastAsia="lt-LT"/>
              </w:rPr>
            </w:pPr>
            <w:r w:rsidRPr="00933E18">
              <w:rPr>
                <w:bCs/>
                <w:lang w:eastAsia="lt-LT"/>
              </w:rPr>
              <w:t>(Lietuvos Respublikos Seimo nustatytais Lietuvos Respublikos valstybės politikų, teisėjų, valstybės pareigūnų ir valstybės tarnautojų pareiginės algos (atlyginimo) baziniais dydžiais)</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w:t>
            </w:r>
          </w:p>
        </w:tc>
        <w:tc>
          <w:tcPr>
            <w:tcW w:w="6578" w:type="dxa"/>
          </w:tcPr>
          <w:p w:rsidR="00D958D5" w:rsidRPr="00933E18" w:rsidRDefault="00D958D5" w:rsidP="00CB36A9">
            <w:pPr>
              <w:jc w:val="center"/>
              <w:rPr>
                <w:bCs/>
                <w:lang w:eastAsia="lt-LT"/>
              </w:rPr>
            </w:pPr>
            <w:r w:rsidRPr="00933E18">
              <w:rPr>
                <w:bCs/>
                <w:lang w:eastAsia="lt-LT"/>
              </w:rPr>
              <w:t>19,2–21,8</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II</w:t>
            </w:r>
          </w:p>
        </w:tc>
        <w:tc>
          <w:tcPr>
            <w:tcW w:w="6578" w:type="dxa"/>
          </w:tcPr>
          <w:p w:rsidR="00D958D5" w:rsidRPr="00933E18" w:rsidRDefault="00D958D5" w:rsidP="00CB36A9">
            <w:pPr>
              <w:jc w:val="center"/>
              <w:rPr>
                <w:bCs/>
                <w:lang w:eastAsia="lt-LT"/>
              </w:rPr>
            </w:pPr>
            <w:r w:rsidRPr="00933E18">
              <w:rPr>
                <w:bCs/>
                <w:lang w:eastAsia="lt-LT"/>
              </w:rPr>
              <w:t>16,2–19,2</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III</w:t>
            </w:r>
          </w:p>
        </w:tc>
        <w:tc>
          <w:tcPr>
            <w:tcW w:w="6578" w:type="dxa"/>
          </w:tcPr>
          <w:p w:rsidR="00D958D5" w:rsidRPr="00933E18" w:rsidRDefault="00D958D5" w:rsidP="00CB36A9">
            <w:pPr>
              <w:jc w:val="center"/>
              <w:rPr>
                <w:bCs/>
                <w:lang w:eastAsia="lt-LT"/>
              </w:rPr>
            </w:pPr>
            <w:r w:rsidRPr="00933E18">
              <w:rPr>
                <w:bCs/>
                <w:lang w:eastAsia="lt-LT"/>
              </w:rPr>
              <w:t>12,7–16,2</w:t>
            </w:r>
          </w:p>
        </w:tc>
      </w:tr>
      <w:tr w:rsidR="00D958D5" w:rsidRPr="00933E18" w:rsidTr="00CB36A9">
        <w:trPr>
          <w:jc w:val="center"/>
        </w:trPr>
        <w:tc>
          <w:tcPr>
            <w:tcW w:w="2405" w:type="dxa"/>
          </w:tcPr>
          <w:p w:rsidR="00D958D5" w:rsidRPr="00933E18" w:rsidRDefault="00D958D5" w:rsidP="00CB36A9">
            <w:pPr>
              <w:jc w:val="center"/>
              <w:rPr>
                <w:bCs/>
                <w:lang w:eastAsia="lt-LT"/>
              </w:rPr>
            </w:pPr>
            <w:r w:rsidRPr="00933E18">
              <w:rPr>
                <w:bCs/>
                <w:lang w:eastAsia="lt-LT"/>
              </w:rPr>
              <w:t>IV</w:t>
            </w:r>
          </w:p>
        </w:tc>
        <w:tc>
          <w:tcPr>
            <w:tcW w:w="6578" w:type="dxa"/>
          </w:tcPr>
          <w:p w:rsidR="00D958D5" w:rsidRPr="00933E18" w:rsidRDefault="00D958D5" w:rsidP="00CB36A9">
            <w:pPr>
              <w:jc w:val="center"/>
              <w:rPr>
                <w:bCs/>
                <w:lang w:eastAsia="lt-LT"/>
              </w:rPr>
            </w:pPr>
            <w:r w:rsidRPr="00933E18">
              <w:rPr>
                <w:bCs/>
                <w:lang w:eastAsia="lt-LT"/>
              </w:rPr>
              <w:t>9,3–12,7</w:t>
            </w:r>
          </w:p>
        </w:tc>
      </w:tr>
    </w:tbl>
    <w:p w:rsidR="00D958D5" w:rsidRPr="00933E18" w:rsidRDefault="00D958D5" w:rsidP="00D958D5">
      <w:pPr>
        <w:tabs>
          <w:tab w:val="left" w:pos="900"/>
        </w:tabs>
        <w:ind w:firstLine="720"/>
        <w:jc w:val="both"/>
        <w:rPr>
          <w:color w:val="000000"/>
          <w:lang w:eastAsia="lt-LT"/>
        </w:rPr>
      </w:pPr>
    </w:p>
    <w:p w:rsidR="00D958D5" w:rsidRPr="00933E18" w:rsidRDefault="00D958D5" w:rsidP="00D958D5">
      <w:pPr>
        <w:jc w:val="center"/>
        <w:rPr>
          <w:b/>
          <w:bCs/>
          <w:color w:val="000000"/>
          <w:lang w:eastAsia="lt-LT"/>
        </w:rPr>
      </w:pPr>
    </w:p>
    <w:p w:rsidR="00D958D5" w:rsidRPr="00933E18" w:rsidRDefault="00D958D5" w:rsidP="00D958D5">
      <w:pPr>
        <w:jc w:val="center"/>
        <w:rPr>
          <w:b/>
          <w:bCs/>
          <w:lang w:eastAsia="lt-LT"/>
        </w:rPr>
      </w:pPr>
      <w:r w:rsidRPr="00933E18">
        <w:rPr>
          <w:b/>
          <w:bCs/>
          <w:color w:val="000000"/>
          <w:lang w:eastAsia="lt-LT"/>
        </w:rPr>
        <w:t>III</w:t>
      </w:r>
      <w:r w:rsidRPr="00933E18">
        <w:rPr>
          <w:b/>
          <w:bCs/>
          <w:lang w:eastAsia="lt-LT"/>
        </w:rPr>
        <w:t xml:space="preserve"> SKYRIUS</w:t>
      </w:r>
    </w:p>
    <w:p w:rsidR="00D958D5" w:rsidRPr="00933E18" w:rsidRDefault="00D958D5" w:rsidP="00D958D5">
      <w:pPr>
        <w:jc w:val="center"/>
        <w:rPr>
          <w:b/>
          <w:bCs/>
          <w:color w:val="000000"/>
          <w:lang w:eastAsia="lt-LT"/>
        </w:rPr>
      </w:pPr>
      <w:r w:rsidRPr="00933E18">
        <w:rPr>
          <w:b/>
          <w:bCs/>
          <w:color w:val="000000"/>
          <w:lang w:eastAsia="lt-LT"/>
        </w:rPr>
        <w:t>BENDROVĖS VADOVO MĖNESINĖS ALGOS KINTAMOSIOS DALIES NUSTATYMAS</w:t>
      </w:r>
    </w:p>
    <w:p w:rsidR="00D958D5" w:rsidRPr="00933E18" w:rsidRDefault="00D958D5" w:rsidP="00D958D5">
      <w:pPr>
        <w:jc w:val="center"/>
        <w:rPr>
          <w:b/>
          <w:bCs/>
          <w:color w:val="000000"/>
          <w:lang w:eastAsia="lt-LT"/>
        </w:rPr>
      </w:pPr>
    </w:p>
    <w:p w:rsidR="00D958D5" w:rsidRPr="00933E18" w:rsidRDefault="005B2E6B" w:rsidP="00471DCD">
      <w:pPr>
        <w:spacing w:line="360" w:lineRule="auto"/>
        <w:ind w:firstLine="709"/>
        <w:jc w:val="both"/>
        <w:rPr>
          <w:color w:val="000000"/>
          <w:lang w:eastAsia="lt-LT"/>
        </w:rPr>
      </w:pPr>
      <w:r>
        <w:rPr>
          <w:color w:val="000000"/>
          <w:lang w:eastAsia="lt-LT"/>
        </w:rPr>
        <w:t>9</w:t>
      </w:r>
      <w:r w:rsidR="00D958D5" w:rsidRPr="00933E18">
        <w:rPr>
          <w:color w:val="000000"/>
          <w:lang w:eastAsia="lt-LT"/>
        </w:rPr>
        <w:t xml:space="preserve">. Bendrovės vadovo mėnesinės </w:t>
      </w:r>
      <w:r w:rsidR="00471DCD">
        <w:rPr>
          <w:color w:val="000000"/>
          <w:lang w:eastAsia="lt-LT"/>
        </w:rPr>
        <w:t>algos kintamosios dalies dydis</w:t>
      </w:r>
      <w:r w:rsidR="00D958D5" w:rsidRPr="00933E18">
        <w:rPr>
          <w:color w:val="000000"/>
          <w:lang w:eastAsia="lt-LT"/>
        </w:rPr>
        <w:t xml:space="preserve"> nustatomas </w:t>
      </w:r>
      <w:r w:rsidR="00383D65" w:rsidRPr="00006565">
        <w:rPr>
          <w:color w:val="000000"/>
          <w:lang w:eastAsia="lt-LT"/>
        </w:rPr>
        <w:t>vienerių metų</w:t>
      </w:r>
      <w:r w:rsidR="00383D65">
        <w:rPr>
          <w:color w:val="000000"/>
          <w:lang w:eastAsia="lt-LT"/>
        </w:rPr>
        <w:t xml:space="preserve"> </w:t>
      </w:r>
      <w:r w:rsidR="00471DCD">
        <w:rPr>
          <w:lang w:eastAsia="lt-LT"/>
        </w:rPr>
        <w:t>laikotarpiui, ne ilgesniam kaip iki kitų finansinių metų birželio 1 d.,</w:t>
      </w:r>
      <w:r w:rsidR="00471DCD" w:rsidRPr="00933E18">
        <w:rPr>
          <w:color w:val="000000"/>
          <w:lang w:eastAsia="lt-LT"/>
        </w:rPr>
        <w:t xml:space="preserve"> </w:t>
      </w:r>
      <w:r w:rsidR="00D958D5" w:rsidRPr="00933E18">
        <w:rPr>
          <w:color w:val="000000"/>
          <w:lang w:eastAsia="lt-LT"/>
        </w:rPr>
        <w:t xml:space="preserve">atsižvelgiant į praėjusiais finansiniais metais pasiektus konkrečius bendrovės veiklos </w:t>
      </w:r>
      <w:r w:rsidR="00D958D5" w:rsidRPr="00933E18">
        <w:rPr>
          <w:color w:val="000000"/>
          <w:lang w:eastAsia="lt-LT"/>
        </w:rPr>
        <w:lastRenderedPageBreak/>
        <w:t>rodiklius (rezultatus) ir priklauso nuo bendrovės tikslų įgyvendinimo bei veiklos rezultatų.</w:t>
      </w:r>
    </w:p>
    <w:p w:rsidR="00BA36F6" w:rsidRDefault="00D958D5" w:rsidP="00BA36F6">
      <w:pPr>
        <w:widowControl w:val="0"/>
        <w:shd w:val="clear" w:color="auto" w:fill="FFFFFF"/>
        <w:tabs>
          <w:tab w:val="num" w:pos="0"/>
          <w:tab w:val="num" w:pos="1440"/>
        </w:tabs>
        <w:suppressAutoHyphens/>
        <w:spacing w:line="360" w:lineRule="auto"/>
        <w:ind w:left="5" w:right="10" w:firstLine="704"/>
        <w:jc w:val="both"/>
        <w:rPr>
          <w:rFonts w:cs="Calibri"/>
          <w:szCs w:val="20"/>
          <w:lang w:eastAsia="ar-SA"/>
        </w:rPr>
      </w:pPr>
      <w:r w:rsidRPr="00933E18">
        <w:rPr>
          <w:lang w:eastAsia="lt-LT"/>
        </w:rPr>
        <w:t>1</w:t>
      </w:r>
      <w:r w:rsidR="005B2E6B">
        <w:rPr>
          <w:lang w:eastAsia="lt-LT"/>
        </w:rPr>
        <w:t>0</w:t>
      </w:r>
      <w:r w:rsidRPr="00933E18">
        <w:rPr>
          <w:lang w:eastAsia="lt-LT"/>
        </w:rPr>
        <w:t xml:space="preserve">. </w:t>
      </w:r>
      <w:r w:rsidR="00BA36F6">
        <w:rPr>
          <w:rFonts w:cs="Calibri"/>
          <w:szCs w:val="20"/>
          <w:lang w:eastAsia="ar-SA"/>
        </w:rPr>
        <w:t>Bendrovės veiklos pasiektų tikslų ir jų uždavinių įvykdymui vertinti nustatomi vertinimo rodikliai:</w:t>
      </w:r>
    </w:p>
    <w:p w:rsidR="00BA36F6" w:rsidRDefault="00BA36F6" w:rsidP="00BA36F6">
      <w:pPr>
        <w:spacing w:line="360" w:lineRule="auto"/>
        <w:ind w:firstLine="709"/>
        <w:jc w:val="both"/>
        <w:rPr>
          <w:caps/>
          <w:szCs w:val="20"/>
          <w:lang w:eastAsia="lt-LT"/>
        </w:rPr>
      </w:pPr>
      <w:r>
        <w:rPr>
          <w:szCs w:val="20"/>
          <w:lang w:eastAsia="lt-LT"/>
        </w:rPr>
        <w:t>1</w:t>
      </w:r>
      <w:r w:rsidR="005B2E6B">
        <w:rPr>
          <w:szCs w:val="20"/>
          <w:lang w:eastAsia="lt-LT"/>
        </w:rPr>
        <w:t>0</w:t>
      </w:r>
      <w:r>
        <w:rPr>
          <w:szCs w:val="20"/>
          <w:lang w:eastAsia="lt-LT"/>
        </w:rPr>
        <w:t>.1. bendrovės ūkinės-finansinės veiklos pelningumas;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.2.  </w:t>
      </w:r>
      <w:r>
        <w:rPr>
          <w:szCs w:val="20"/>
          <w:lang w:eastAsia="lt-LT"/>
        </w:rPr>
        <w:t>suteiktų paslaugų apimties didėjimas;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.3.  </w:t>
      </w:r>
      <w:r>
        <w:rPr>
          <w:szCs w:val="20"/>
          <w:lang w:eastAsia="lt-LT"/>
        </w:rPr>
        <w:t xml:space="preserve">teikiamų paslaugų efektyvumo didinimas; </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.4.  </w:t>
      </w:r>
      <w:r>
        <w:rPr>
          <w:szCs w:val="20"/>
          <w:lang w:eastAsia="lt-LT"/>
        </w:rPr>
        <w:t>papildomų finansavimo šaltinių pritraukimas;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.5. </w:t>
      </w:r>
      <w:r>
        <w:rPr>
          <w:szCs w:val="20"/>
          <w:lang w:eastAsia="lt-LT"/>
        </w:rPr>
        <w:t>investicijų, mažinančių paslaugų sąnaudas, gerinančių paslaugų kokybę, darbuotojų darbo sąlygas (ypač dėmesys kreipiamas į lėšų investicijoms gavimą iš įvairių ES šalių paramos fondų ir jų efektyvų įsisavinimą) panaudojimas;</w:t>
      </w:r>
    </w:p>
    <w:p w:rsidR="00BA36F6" w:rsidRDefault="00BA36F6" w:rsidP="00BA36F6">
      <w:pPr>
        <w:spacing w:line="360" w:lineRule="auto"/>
        <w:ind w:firstLine="709"/>
        <w:jc w:val="both"/>
        <w:rPr>
          <w:caps/>
          <w:szCs w:val="20"/>
          <w:lang w:eastAsia="lt-LT"/>
        </w:rPr>
      </w:pPr>
      <w:r>
        <w:rPr>
          <w:caps/>
          <w:szCs w:val="20"/>
          <w:lang w:eastAsia="lt-LT"/>
        </w:rPr>
        <w:t>1</w:t>
      </w:r>
      <w:r w:rsidR="005B2E6B">
        <w:rPr>
          <w:caps/>
          <w:szCs w:val="20"/>
          <w:lang w:eastAsia="lt-LT"/>
        </w:rPr>
        <w:t>0</w:t>
      </w:r>
      <w:r>
        <w:rPr>
          <w:caps/>
          <w:szCs w:val="20"/>
          <w:lang w:eastAsia="lt-LT"/>
        </w:rPr>
        <w:t xml:space="preserve">.6. </w:t>
      </w:r>
      <w:r>
        <w:rPr>
          <w:szCs w:val="20"/>
          <w:lang w:eastAsia="lt-LT"/>
        </w:rPr>
        <w:t>vartotojų pasitenkinimo teikiamomis paslaugomis lygis bei vartotojų  skundų mažėjimas;</w:t>
      </w:r>
    </w:p>
    <w:p w:rsidR="00D958D5" w:rsidRPr="00672D78" w:rsidRDefault="00BA36F6" w:rsidP="00672D78">
      <w:pPr>
        <w:widowControl w:val="0"/>
        <w:shd w:val="clear" w:color="auto" w:fill="FFFFFF"/>
        <w:suppressAutoHyphens/>
        <w:spacing w:line="360" w:lineRule="auto"/>
        <w:ind w:left="5" w:right="10" w:firstLine="704"/>
        <w:jc w:val="both"/>
        <w:rPr>
          <w:szCs w:val="20"/>
          <w:lang w:eastAsia="ar-SA"/>
        </w:rPr>
      </w:pPr>
      <w:r>
        <w:rPr>
          <w:caps/>
          <w:szCs w:val="20"/>
          <w:lang w:eastAsia="lt-LT"/>
        </w:rPr>
        <w:t>1</w:t>
      </w:r>
      <w:r w:rsidR="005B2E6B">
        <w:rPr>
          <w:caps/>
          <w:szCs w:val="20"/>
          <w:lang w:eastAsia="lt-LT"/>
        </w:rPr>
        <w:t>0</w:t>
      </w:r>
      <w:r>
        <w:rPr>
          <w:caps/>
          <w:szCs w:val="20"/>
          <w:lang w:eastAsia="lt-LT"/>
        </w:rPr>
        <w:t>.7.</w:t>
      </w:r>
      <w:r>
        <w:rPr>
          <w:caps/>
          <w:spacing w:val="-20"/>
          <w:szCs w:val="20"/>
          <w:lang w:eastAsia="lt-LT"/>
        </w:rPr>
        <w:t xml:space="preserve"> </w:t>
      </w:r>
      <w:r>
        <w:rPr>
          <w:szCs w:val="20"/>
          <w:lang w:eastAsia="lt-LT"/>
        </w:rPr>
        <w:t>konkrečių priemonių, susijusių su bendrovių veiklai keliamais tikslais bei uždaviniais, vykdymas.</w:t>
      </w:r>
    </w:p>
    <w:p w:rsidR="00D958D5" w:rsidRPr="00933E18" w:rsidRDefault="00D958D5" w:rsidP="00672D78">
      <w:pPr>
        <w:widowControl w:val="0"/>
        <w:suppressAutoHyphens/>
        <w:spacing w:line="360" w:lineRule="auto"/>
        <w:ind w:right="10" w:firstLine="709"/>
        <w:jc w:val="both"/>
        <w:rPr>
          <w:lang w:eastAsia="lt-LT"/>
        </w:rPr>
      </w:pPr>
      <w:r w:rsidRPr="00933E18">
        <w:rPr>
          <w:lang w:eastAsia="lt-LT"/>
        </w:rPr>
        <w:t>1</w:t>
      </w:r>
      <w:r w:rsidR="005B2E6B">
        <w:rPr>
          <w:lang w:eastAsia="lt-LT"/>
        </w:rPr>
        <w:t>1</w:t>
      </w:r>
      <w:r w:rsidRPr="00933E18">
        <w:rPr>
          <w:lang w:eastAsia="lt-LT"/>
        </w:rPr>
        <w:t>. Konkrečius veiklos užduočių vertinimo rodikli</w:t>
      </w:r>
      <w:r w:rsidR="00672D78">
        <w:rPr>
          <w:lang w:eastAsia="lt-LT"/>
        </w:rPr>
        <w:t>ų dydžius</w:t>
      </w:r>
      <w:r w:rsidRPr="00933E18">
        <w:rPr>
          <w:lang w:eastAsia="lt-LT"/>
        </w:rPr>
        <w:t xml:space="preserve"> nustato ir juos tvirtina bendrovės </w:t>
      </w:r>
      <w:r w:rsidR="00E22E12">
        <w:rPr>
          <w:lang w:eastAsia="lt-LT"/>
        </w:rPr>
        <w:t>valdyba</w:t>
      </w:r>
      <w:r w:rsidRPr="00933E18">
        <w:rPr>
          <w:lang w:eastAsia="lt-LT"/>
        </w:rPr>
        <w:t xml:space="preserve"> </w:t>
      </w:r>
      <w:r w:rsidR="00E22E12" w:rsidRPr="00933E18">
        <w:rPr>
          <w:lang w:eastAsia="lt-LT"/>
        </w:rPr>
        <w:t>arba savininko teises ir pareigas įgyvendinanti institucija, jeigu valdyba nesudaroma</w:t>
      </w:r>
      <w:r w:rsidRPr="00933E18">
        <w:rPr>
          <w:lang w:eastAsia="lt-LT"/>
        </w:rPr>
        <w:t xml:space="preserve">. Atsižvelgiant į bendrovės veiklos specifiką, turi būti nustatomi ne mažiau kaip trys rodikliai. Formuojant siektinas užduotis, gali </w:t>
      </w:r>
      <w:r w:rsidR="00E22E12">
        <w:rPr>
          <w:lang w:eastAsia="lt-LT"/>
        </w:rPr>
        <w:t xml:space="preserve">būti </w:t>
      </w:r>
      <w:r w:rsidRPr="00933E18">
        <w:rPr>
          <w:lang w:eastAsia="lt-LT"/>
        </w:rPr>
        <w:t>nustatyti papildom</w:t>
      </w:r>
      <w:r w:rsidR="00E22E12">
        <w:rPr>
          <w:lang w:eastAsia="lt-LT"/>
        </w:rPr>
        <w:t>i</w:t>
      </w:r>
      <w:r w:rsidRPr="00933E18">
        <w:rPr>
          <w:lang w:eastAsia="lt-LT"/>
        </w:rPr>
        <w:t xml:space="preserve"> rodikli</w:t>
      </w:r>
      <w:r w:rsidR="00E22E12">
        <w:rPr>
          <w:lang w:eastAsia="lt-LT"/>
        </w:rPr>
        <w:t>ai</w:t>
      </w:r>
      <w:r w:rsidRPr="00933E18">
        <w:rPr>
          <w:lang w:eastAsia="lt-LT"/>
        </w:rPr>
        <w:t>, susij</w:t>
      </w:r>
      <w:r w:rsidR="00E22E12">
        <w:rPr>
          <w:lang w:eastAsia="lt-LT"/>
        </w:rPr>
        <w:t>ę</w:t>
      </w:r>
      <w:r w:rsidRPr="00933E18">
        <w:rPr>
          <w:lang w:eastAsia="lt-LT"/>
        </w:rPr>
        <w:t xml:space="preserve"> su bendrovės veiklai keliamais tikslais ir uždaviniais.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 Bendrovės vadovo mėnesinės algos kintamoji dalis nustatoma:</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.1. pasiekus vieną iš nustatytų rodiklių, gali būti nustatoma iki 10 proc. mėnesinės algos pastoviosios dalies dydžio kintamoji dalis;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 xml:space="preserve">.2. pasiekus du iš nustatytų rodiklių, gali būti nustatoma iki </w:t>
      </w:r>
      <w:r w:rsidR="00672D78">
        <w:rPr>
          <w:lang w:eastAsia="lt-LT"/>
        </w:rPr>
        <w:t>3</w:t>
      </w:r>
      <w:r w:rsidRPr="00933E18">
        <w:rPr>
          <w:lang w:eastAsia="lt-LT"/>
        </w:rPr>
        <w:t>0 proc. mėnesinės algos pastoviosios dalies dydžio kintamoji dalis;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2</w:t>
      </w:r>
      <w:r w:rsidRPr="00933E18">
        <w:rPr>
          <w:lang w:eastAsia="lt-LT"/>
        </w:rPr>
        <w:t>.3. pasiekus tris</w:t>
      </w:r>
      <w:r w:rsidR="00672D78">
        <w:rPr>
          <w:lang w:eastAsia="lt-LT"/>
        </w:rPr>
        <w:t xml:space="preserve"> ir daugiau</w:t>
      </w:r>
      <w:r w:rsidRPr="00933E18">
        <w:rPr>
          <w:lang w:eastAsia="lt-LT"/>
        </w:rPr>
        <w:t xml:space="preserve"> iš nustatytų rodiklių, gali būti nustatoma iki </w:t>
      </w:r>
      <w:r w:rsidR="00672D78">
        <w:rPr>
          <w:lang w:eastAsia="lt-LT"/>
        </w:rPr>
        <w:t>5</w:t>
      </w:r>
      <w:r w:rsidRPr="00933E18">
        <w:rPr>
          <w:lang w:eastAsia="lt-LT"/>
        </w:rPr>
        <w:t>0 proc. mėnesinės algos pastoviosios dalies dydžio kintamoj</w:t>
      </w:r>
      <w:r w:rsidR="00672D78">
        <w:rPr>
          <w:lang w:eastAsia="lt-LT"/>
        </w:rPr>
        <w:t>i dalis.</w:t>
      </w:r>
    </w:p>
    <w:p w:rsidR="00D958D5" w:rsidRPr="00933E18" w:rsidRDefault="00D958D5" w:rsidP="00672D78">
      <w:pPr>
        <w:spacing w:line="360" w:lineRule="auto"/>
        <w:ind w:firstLine="709"/>
        <w:jc w:val="both"/>
        <w:rPr>
          <w:lang w:eastAsia="lt-LT"/>
        </w:rPr>
      </w:pPr>
      <w:r w:rsidRPr="00933E18">
        <w:rPr>
          <w:lang w:eastAsia="lt-LT"/>
        </w:rPr>
        <w:t>1</w:t>
      </w:r>
      <w:r w:rsidR="005B2E6B">
        <w:rPr>
          <w:lang w:eastAsia="lt-LT"/>
        </w:rPr>
        <w:t>3</w:t>
      </w:r>
      <w:r w:rsidRPr="00933E18">
        <w:rPr>
          <w:lang w:eastAsia="lt-LT"/>
        </w:rPr>
        <w:t xml:space="preserve">. Bendrovės vadovai kasmet, ne vėliau kaip iki kiekvienų metų balandžio 30 d. bendrovės </w:t>
      </w:r>
      <w:r w:rsidR="00E22E12">
        <w:rPr>
          <w:lang w:eastAsia="lt-LT"/>
        </w:rPr>
        <w:t>valdybai</w:t>
      </w:r>
      <w:r w:rsidR="00E22E12" w:rsidRPr="00933E18">
        <w:rPr>
          <w:lang w:eastAsia="lt-LT"/>
        </w:rPr>
        <w:t xml:space="preserve"> arba savininko teises ir pareigas įgyvendinan</w:t>
      </w:r>
      <w:r w:rsidR="00E22E12">
        <w:rPr>
          <w:lang w:eastAsia="lt-LT"/>
        </w:rPr>
        <w:t>čiai</w:t>
      </w:r>
      <w:r w:rsidR="00E22E12" w:rsidRPr="00933E18">
        <w:rPr>
          <w:lang w:eastAsia="lt-LT"/>
        </w:rPr>
        <w:t xml:space="preserve"> institucija</w:t>
      </w:r>
      <w:r w:rsidR="00E22E12">
        <w:rPr>
          <w:lang w:eastAsia="lt-LT"/>
        </w:rPr>
        <w:t>i</w:t>
      </w:r>
      <w:r w:rsidR="00E22E12" w:rsidRPr="00933E18">
        <w:rPr>
          <w:lang w:eastAsia="lt-LT"/>
        </w:rPr>
        <w:t>, jeigu valdyba nesudaroma</w:t>
      </w:r>
      <w:r w:rsidR="00E22E12">
        <w:rPr>
          <w:lang w:eastAsia="lt-LT"/>
        </w:rPr>
        <w:t>,</w:t>
      </w:r>
      <w:r w:rsidR="00E22E12" w:rsidRPr="00933E18">
        <w:rPr>
          <w:lang w:eastAsia="lt-LT"/>
        </w:rPr>
        <w:t xml:space="preserve"> </w:t>
      </w:r>
      <w:r w:rsidRPr="00933E18">
        <w:rPr>
          <w:lang w:eastAsia="lt-LT"/>
        </w:rPr>
        <w:t xml:space="preserve">teikia bendrovės veiklos strategijos įgyvendinimo metinę </w:t>
      </w:r>
      <w:r w:rsidRPr="00006565">
        <w:rPr>
          <w:lang w:eastAsia="lt-LT"/>
        </w:rPr>
        <w:t>ataskaitą</w:t>
      </w:r>
      <w:r w:rsidR="007845BD" w:rsidRPr="00006565">
        <w:rPr>
          <w:lang w:eastAsia="lt-LT"/>
        </w:rPr>
        <w:t xml:space="preserve">  </w:t>
      </w:r>
      <w:r w:rsidR="00CE5982" w:rsidRPr="00006565">
        <w:rPr>
          <w:lang w:eastAsia="lt-LT"/>
        </w:rPr>
        <w:t>ir</w:t>
      </w:r>
      <w:r w:rsidR="00CE5982">
        <w:rPr>
          <w:lang w:eastAsia="lt-LT"/>
        </w:rPr>
        <w:t xml:space="preserve"> </w:t>
      </w:r>
      <w:r w:rsidR="007845BD">
        <w:rPr>
          <w:lang w:eastAsia="lt-LT"/>
        </w:rPr>
        <w:t>metinį pranešimą</w:t>
      </w:r>
      <w:r w:rsidRPr="00933E18">
        <w:rPr>
          <w:lang w:eastAsia="lt-LT"/>
        </w:rPr>
        <w:t>.</w:t>
      </w:r>
    </w:p>
    <w:p w:rsidR="00D958D5" w:rsidRPr="00933E18" w:rsidRDefault="00D958D5" w:rsidP="00B753A7">
      <w:pPr>
        <w:spacing w:line="360" w:lineRule="auto"/>
        <w:ind w:firstLine="709"/>
        <w:jc w:val="both"/>
        <w:rPr>
          <w:lang w:eastAsia="lt-LT"/>
        </w:rPr>
      </w:pPr>
      <w:r w:rsidRPr="00933E18">
        <w:rPr>
          <w:color w:val="000000"/>
          <w:lang w:eastAsia="lt-LT"/>
        </w:rPr>
        <w:t>1</w:t>
      </w:r>
      <w:r w:rsidR="005B2E6B">
        <w:rPr>
          <w:color w:val="000000"/>
          <w:lang w:eastAsia="lt-LT"/>
        </w:rPr>
        <w:t>4</w:t>
      </w:r>
      <w:r w:rsidRPr="00933E18">
        <w:rPr>
          <w:color w:val="000000"/>
          <w:lang w:eastAsia="lt-LT"/>
        </w:rPr>
        <w:t xml:space="preserve">. Jeigu praėjusių metų bendrovės veiklos finansiniai rezultatai yra neigiami (nepasiektas nei vienas rodiklis), mėnesinės algos kintamoji </w:t>
      </w:r>
      <w:r w:rsidRPr="00933E18">
        <w:rPr>
          <w:lang w:eastAsia="lt-LT"/>
        </w:rPr>
        <w:t xml:space="preserve">dalis nenustatoma, ir tai galioja nuo einamųjų metų </w:t>
      </w:r>
      <w:r w:rsidR="007845BD">
        <w:rPr>
          <w:lang w:eastAsia="lt-LT"/>
        </w:rPr>
        <w:t>birželio</w:t>
      </w:r>
      <w:r w:rsidRPr="00933E18">
        <w:rPr>
          <w:lang w:eastAsia="lt-LT"/>
        </w:rPr>
        <w:t xml:space="preserve"> 1 d. iki kitų metų </w:t>
      </w:r>
      <w:r w:rsidR="007845BD">
        <w:rPr>
          <w:lang w:eastAsia="lt-LT"/>
        </w:rPr>
        <w:t>gegužės</w:t>
      </w:r>
      <w:r w:rsidRPr="00933E18">
        <w:rPr>
          <w:lang w:eastAsia="lt-LT"/>
        </w:rPr>
        <w:t xml:space="preserve"> 30 d.  </w:t>
      </w:r>
    </w:p>
    <w:p w:rsidR="00D958D5" w:rsidRPr="00933E18" w:rsidRDefault="00D958D5" w:rsidP="007845BD">
      <w:pPr>
        <w:spacing w:line="360" w:lineRule="auto"/>
        <w:jc w:val="center"/>
        <w:rPr>
          <w:b/>
          <w:bCs/>
          <w:color w:val="000000"/>
          <w:lang w:eastAsia="lt-LT"/>
        </w:rPr>
      </w:pPr>
    </w:p>
    <w:p w:rsidR="00D958D5" w:rsidRPr="00933E18" w:rsidRDefault="00D958D5" w:rsidP="00D958D5">
      <w:pPr>
        <w:jc w:val="center"/>
        <w:rPr>
          <w:b/>
          <w:bCs/>
          <w:lang w:eastAsia="lt-LT"/>
        </w:rPr>
      </w:pPr>
      <w:r w:rsidRPr="00933E18">
        <w:rPr>
          <w:b/>
          <w:bCs/>
          <w:color w:val="000000"/>
          <w:lang w:eastAsia="lt-LT"/>
        </w:rPr>
        <w:lastRenderedPageBreak/>
        <w:t>IV</w:t>
      </w:r>
      <w:r w:rsidRPr="00933E18">
        <w:rPr>
          <w:b/>
          <w:bCs/>
          <w:lang w:eastAsia="lt-LT"/>
        </w:rPr>
        <w:t xml:space="preserve"> SKYRIUS</w:t>
      </w:r>
    </w:p>
    <w:p w:rsidR="00D958D5" w:rsidRPr="00933E18" w:rsidRDefault="00D958D5" w:rsidP="00D958D5">
      <w:pPr>
        <w:jc w:val="center"/>
        <w:rPr>
          <w:b/>
          <w:bCs/>
          <w:color w:val="000000"/>
          <w:lang w:eastAsia="lt-LT"/>
        </w:rPr>
      </w:pPr>
      <w:r w:rsidRPr="00933E18">
        <w:rPr>
          <w:b/>
          <w:bCs/>
          <w:color w:val="000000"/>
          <w:lang w:eastAsia="lt-LT"/>
        </w:rPr>
        <w:t>KITOS GARANTIJOS</w:t>
      </w:r>
    </w:p>
    <w:p w:rsidR="00D958D5" w:rsidRPr="00933E18" w:rsidRDefault="00D958D5" w:rsidP="00D958D5">
      <w:pPr>
        <w:jc w:val="center"/>
        <w:rPr>
          <w:lang w:eastAsia="lt-LT"/>
        </w:rPr>
      </w:pPr>
    </w:p>
    <w:p w:rsidR="00D958D5" w:rsidRPr="00933E18" w:rsidRDefault="005B2E6B" w:rsidP="00B753A7">
      <w:pPr>
        <w:spacing w:line="360" w:lineRule="auto"/>
        <w:ind w:firstLine="709"/>
        <w:jc w:val="both"/>
        <w:rPr>
          <w:lang w:eastAsia="lt-LT"/>
        </w:rPr>
      </w:pPr>
      <w:r>
        <w:rPr>
          <w:color w:val="000000"/>
          <w:lang w:eastAsia="lt-LT"/>
        </w:rPr>
        <w:t>15</w:t>
      </w:r>
      <w:r w:rsidR="00D958D5" w:rsidRPr="00933E18">
        <w:rPr>
          <w:color w:val="000000"/>
          <w:lang w:eastAsia="lt-LT"/>
        </w:rPr>
        <w:t xml:space="preserve">. Bendrovės valdybos arba </w:t>
      </w:r>
      <w:r w:rsidR="00D958D5" w:rsidRPr="00933E18">
        <w:rPr>
          <w:lang w:eastAsia="lt-LT"/>
        </w:rPr>
        <w:t xml:space="preserve">savininko teises ir pareigas įgyvendinančios institucijos, </w:t>
      </w:r>
      <w:r w:rsidR="00D958D5" w:rsidRPr="00933E18">
        <w:rPr>
          <w:color w:val="000000"/>
          <w:lang w:eastAsia="lt-LT"/>
        </w:rPr>
        <w:t>jeigu valdyba nesudaroma, sprendimu bendrovės vadovui:</w:t>
      </w:r>
    </w:p>
    <w:p w:rsidR="00D958D5" w:rsidRDefault="005B2E6B" w:rsidP="00B753A7">
      <w:pPr>
        <w:spacing w:line="360" w:lineRule="auto"/>
        <w:ind w:firstLine="709"/>
        <w:jc w:val="both"/>
        <w:rPr>
          <w:lang w:eastAsia="lt-LT"/>
        </w:rPr>
      </w:pPr>
      <w:r>
        <w:rPr>
          <w:color w:val="000000"/>
          <w:lang w:eastAsia="lt-LT"/>
        </w:rPr>
        <w:t>15</w:t>
      </w:r>
      <w:r w:rsidR="00D958D5" w:rsidRPr="00933E18">
        <w:rPr>
          <w:color w:val="000000"/>
          <w:lang w:eastAsia="lt-LT"/>
        </w:rPr>
        <w:t>.1. gali būti skiriamos materialinės pašalpos, kai sunki jų materialinė būklė dėl jų pačių ligos, šeimos narių (sutuoktinio, vaiko (įvaikio), motinos (įmotės), tėvo (įtėvio) ligos ar mirties, stichinės nelaimės ar turto netekimo, jeigu yra rašytinis prašymas ir pateikti atitinkami tai patvirtinantys dokumentai, – iki 5 minimaliųjų mėnesinių algų</w:t>
      </w:r>
      <w:r w:rsidR="00D958D5" w:rsidRPr="00933E18">
        <w:rPr>
          <w:lang w:eastAsia="lt-LT"/>
        </w:rPr>
        <w:t>;</w:t>
      </w:r>
    </w:p>
    <w:p w:rsidR="005B2E6B" w:rsidRPr="00933E18" w:rsidRDefault="005B2E6B" w:rsidP="005B2E6B">
      <w:pPr>
        <w:tabs>
          <w:tab w:val="left" w:pos="916"/>
          <w:tab w:val="left" w:pos="1832"/>
          <w:tab w:val="left" w:pos="2748"/>
          <w:tab w:val="left" w:pos="3664"/>
          <w:tab w:val="left" w:pos="4580"/>
          <w:tab w:val="left" w:pos="5496"/>
          <w:tab w:val="left" w:pos="6412"/>
          <w:tab w:val="left" w:pos="7328"/>
          <w:tab w:val="left" w:pos="10076"/>
          <w:tab w:val="left" w:pos="10992"/>
          <w:tab w:val="left" w:pos="11908"/>
          <w:tab w:val="left" w:pos="12824"/>
          <w:tab w:val="left" w:pos="13740"/>
          <w:tab w:val="left" w:pos="14656"/>
        </w:tabs>
        <w:spacing w:line="360" w:lineRule="auto"/>
        <w:ind w:right="-1" w:firstLine="709"/>
        <w:jc w:val="both"/>
        <w:rPr>
          <w:lang w:eastAsia="lt-LT"/>
        </w:rPr>
      </w:pPr>
      <w:r>
        <w:rPr>
          <w:lang w:eastAsia="lt-LT"/>
        </w:rPr>
        <w:t xml:space="preserve">15.2. </w:t>
      </w:r>
      <w:r w:rsidRPr="00933E18">
        <w:rPr>
          <w:lang w:eastAsia="lt-LT"/>
        </w:rPr>
        <w:t xml:space="preserve">už gerus darbo rezultatus ir gerą darbo pareigų vykdymą, pasibaigus finansiniams metams ir patvirtinus finansinių ataskaitų rinkinius, ne daugiau kaip vieną kartą per metus bendrovės vadovui iš bendrovės pelno gali skirti premiją, kurios dydis negali viršyti </w:t>
      </w:r>
      <w:r>
        <w:rPr>
          <w:lang w:eastAsia="lt-LT"/>
        </w:rPr>
        <w:t>2</w:t>
      </w:r>
      <w:r w:rsidRPr="00933E18">
        <w:rPr>
          <w:lang w:eastAsia="lt-LT"/>
        </w:rPr>
        <w:t xml:space="preserve"> (</w:t>
      </w:r>
      <w:r>
        <w:rPr>
          <w:lang w:eastAsia="lt-LT"/>
        </w:rPr>
        <w:t>dviejų</w:t>
      </w:r>
      <w:r w:rsidRPr="00933E18">
        <w:rPr>
          <w:lang w:eastAsia="lt-LT"/>
        </w:rPr>
        <w:t>) jo mėnesinės algos pastoviosios dalies dydžių, arba iš sutaupytų lėšų, skirtų darbo užmokesčiui, – premiją, kurios dydis negali viršyti 1 (vieno) jo mėnesinės algos pastoviosios dalies dydžio.</w:t>
      </w:r>
    </w:p>
    <w:p w:rsidR="005B2E6B" w:rsidRPr="00933E18" w:rsidRDefault="005B2E6B" w:rsidP="00B753A7">
      <w:pPr>
        <w:spacing w:line="360" w:lineRule="auto"/>
        <w:ind w:firstLine="709"/>
        <w:jc w:val="both"/>
        <w:rPr>
          <w:lang w:eastAsia="lt-LT"/>
        </w:rPr>
      </w:pPr>
    </w:p>
    <w:p w:rsidR="00D958D5" w:rsidRPr="005B2E6B" w:rsidRDefault="005B2E6B" w:rsidP="005B2E6B">
      <w:pPr>
        <w:jc w:val="center"/>
        <w:rPr>
          <w:b/>
          <w:bCs/>
          <w:lang w:eastAsia="lt-LT"/>
        </w:rPr>
      </w:pPr>
      <w:r w:rsidRPr="00933E18">
        <w:rPr>
          <w:b/>
          <w:bCs/>
          <w:color w:val="000000"/>
          <w:lang w:eastAsia="lt-LT"/>
        </w:rPr>
        <w:t>IV</w:t>
      </w:r>
      <w:r w:rsidRPr="00933E18">
        <w:rPr>
          <w:b/>
          <w:bCs/>
          <w:lang w:eastAsia="lt-LT"/>
        </w:rPr>
        <w:t xml:space="preserve"> SKYRIUS</w:t>
      </w:r>
    </w:p>
    <w:p w:rsidR="00F6289F" w:rsidRPr="00F6289F" w:rsidRDefault="00F6289F" w:rsidP="00F6289F">
      <w:pPr>
        <w:tabs>
          <w:tab w:val="left" w:pos="284"/>
        </w:tabs>
        <w:jc w:val="center"/>
        <w:rPr>
          <w:b/>
        </w:rPr>
      </w:pPr>
      <w:r w:rsidRPr="00F6289F">
        <w:rPr>
          <w:b/>
        </w:rPr>
        <w:t>BENDROVĖS VALDYBOS NARIO ATLYGIS</w:t>
      </w:r>
    </w:p>
    <w:p w:rsidR="00F6289F" w:rsidRPr="00F6289F" w:rsidRDefault="00F6289F" w:rsidP="00F6289F">
      <w:pPr>
        <w:tabs>
          <w:tab w:val="left" w:pos="284"/>
        </w:tabs>
        <w:jc w:val="center"/>
        <w:rPr>
          <w:b/>
        </w:rPr>
      </w:pPr>
    </w:p>
    <w:p w:rsidR="00F6289F" w:rsidRPr="00F6289F" w:rsidRDefault="00F57F3B" w:rsidP="00F57F3B">
      <w:pPr>
        <w:tabs>
          <w:tab w:val="left" w:pos="284"/>
        </w:tabs>
        <w:spacing w:line="360" w:lineRule="auto"/>
        <w:ind w:firstLine="720"/>
        <w:jc w:val="both"/>
        <w:rPr>
          <w:color w:val="000000"/>
        </w:rPr>
      </w:pPr>
      <w:r>
        <w:t>16</w:t>
      </w:r>
      <w:r w:rsidR="00F6289F" w:rsidRPr="00F6289F">
        <w:t>.</w:t>
      </w:r>
      <w:r w:rsidR="00F6289F" w:rsidRPr="00F6289F">
        <w:rPr>
          <w:szCs w:val="20"/>
        </w:rPr>
        <w:t xml:space="preserve"> </w:t>
      </w:r>
      <w:r w:rsidR="00F6289F" w:rsidRPr="00F6289F">
        <w:rPr>
          <w:color w:val="000000"/>
        </w:rPr>
        <w:t xml:space="preserve">Bendrovės valdybos nario atlygis už jo veiklą valdyboje nustatomas šiame Apraše nustatyta tvarka. </w:t>
      </w:r>
    </w:p>
    <w:p w:rsidR="00F6289F" w:rsidRPr="00006565" w:rsidRDefault="00F57F3B" w:rsidP="00F57F3B">
      <w:pPr>
        <w:tabs>
          <w:tab w:val="left" w:pos="284"/>
        </w:tabs>
        <w:spacing w:line="360" w:lineRule="auto"/>
        <w:ind w:firstLine="720"/>
        <w:jc w:val="both"/>
        <w:rPr>
          <w:strike/>
          <w:color w:val="FF0000"/>
        </w:rPr>
      </w:pPr>
      <w:r w:rsidRPr="00006565">
        <w:rPr>
          <w:color w:val="000000"/>
        </w:rPr>
        <w:t>17</w:t>
      </w:r>
      <w:r w:rsidR="00F6289F" w:rsidRPr="00006565">
        <w:rPr>
          <w:color w:val="000000"/>
        </w:rPr>
        <w:t xml:space="preserve">. Akcijų valdytojas inicijuoja visų bendrovių visuotiniuose akcininkų susirinkimuose klausimo dėl valdybos narių, kurie nėra valstybės tarnautojai ir Savivaldybės administracijos darbuotojai (nepriklausomi), atlygio už jų veiklą valdyboje. </w:t>
      </w:r>
    </w:p>
    <w:p w:rsidR="00F6289F" w:rsidRPr="00006565" w:rsidRDefault="00F57F3B" w:rsidP="00F57F3B">
      <w:pPr>
        <w:tabs>
          <w:tab w:val="left" w:pos="284"/>
        </w:tabs>
        <w:spacing w:line="360" w:lineRule="auto"/>
        <w:ind w:firstLine="720"/>
        <w:jc w:val="both"/>
        <w:rPr>
          <w:color w:val="000000"/>
        </w:rPr>
      </w:pPr>
      <w:r w:rsidRPr="00006565">
        <w:rPr>
          <w:color w:val="000000"/>
        </w:rPr>
        <w:t>18</w:t>
      </w:r>
      <w:r w:rsidR="00F6289F" w:rsidRPr="00006565">
        <w:rPr>
          <w:color w:val="000000"/>
        </w:rPr>
        <w:t>. Bendrovės nepriklausomam valdybos nariui mokamas fiksuotas valandinis atlygis</w:t>
      </w:r>
      <w:r w:rsidR="00D50890" w:rsidRPr="00006565">
        <w:rPr>
          <w:color w:val="000000"/>
        </w:rPr>
        <w:t>, kuris yra lygus bendrovės vadovo atlygio pastovios dalies valandiniam atlygiui</w:t>
      </w:r>
      <w:r w:rsidR="00F6289F" w:rsidRPr="00006565">
        <w:rPr>
          <w:color w:val="000000"/>
        </w:rPr>
        <w:t>, ir jam išmokama suma negali viršyti 1/4 dalies bendrovės vadovui nustatyto viso atlygio, o valdybos pirmininko – 1/3 dalies tokio atlygio dydžio. Visiems valdybos nariams mokamas vienodas valandinis atlygis. Valdybos pirmininko atlygis negali viršyti valdybos nario atlygio daugiau nei 2 kartus.</w:t>
      </w:r>
    </w:p>
    <w:p w:rsidR="00F6289F" w:rsidRPr="00006565" w:rsidRDefault="00866A68" w:rsidP="00F57F3B">
      <w:pPr>
        <w:tabs>
          <w:tab w:val="left" w:pos="284"/>
        </w:tabs>
        <w:spacing w:line="360" w:lineRule="auto"/>
        <w:ind w:firstLine="720"/>
        <w:jc w:val="both"/>
        <w:rPr>
          <w:color w:val="000000"/>
        </w:rPr>
      </w:pPr>
      <w:r w:rsidRPr="00006565">
        <w:rPr>
          <w:color w:val="000000"/>
        </w:rPr>
        <w:t>19</w:t>
      </w:r>
      <w:r w:rsidR="00F6289F" w:rsidRPr="00006565">
        <w:rPr>
          <w:color w:val="000000"/>
        </w:rPr>
        <w:t>. Valdybos nario darbo laiku valdyboje laikomas susipažinimo su valdybos posėdžio medžiaga, pasirengimo valdybos posėdžiui</w:t>
      </w:r>
      <w:r w:rsidR="00D50890" w:rsidRPr="00006565">
        <w:rPr>
          <w:color w:val="000000"/>
        </w:rPr>
        <w:t xml:space="preserve"> laikas, bet ne daugiau 16 val.,</w:t>
      </w:r>
      <w:r w:rsidR="00F6289F" w:rsidRPr="00006565">
        <w:rPr>
          <w:color w:val="000000"/>
        </w:rPr>
        <w:t xml:space="preserve"> ir dalyvavimo valdybos posėdyje laikas.</w:t>
      </w:r>
    </w:p>
    <w:p w:rsidR="001A7BBB" w:rsidRPr="00006565" w:rsidRDefault="00866A68" w:rsidP="00D41CA9">
      <w:pPr>
        <w:tabs>
          <w:tab w:val="left" w:pos="142"/>
        </w:tabs>
        <w:spacing w:line="360" w:lineRule="auto"/>
        <w:ind w:firstLine="720"/>
        <w:jc w:val="both"/>
        <w:rPr>
          <w:color w:val="000000"/>
          <w:lang w:eastAsia="lt-LT"/>
        </w:rPr>
      </w:pPr>
      <w:r w:rsidRPr="00006565">
        <w:rPr>
          <w:color w:val="000000"/>
        </w:rPr>
        <w:t>20</w:t>
      </w:r>
      <w:r w:rsidR="00F6289F" w:rsidRPr="00006565">
        <w:rPr>
          <w:color w:val="000000"/>
        </w:rPr>
        <w:t>. Nepriklausomam valdybos nariui atlygis skiriamas bendrovės visuotinio akcininkų susirinkimo sprendimu ir mokamas iš bendrovės lėšų.</w:t>
      </w:r>
      <w:r w:rsidR="001A7BBB" w:rsidRPr="00006565">
        <w:rPr>
          <w:color w:val="000000"/>
        </w:rPr>
        <w:t xml:space="preserve"> </w:t>
      </w:r>
      <w:r w:rsidR="00D41CA9" w:rsidRPr="00006565">
        <w:rPr>
          <w:color w:val="000000"/>
        </w:rPr>
        <w:t>B</w:t>
      </w:r>
      <w:r w:rsidR="001A7BBB" w:rsidRPr="00006565">
        <w:rPr>
          <w:color w:val="000000"/>
        </w:rPr>
        <w:t xml:space="preserve">endrovė su nepriklausomu </w:t>
      </w:r>
      <w:r w:rsidR="00D41CA9" w:rsidRPr="00006565">
        <w:rPr>
          <w:color w:val="000000"/>
        </w:rPr>
        <w:t>valdybos</w:t>
      </w:r>
      <w:r w:rsidR="001A7BBB" w:rsidRPr="00006565">
        <w:rPr>
          <w:color w:val="000000"/>
        </w:rPr>
        <w:t xml:space="preserve"> nariu sudaro veiklos sutartį, kurioje turi būti aptarta nepriklausomo </w:t>
      </w:r>
      <w:r w:rsidR="00D41CA9" w:rsidRPr="00006565">
        <w:rPr>
          <w:color w:val="000000"/>
        </w:rPr>
        <w:lastRenderedPageBreak/>
        <w:t>valdybos</w:t>
      </w:r>
      <w:r w:rsidR="001A7BBB" w:rsidRPr="00006565">
        <w:rPr>
          <w:color w:val="000000"/>
        </w:rPr>
        <w:t xml:space="preserve"> nario atlygis, teisės ir pareigos, atsakomybė ir kiti su </w:t>
      </w:r>
      <w:r w:rsidR="00D41CA9" w:rsidRPr="00006565">
        <w:rPr>
          <w:color w:val="000000"/>
        </w:rPr>
        <w:t>valdybos</w:t>
      </w:r>
      <w:r w:rsidR="001A7BBB" w:rsidRPr="00006565">
        <w:rPr>
          <w:color w:val="000000"/>
        </w:rPr>
        <w:t xml:space="preserve"> nario veikla susiję klausimai. </w:t>
      </w:r>
    </w:p>
    <w:p w:rsidR="00F6289F" w:rsidRPr="00F6289F" w:rsidRDefault="00866A68" w:rsidP="00D41CA9">
      <w:pPr>
        <w:tabs>
          <w:tab w:val="left" w:pos="284"/>
        </w:tabs>
        <w:spacing w:line="360" w:lineRule="auto"/>
        <w:ind w:firstLine="720"/>
        <w:jc w:val="both"/>
        <w:rPr>
          <w:color w:val="000000"/>
        </w:rPr>
      </w:pPr>
      <w:r w:rsidRPr="00006565">
        <w:rPr>
          <w:color w:val="000000"/>
        </w:rPr>
        <w:t>21</w:t>
      </w:r>
      <w:r w:rsidR="00F6289F" w:rsidRPr="00006565">
        <w:rPr>
          <w:color w:val="000000"/>
        </w:rPr>
        <w:t>. Jeigu bendrovės nepriklausomam valdybos nariui nustatomas atlygis už jo veiklą valdyboje, tai toks atlygis turi būti proporcingai mažinamas arba visai nemokamas, jeigu nepriklausomas</w:t>
      </w:r>
      <w:r w:rsidR="00F6289F" w:rsidRPr="00F6289F">
        <w:rPr>
          <w:color w:val="000000"/>
        </w:rPr>
        <w:t xml:space="preserve"> valdybos narys nedalyvauja valdybos posėdžiuose, nepareiškia nuomonės darbotvarkės klausimais ir nebalsuoja dėl jų.</w:t>
      </w:r>
    </w:p>
    <w:p w:rsidR="00F6289F" w:rsidRPr="00F6289F" w:rsidRDefault="00866A68" w:rsidP="00866A68">
      <w:pPr>
        <w:tabs>
          <w:tab w:val="left" w:pos="284"/>
        </w:tabs>
        <w:spacing w:line="360" w:lineRule="auto"/>
        <w:ind w:firstLine="720"/>
        <w:jc w:val="both"/>
        <w:rPr>
          <w:color w:val="000000"/>
        </w:rPr>
      </w:pPr>
      <w:r>
        <w:rPr>
          <w:color w:val="000000"/>
        </w:rPr>
        <w:t>22</w:t>
      </w:r>
      <w:r w:rsidR="00F6289F" w:rsidRPr="00F6289F">
        <w:rPr>
          <w:color w:val="000000"/>
        </w:rPr>
        <w:t xml:space="preserve">. Tantjemos valdybos nariui nemokamos. </w:t>
      </w:r>
    </w:p>
    <w:p w:rsidR="00D958D5" w:rsidRPr="00933E18" w:rsidRDefault="00D958D5" w:rsidP="00D958D5">
      <w:pPr>
        <w:jc w:val="center"/>
        <w:rPr>
          <w:b/>
          <w:lang w:eastAsia="lt-LT"/>
        </w:rPr>
      </w:pPr>
      <w:r w:rsidRPr="00933E18">
        <w:rPr>
          <w:b/>
          <w:lang w:eastAsia="lt-LT"/>
        </w:rPr>
        <w:t>VI SKYRIUS</w:t>
      </w:r>
    </w:p>
    <w:p w:rsidR="00D958D5" w:rsidRPr="00933E18" w:rsidRDefault="00D958D5" w:rsidP="00D958D5">
      <w:pPr>
        <w:jc w:val="center"/>
        <w:rPr>
          <w:b/>
          <w:lang w:eastAsia="lt-LT"/>
        </w:rPr>
      </w:pPr>
      <w:r w:rsidRPr="00933E18">
        <w:rPr>
          <w:b/>
          <w:lang w:eastAsia="lt-LT"/>
        </w:rPr>
        <w:t>BAIGIAMOSIOS NUOSTATOS</w:t>
      </w:r>
    </w:p>
    <w:p w:rsidR="00D958D5" w:rsidRPr="00933E18" w:rsidRDefault="00D958D5" w:rsidP="00D958D5">
      <w:pPr>
        <w:ind w:firstLine="720"/>
        <w:jc w:val="both"/>
        <w:rPr>
          <w:lang w:eastAsia="lt-LT"/>
        </w:rPr>
      </w:pPr>
    </w:p>
    <w:p w:rsidR="00866A68" w:rsidRPr="00F6289F" w:rsidRDefault="00D41CA9" w:rsidP="00866A68">
      <w:pPr>
        <w:tabs>
          <w:tab w:val="left" w:pos="284"/>
        </w:tabs>
        <w:spacing w:line="360" w:lineRule="auto"/>
        <w:ind w:firstLine="720"/>
        <w:jc w:val="both"/>
        <w:rPr>
          <w:color w:val="000000"/>
        </w:rPr>
      </w:pPr>
      <w:r w:rsidRPr="00D41CA9">
        <w:rPr>
          <w:color w:val="000000"/>
          <w:lang w:eastAsia="lt-LT"/>
        </w:rPr>
        <w:t>23</w:t>
      </w:r>
      <w:r>
        <w:rPr>
          <w:color w:val="000000"/>
          <w:lang w:eastAsia="lt-LT"/>
        </w:rPr>
        <w:t>.</w:t>
      </w:r>
      <w:r w:rsidR="00D958D5" w:rsidRPr="00933E18">
        <w:rPr>
          <w:color w:val="000000"/>
          <w:lang w:eastAsia="lt-LT"/>
        </w:rPr>
        <w:t xml:space="preserve"> </w:t>
      </w:r>
      <w:r w:rsidR="00866A68" w:rsidRPr="00F6289F">
        <w:rPr>
          <w:color w:val="000000"/>
        </w:rPr>
        <w:t>Informacija apie esamų bendrovės nepriklausomų valdybos narių atlygį skelbiama bendrovės interneto svetainėje.</w:t>
      </w:r>
    </w:p>
    <w:p w:rsidR="00D958D5" w:rsidRPr="00933E18" w:rsidRDefault="00D41CA9" w:rsidP="00866A68">
      <w:pPr>
        <w:spacing w:line="360" w:lineRule="auto"/>
        <w:ind w:firstLine="709"/>
        <w:jc w:val="both"/>
        <w:rPr>
          <w:lang w:eastAsia="lt-LT"/>
        </w:rPr>
      </w:pPr>
      <w:r w:rsidRPr="00D41CA9">
        <w:rPr>
          <w:lang w:eastAsia="lt-LT"/>
        </w:rPr>
        <w:t>24</w:t>
      </w:r>
      <w:r>
        <w:rPr>
          <w:lang w:eastAsia="lt-LT"/>
        </w:rPr>
        <w:t>.</w:t>
      </w:r>
      <w:bookmarkStart w:id="7" w:name="_GoBack"/>
      <w:bookmarkEnd w:id="7"/>
      <w:r w:rsidR="00D958D5" w:rsidRPr="00933E18">
        <w:rPr>
          <w:lang w:eastAsia="lt-LT"/>
        </w:rPr>
        <w:t xml:space="preserve"> Aprašas gali būti keičiamas ir pripažįstamas netekusius galios</w:t>
      </w:r>
      <w:r w:rsidR="00D958D5" w:rsidRPr="00933E18">
        <w:rPr>
          <w:b/>
          <w:lang w:eastAsia="lt-LT"/>
        </w:rPr>
        <w:t xml:space="preserve"> </w:t>
      </w:r>
      <w:r w:rsidR="00D958D5" w:rsidRPr="00933E18">
        <w:rPr>
          <w:lang w:eastAsia="lt-LT"/>
        </w:rPr>
        <w:t>savivaldybės tarybos sprendimu.</w:t>
      </w:r>
    </w:p>
    <w:p w:rsidR="00D958D5" w:rsidRPr="00933E18" w:rsidRDefault="00D958D5" w:rsidP="00D958D5">
      <w:pPr>
        <w:ind w:firstLine="62"/>
        <w:jc w:val="center"/>
        <w:rPr>
          <w:lang w:eastAsia="lt-LT"/>
        </w:rPr>
      </w:pPr>
      <w:r w:rsidRPr="00933E18">
        <w:rPr>
          <w:lang w:eastAsia="lt-LT"/>
        </w:rPr>
        <w:t>______________</w:t>
      </w:r>
    </w:p>
    <w:p w:rsidR="00D958D5" w:rsidRDefault="00D958D5" w:rsidP="00D958D5">
      <w:pPr>
        <w:tabs>
          <w:tab w:val="left" w:pos="7513"/>
        </w:tabs>
      </w:pPr>
    </w:p>
    <w:p w:rsidR="007951EA" w:rsidRDefault="007951EA" w:rsidP="007951EA">
      <w:pPr>
        <w:tabs>
          <w:tab w:val="left" w:pos="7513"/>
        </w:tabs>
      </w:pPr>
    </w:p>
    <w:sectPr w:rsidR="007951EA" w:rsidSect="00B753A7">
      <w:type w:val="continuous"/>
      <w:pgSz w:w="11906" w:h="16838" w:code="9"/>
      <w:pgMar w:top="1134" w:right="567" w:bottom="568"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9B4" w:rsidRDefault="004449B4">
      <w:r>
        <w:separator/>
      </w:r>
    </w:p>
  </w:endnote>
  <w:endnote w:type="continuationSeparator" w:id="0">
    <w:p w:rsidR="004449B4" w:rsidRDefault="0044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9B4" w:rsidRDefault="004449B4">
      <w:r>
        <w:separator/>
      </w:r>
    </w:p>
  </w:footnote>
  <w:footnote w:type="continuationSeparator" w:id="0">
    <w:p w:rsidR="004449B4" w:rsidRDefault="004449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006565">
      <w:rPr>
        <w:rStyle w:val="Puslapionumeris"/>
        <w:noProof/>
      </w:rPr>
      <w:t>4</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EDA"/>
    <w:rsid w:val="00006565"/>
    <w:rsid w:val="00026A5F"/>
    <w:rsid w:val="00052749"/>
    <w:rsid w:val="00056796"/>
    <w:rsid w:val="000821F7"/>
    <w:rsid w:val="000A339C"/>
    <w:rsid w:val="001156B7"/>
    <w:rsid w:val="0012091C"/>
    <w:rsid w:val="00132437"/>
    <w:rsid w:val="00170521"/>
    <w:rsid w:val="001A7BBB"/>
    <w:rsid w:val="001C13C0"/>
    <w:rsid w:val="00211F14"/>
    <w:rsid w:val="0024001A"/>
    <w:rsid w:val="002510B2"/>
    <w:rsid w:val="002E2178"/>
    <w:rsid w:val="00305758"/>
    <w:rsid w:val="00341D56"/>
    <w:rsid w:val="00383D65"/>
    <w:rsid w:val="00384B4D"/>
    <w:rsid w:val="003975CE"/>
    <w:rsid w:val="003A762C"/>
    <w:rsid w:val="003D5835"/>
    <w:rsid w:val="00421215"/>
    <w:rsid w:val="004449B4"/>
    <w:rsid w:val="004618C8"/>
    <w:rsid w:val="00471DCD"/>
    <w:rsid w:val="004968FC"/>
    <w:rsid w:val="004B562C"/>
    <w:rsid w:val="004D19A6"/>
    <w:rsid w:val="004F285B"/>
    <w:rsid w:val="00503B36"/>
    <w:rsid w:val="00504780"/>
    <w:rsid w:val="00543485"/>
    <w:rsid w:val="00561916"/>
    <w:rsid w:val="005A4424"/>
    <w:rsid w:val="005B2E6B"/>
    <w:rsid w:val="005F38B6"/>
    <w:rsid w:val="005F65C3"/>
    <w:rsid w:val="006213AE"/>
    <w:rsid w:val="00645618"/>
    <w:rsid w:val="00672D78"/>
    <w:rsid w:val="00680278"/>
    <w:rsid w:val="006C5903"/>
    <w:rsid w:val="00776F64"/>
    <w:rsid w:val="007845BD"/>
    <w:rsid w:val="00794407"/>
    <w:rsid w:val="00794C2F"/>
    <w:rsid w:val="007951EA"/>
    <w:rsid w:val="00796C66"/>
    <w:rsid w:val="007A3F5C"/>
    <w:rsid w:val="007E4516"/>
    <w:rsid w:val="00866A68"/>
    <w:rsid w:val="00872337"/>
    <w:rsid w:val="008A401C"/>
    <w:rsid w:val="008D0342"/>
    <w:rsid w:val="008D6209"/>
    <w:rsid w:val="0093412A"/>
    <w:rsid w:val="009B4614"/>
    <w:rsid w:val="009E3DB8"/>
    <w:rsid w:val="009E70D9"/>
    <w:rsid w:val="00A218F8"/>
    <w:rsid w:val="00A41511"/>
    <w:rsid w:val="00AE325A"/>
    <w:rsid w:val="00B03898"/>
    <w:rsid w:val="00B753A7"/>
    <w:rsid w:val="00BA36F6"/>
    <w:rsid w:val="00BA65BB"/>
    <w:rsid w:val="00BB70B1"/>
    <w:rsid w:val="00BC3B1F"/>
    <w:rsid w:val="00C16EA1"/>
    <w:rsid w:val="00C41A0D"/>
    <w:rsid w:val="00C7792F"/>
    <w:rsid w:val="00CC1DF9"/>
    <w:rsid w:val="00CE5982"/>
    <w:rsid w:val="00D03D5A"/>
    <w:rsid w:val="00D04BE6"/>
    <w:rsid w:val="00D41CA9"/>
    <w:rsid w:val="00D45AE1"/>
    <w:rsid w:val="00D50890"/>
    <w:rsid w:val="00D74773"/>
    <w:rsid w:val="00D8136A"/>
    <w:rsid w:val="00D958D5"/>
    <w:rsid w:val="00DB7660"/>
    <w:rsid w:val="00DC5676"/>
    <w:rsid w:val="00DC6469"/>
    <w:rsid w:val="00E032E8"/>
    <w:rsid w:val="00E22E12"/>
    <w:rsid w:val="00EB1C45"/>
    <w:rsid w:val="00EE645F"/>
    <w:rsid w:val="00EF6A79"/>
    <w:rsid w:val="00F54307"/>
    <w:rsid w:val="00F57F3B"/>
    <w:rsid w:val="00F6289F"/>
    <w:rsid w:val="00F84EDA"/>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D6292E8"/>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agrindinistekstas2">
    <w:name w:val="Body Text 2"/>
    <w:basedOn w:val="prastasis"/>
    <w:link w:val="Pagrindinistekstas2Diagrama"/>
    <w:unhideWhenUsed/>
    <w:rsid w:val="00D958D5"/>
    <w:pPr>
      <w:spacing w:after="120" w:line="480" w:lineRule="auto"/>
    </w:pPr>
  </w:style>
  <w:style w:type="character" w:customStyle="1" w:styleId="Pagrindinistekstas2Diagrama">
    <w:name w:val="Pagrindinis tekstas 2 Diagrama"/>
    <w:basedOn w:val="Numatytasispastraiposriftas"/>
    <w:link w:val="Pagrindinistekstas2"/>
    <w:rsid w:val="00D958D5"/>
    <w:rPr>
      <w:sz w:val="24"/>
      <w:szCs w:val="24"/>
      <w:lang w:eastAsia="en-US"/>
    </w:rPr>
  </w:style>
  <w:style w:type="paragraph" w:styleId="Debesliotekstas">
    <w:name w:val="Balloon Text"/>
    <w:basedOn w:val="prastasis"/>
    <w:link w:val="DebesliotekstasDiagrama"/>
    <w:rsid w:val="00CE5982"/>
    <w:rPr>
      <w:rFonts w:ascii="Segoe UI" w:hAnsi="Segoe UI" w:cs="Segoe UI"/>
      <w:sz w:val="18"/>
      <w:szCs w:val="18"/>
    </w:rPr>
  </w:style>
  <w:style w:type="character" w:customStyle="1" w:styleId="DebesliotekstasDiagrama">
    <w:name w:val="Debesėlio tekstas Diagrama"/>
    <w:basedOn w:val="Numatytasispastraiposriftas"/>
    <w:link w:val="Debesliotekstas"/>
    <w:rsid w:val="00CE5982"/>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760289">
      <w:bodyDiv w:val="1"/>
      <w:marLeft w:val="0"/>
      <w:marRight w:val="0"/>
      <w:marTop w:val="0"/>
      <w:marBottom w:val="0"/>
      <w:divBdr>
        <w:top w:val="none" w:sz="0" w:space="0" w:color="auto"/>
        <w:left w:val="none" w:sz="0" w:space="0" w:color="auto"/>
        <w:bottom w:val="none" w:sz="0" w:space="0" w:color="auto"/>
        <w:right w:val="none" w:sz="0" w:space="0" w:color="auto"/>
      </w:divBdr>
    </w:div>
    <w:div w:id="1774012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endras\x_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1A2877"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HG Mincho Light J">
    <w:altName w:val="Times New Roman"/>
    <w:charset w:val="00"/>
    <w:family w:val="auto"/>
    <w:pitch w:val="variable"/>
  </w:font>
  <w:font w:name="Calibri">
    <w:panose1 w:val="020F0502020204030204"/>
    <w:charset w:val="BA"/>
    <w:family w:val="swiss"/>
    <w:pitch w:val="variable"/>
    <w:sig w:usb0="E0002E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6AA"/>
    <w:rsid w:val="001A2877"/>
    <w:rsid w:val="001B42BF"/>
    <w:rsid w:val="0032125F"/>
    <w:rsid w:val="003836AA"/>
    <w:rsid w:val="004646C4"/>
    <w:rsid w:val="00540C19"/>
    <w:rsid w:val="00545709"/>
    <w:rsid w:val="007A4477"/>
    <w:rsid w:val="00A00DB8"/>
    <w:rsid w:val="00D3785B"/>
    <w:rsid w:val="00F604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128</TotalTime>
  <Pages>5</Pages>
  <Words>1352</Words>
  <Characters>9651</Characters>
  <Application>Microsoft Office Word</Application>
  <DocSecurity>0</DocSecurity>
  <Lines>80</Lines>
  <Paragraphs>21</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Sabaliauskienė Irena</cp:lastModifiedBy>
  <cp:revision>10</cp:revision>
  <cp:lastPrinted>2019-06-12T13:57:00Z</cp:lastPrinted>
  <dcterms:created xsi:type="dcterms:W3CDTF">2019-06-12T10:20:00Z</dcterms:created>
  <dcterms:modified xsi:type="dcterms:W3CDTF">2019-06-14T06:38:00Z</dcterms:modified>
</cp:coreProperties>
</file>