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A87" w:rsidRDefault="002B0A87" w:rsidP="002B0A87">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bookmarkStart w:id="0" w:name="_GoBack"/>
      <w:bookmarkEnd w:id="0"/>
      <w:r>
        <w:rPr>
          <w:rFonts w:ascii="Times New Roman" w:hAnsi="Times New Roman"/>
          <w:sz w:val="24"/>
          <w:szCs w:val="24"/>
        </w:rPr>
        <w:t>PRITARTA</w:t>
      </w:r>
    </w:p>
    <w:p w:rsidR="002B0A87" w:rsidRDefault="002B0A87" w:rsidP="002B0A87">
      <w:pPr>
        <w:spacing w:after="0"/>
        <w:jc w:val="center"/>
        <w:rPr>
          <w:rFonts w:ascii="Times New Roman" w:hAnsi="Times New Roman"/>
          <w:sz w:val="24"/>
          <w:szCs w:val="24"/>
          <w:lang w:val="en-GB"/>
        </w:rPr>
      </w:pPr>
      <w:r>
        <w:rPr>
          <w:rFonts w:ascii="Times New Roman" w:hAnsi="Times New Roman"/>
          <w:sz w:val="24"/>
          <w:szCs w:val="24"/>
        </w:rPr>
        <w:t xml:space="preserve">                                                                                          Molėtų rajono savivaldybės</w:t>
      </w:r>
    </w:p>
    <w:p w:rsidR="002B0A87" w:rsidRDefault="002B0A87" w:rsidP="002B0A87">
      <w:pPr>
        <w:spacing w:after="0"/>
        <w:jc w:val="center"/>
        <w:rPr>
          <w:rFonts w:ascii="Times New Roman" w:hAnsi="Times New Roman"/>
          <w:sz w:val="24"/>
          <w:szCs w:val="24"/>
        </w:rPr>
      </w:pPr>
      <w:r>
        <w:rPr>
          <w:rFonts w:ascii="Times New Roman" w:hAnsi="Times New Roman"/>
          <w:sz w:val="24"/>
          <w:szCs w:val="24"/>
        </w:rPr>
        <w:t xml:space="preserve">                                                                                         tarybos 2019 m. kovo     d.</w:t>
      </w:r>
    </w:p>
    <w:p w:rsidR="002B0A87" w:rsidRDefault="002B0A87" w:rsidP="002B0A87">
      <w:pPr>
        <w:spacing w:after="0"/>
        <w:jc w:val="center"/>
        <w:rPr>
          <w:rFonts w:ascii="Times New Roman" w:hAnsi="Times New Roman"/>
          <w:sz w:val="24"/>
          <w:szCs w:val="24"/>
        </w:rPr>
      </w:pPr>
      <w:r>
        <w:rPr>
          <w:rFonts w:ascii="Times New Roman" w:hAnsi="Times New Roman"/>
          <w:sz w:val="24"/>
          <w:szCs w:val="24"/>
        </w:rPr>
        <w:t xml:space="preserve">                                                                            sprendimu Nr.B1-</w:t>
      </w:r>
    </w:p>
    <w:p w:rsidR="002B0A87" w:rsidRDefault="002B0A87" w:rsidP="001113F6">
      <w:pPr>
        <w:pStyle w:val="Betarp"/>
        <w:jc w:val="center"/>
        <w:rPr>
          <w:rStyle w:val="Grietas"/>
        </w:rPr>
      </w:pPr>
    </w:p>
    <w:p w:rsidR="001113F6" w:rsidRPr="002F5660" w:rsidRDefault="001113F6" w:rsidP="001113F6">
      <w:pPr>
        <w:pStyle w:val="Betarp"/>
        <w:jc w:val="center"/>
        <w:rPr>
          <w:rStyle w:val="Grietas"/>
        </w:rPr>
      </w:pPr>
      <w:r w:rsidRPr="002F5660">
        <w:rPr>
          <w:rStyle w:val="Grietas"/>
        </w:rPr>
        <w:t>ALANTOS GIMNAZIJOS</w:t>
      </w:r>
      <w:r>
        <w:rPr>
          <w:rStyle w:val="Grietas"/>
        </w:rPr>
        <w:t xml:space="preserve"> </w:t>
      </w:r>
      <w:r w:rsidRPr="002F5660">
        <w:rPr>
          <w:rStyle w:val="Grietas"/>
        </w:rPr>
        <w:t>201</w:t>
      </w:r>
      <w:r>
        <w:rPr>
          <w:rStyle w:val="Grietas"/>
        </w:rPr>
        <w:t>8 METŲ</w:t>
      </w:r>
      <w:r w:rsidRPr="002F5660">
        <w:rPr>
          <w:rStyle w:val="Grietas"/>
        </w:rPr>
        <w:t xml:space="preserve"> VEIKLOS ATASKAITA</w:t>
      </w:r>
    </w:p>
    <w:p w:rsidR="001113F6" w:rsidRDefault="001113F6" w:rsidP="001113F6">
      <w:pPr>
        <w:spacing w:after="0"/>
        <w:jc w:val="center"/>
        <w:rPr>
          <w:rFonts w:ascii="Times New Roman" w:hAnsi="Times New Roman" w:cs="Times New Roman"/>
          <w:b/>
          <w:sz w:val="24"/>
          <w:szCs w:val="24"/>
        </w:rPr>
      </w:pPr>
    </w:p>
    <w:p w:rsidR="001113F6" w:rsidRPr="00373A53" w:rsidRDefault="001113F6" w:rsidP="001113F6">
      <w:pPr>
        <w:numPr>
          <w:ilvl w:val="0"/>
          <w:numId w:val="1"/>
        </w:numPr>
        <w:rPr>
          <w:rFonts w:ascii="Times New Roman" w:hAnsi="Times New Roman" w:cs="Times New Roman"/>
          <w:b/>
          <w:sz w:val="24"/>
          <w:szCs w:val="24"/>
        </w:rPr>
      </w:pPr>
      <w:r w:rsidRPr="00373A53">
        <w:rPr>
          <w:rFonts w:ascii="Times New Roman" w:hAnsi="Times New Roman" w:cs="Times New Roman"/>
          <w:b/>
          <w:sz w:val="24"/>
          <w:szCs w:val="24"/>
        </w:rPr>
        <w:t>Statistiniai duomenys.</w:t>
      </w:r>
    </w:p>
    <w:p w:rsidR="001113F6" w:rsidRPr="00373A53" w:rsidRDefault="001113F6" w:rsidP="001113F6">
      <w:pPr>
        <w:spacing w:after="0"/>
        <w:ind w:left="1080"/>
        <w:rPr>
          <w:rFonts w:ascii="Times New Roman" w:hAnsi="Times New Roman" w:cs="Times New Roman"/>
          <w:sz w:val="24"/>
          <w:szCs w:val="24"/>
        </w:rPr>
      </w:pPr>
      <w:r w:rsidRPr="00373A53">
        <w:rPr>
          <w:rFonts w:ascii="Times New Roman" w:hAnsi="Times New Roman" w:cs="Times New Roman"/>
          <w:sz w:val="24"/>
          <w:szCs w:val="24"/>
        </w:rPr>
        <w:t>1.1. Mokiniai</w:t>
      </w:r>
    </w:p>
    <w:tbl>
      <w:tblPr>
        <w:tblW w:w="3799"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893"/>
        <w:gridCol w:w="1230"/>
        <w:gridCol w:w="1026"/>
        <w:gridCol w:w="1963"/>
      </w:tblGrid>
      <w:tr w:rsidR="001113F6" w:rsidRPr="007C4AE3" w:rsidTr="00A520C1">
        <w:tc>
          <w:tcPr>
            <w:tcW w:w="822" w:type="pct"/>
            <w:shd w:val="clear" w:color="auto" w:fill="auto"/>
          </w:tcPr>
          <w:p w:rsidR="001113F6" w:rsidRPr="007C4AE3" w:rsidRDefault="001113F6" w:rsidP="00A520C1">
            <w:pPr>
              <w:spacing w:after="0"/>
              <w:rPr>
                <w:rFonts w:ascii="Times New Roman" w:hAnsi="Times New Roman" w:cs="Times New Roman"/>
              </w:rPr>
            </w:pPr>
            <w:r w:rsidRPr="007C4AE3">
              <w:rPr>
                <w:rFonts w:ascii="Times New Roman" w:hAnsi="Times New Roman" w:cs="Times New Roman"/>
              </w:rPr>
              <w:t>Klasės</w:t>
            </w:r>
          </w:p>
        </w:tc>
        <w:tc>
          <w:tcPr>
            <w:tcW w:w="1294" w:type="pct"/>
            <w:shd w:val="clear" w:color="auto" w:fill="auto"/>
          </w:tcPr>
          <w:p w:rsidR="001113F6" w:rsidRPr="007C4AE3" w:rsidRDefault="001113F6" w:rsidP="00A520C1">
            <w:pPr>
              <w:spacing w:after="0"/>
              <w:rPr>
                <w:rFonts w:ascii="Times New Roman" w:hAnsi="Times New Roman" w:cs="Times New Roman"/>
              </w:rPr>
            </w:pPr>
            <w:r w:rsidRPr="007C4AE3">
              <w:rPr>
                <w:rFonts w:ascii="Times New Roman" w:hAnsi="Times New Roman" w:cs="Times New Roman"/>
              </w:rPr>
              <w:t xml:space="preserve">Mokinių skaičius </w:t>
            </w:r>
          </w:p>
          <w:p w:rsidR="001113F6" w:rsidRPr="007C4AE3" w:rsidRDefault="001113F6" w:rsidP="00A520C1">
            <w:pPr>
              <w:spacing w:after="0"/>
              <w:rPr>
                <w:rFonts w:ascii="Times New Roman" w:hAnsi="Times New Roman" w:cs="Times New Roman"/>
              </w:rPr>
            </w:pPr>
            <w:r>
              <w:rPr>
                <w:rFonts w:ascii="Times New Roman" w:hAnsi="Times New Roman" w:cs="Times New Roman"/>
              </w:rPr>
              <w:t>2017-2018 m</w:t>
            </w:r>
            <w:r w:rsidRPr="007C4AE3">
              <w:rPr>
                <w:rFonts w:ascii="Times New Roman" w:hAnsi="Times New Roman" w:cs="Times New Roman"/>
              </w:rPr>
              <w:t>.</w:t>
            </w:r>
            <w:r>
              <w:rPr>
                <w:rFonts w:ascii="Times New Roman" w:hAnsi="Times New Roman" w:cs="Times New Roman"/>
              </w:rPr>
              <w:t>m.</w:t>
            </w:r>
            <w:r w:rsidRPr="007C4AE3">
              <w:rPr>
                <w:rFonts w:ascii="Times New Roman" w:hAnsi="Times New Roman" w:cs="Times New Roman"/>
              </w:rPr>
              <w:t xml:space="preserve"> pradžioje</w:t>
            </w:r>
          </w:p>
        </w:tc>
        <w:tc>
          <w:tcPr>
            <w:tcW w:w="841" w:type="pct"/>
            <w:shd w:val="clear" w:color="auto" w:fill="auto"/>
          </w:tcPr>
          <w:p w:rsidR="001113F6" w:rsidRPr="007C4AE3" w:rsidRDefault="001113F6" w:rsidP="00A520C1">
            <w:pPr>
              <w:spacing w:after="0"/>
              <w:rPr>
                <w:rFonts w:ascii="Times New Roman" w:hAnsi="Times New Roman" w:cs="Times New Roman"/>
              </w:rPr>
            </w:pPr>
            <w:r w:rsidRPr="007C4AE3">
              <w:rPr>
                <w:rFonts w:ascii="Times New Roman" w:hAnsi="Times New Roman" w:cs="Times New Roman"/>
              </w:rPr>
              <w:t>Atvyko</w:t>
            </w:r>
          </w:p>
        </w:tc>
        <w:tc>
          <w:tcPr>
            <w:tcW w:w="701" w:type="pct"/>
            <w:shd w:val="clear" w:color="auto" w:fill="auto"/>
          </w:tcPr>
          <w:p w:rsidR="001113F6" w:rsidRPr="007C4AE3" w:rsidRDefault="001113F6" w:rsidP="00A520C1">
            <w:pPr>
              <w:spacing w:after="0"/>
              <w:rPr>
                <w:rFonts w:ascii="Times New Roman" w:hAnsi="Times New Roman" w:cs="Times New Roman"/>
              </w:rPr>
            </w:pPr>
            <w:r w:rsidRPr="007C4AE3">
              <w:rPr>
                <w:rFonts w:ascii="Times New Roman" w:hAnsi="Times New Roman" w:cs="Times New Roman"/>
              </w:rPr>
              <w:t>Išvyko</w:t>
            </w:r>
          </w:p>
        </w:tc>
        <w:tc>
          <w:tcPr>
            <w:tcW w:w="1342" w:type="pct"/>
            <w:shd w:val="clear" w:color="auto" w:fill="auto"/>
          </w:tcPr>
          <w:p w:rsidR="001113F6" w:rsidRPr="007C4AE3" w:rsidRDefault="001113F6" w:rsidP="00A520C1">
            <w:pPr>
              <w:spacing w:after="0"/>
              <w:rPr>
                <w:rFonts w:ascii="Times New Roman" w:hAnsi="Times New Roman" w:cs="Times New Roman"/>
              </w:rPr>
            </w:pPr>
            <w:r w:rsidRPr="007C4AE3">
              <w:rPr>
                <w:rFonts w:ascii="Times New Roman" w:hAnsi="Times New Roman" w:cs="Times New Roman"/>
              </w:rPr>
              <w:t xml:space="preserve">Mokinių skaičius </w:t>
            </w:r>
            <w:r>
              <w:rPr>
                <w:rFonts w:ascii="Times New Roman" w:hAnsi="Times New Roman" w:cs="Times New Roman"/>
              </w:rPr>
              <w:t xml:space="preserve">2017-2018 </w:t>
            </w:r>
            <w:r w:rsidRPr="007C4AE3">
              <w:rPr>
                <w:rFonts w:ascii="Times New Roman" w:hAnsi="Times New Roman" w:cs="Times New Roman"/>
              </w:rPr>
              <w:t>m.m. pabaigoje</w:t>
            </w:r>
          </w:p>
        </w:tc>
      </w:tr>
      <w:tr w:rsidR="001113F6" w:rsidRPr="007C4AE3" w:rsidTr="00A520C1">
        <w:tc>
          <w:tcPr>
            <w:tcW w:w="822" w:type="pct"/>
            <w:shd w:val="clear" w:color="auto" w:fill="auto"/>
          </w:tcPr>
          <w:p w:rsidR="001113F6" w:rsidRPr="007C4AE3" w:rsidRDefault="001113F6" w:rsidP="00A520C1">
            <w:pPr>
              <w:spacing w:after="0"/>
              <w:rPr>
                <w:rFonts w:ascii="Times New Roman" w:hAnsi="Times New Roman" w:cs="Times New Roman"/>
              </w:rPr>
            </w:pPr>
            <w:proofErr w:type="spellStart"/>
            <w:r w:rsidRPr="007C4AE3">
              <w:rPr>
                <w:rFonts w:ascii="Times New Roman" w:hAnsi="Times New Roman" w:cs="Times New Roman"/>
              </w:rPr>
              <w:t>Priešm</w:t>
            </w:r>
            <w:proofErr w:type="spellEnd"/>
            <w:r w:rsidRPr="007C4AE3">
              <w:rPr>
                <w:rFonts w:ascii="Times New Roman" w:hAnsi="Times New Roman" w:cs="Times New Roman"/>
              </w:rPr>
              <w:t>.</w:t>
            </w:r>
          </w:p>
        </w:tc>
        <w:tc>
          <w:tcPr>
            <w:tcW w:w="1294"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7</w:t>
            </w:r>
          </w:p>
        </w:tc>
        <w:tc>
          <w:tcPr>
            <w:tcW w:w="841"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0</w:t>
            </w:r>
          </w:p>
        </w:tc>
        <w:tc>
          <w:tcPr>
            <w:tcW w:w="701"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0</w:t>
            </w:r>
          </w:p>
        </w:tc>
        <w:tc>
          <w:tcPr>
            <w:tcW w:w="1342"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7</w:t>
            </w:r>
          </w:p>
        </w:tc>
      </w:tr>
      <w:tr w:rsidR="001113F6" w:rsidRPr="007C4AE3" w:rsidTr="00A520C1">
        <w:tc>
          <w:tcPr>
            <w:tcW w:w="822"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1-4</w:t>
            </w:r>
          </w:p>
        </w:tc>
        <w:tc>
          <w:tcPr>
            <w:tcW w:w="1294"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54</w:t>
            </w:r>
          </w:p>
        </w:tc>
        <w:tc>
          <w:tcPr>
            <w:tcW w:w="841"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4</w:t>
            </w:r>
          </w:p>
        </w:tc>
        <w:tc>
          <w:tcPr>
            <w:tcW w:w="701"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2</w:t>
            </w:r>
          </w:p>
        </w:tc>
        <w:tc>
          <w:tcPr>
            <w:tcW w:w="1342"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56</w:t>
            </w:r>
          </w:p>
        </w:tc>
      </w:tr>
      <w:tr w:rsidR="001113F6" w:rsidRPr="007C4AE3" w:rsidTr="00A520C1">
        <w:tc>
          <w:tcPr>
            <w:tcW w:w="822" w:type="pct"/>
            <w:shd w:val="clear" w:color="auto" w:fill="auto"/>
          </w:tcPr>
          <w:p w:rsidR="001113F6" w:rsidRPr="007C4AE3" w:rsidRDefault="001113F6" w:rsidP="00A520C1">
            <w:pPr>
              <w:spacing w:after="0"/>
              <w:rPr>
                <w:rFonts w:ascii="Times New Roman" w:hAnsi="Times New Roman" w:cs="Times New Roman"/>
              </w:rPr>
            </w:pPr>
            <w:r w:rsidRPr="007C4AE3">
              <w:rPr>
                <w:rFonts w:ascii="Times New Roman" w:hAnsi="Times New Roman" w:cs="Times New Roman"/>
              </w:rPr>
              <w:t>5-8</w:t>
            </w:r>
          </w:p>
        </w:tc>
        <w:tc>
          <w:tcPr>
            <w:tcW w:w="1294"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50</w:t>
            </w:r>
          </w:p>
        </w:tc>
        <w:tc>
          <w:tcPr>
            <w:tcW w:w="841"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0</w:t>
            </w:r>
          </w:p>
        </w:tc>
        <w:tc>
          <w:tcPr>
            <w:tcW w:w="701"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0</w:t>
            </w:r>
          </w:p>
        </w:tc>
        <w:tc>
          <w:tcPr>
            <w:tcW w:w="1342"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50</w:t>
            </w:r>
          </w:p>
        </w:tc>
      </w:tr>
      <w:tr w:rsidR="001113F6" w:rsidRPr="007C4AE3" w:rsidTr="00A520C1">
        <w:tc>
          <w:tcPr>
            <w:tcW w:w="822" w:type="pct"/>
            <w:shd w:val="clear" w:color="auto" w:fill="auto"/>
          </w:tcPr>
          <w:p w:rsidR="001113F6" w:rsidRPr="007C4AE3" w:rsidRDefault="001113F6" w:rsidP="00A520C1">
            <w:pPr>
              <w:spacing w:after="0"/>
              <w:rPr>
                <w:rFonts w:ascii="Times New Roman" w:hAnsi="Times New Roman" w:cs="Times New Roman"/>
              </w:rPr>
            </w:pPr>
            <w:r w:rsidRPr="007C4AE3">
              <w:rPr>
                <w:rFonts w:ascii="Times New Roman" w:hAnsi="Times New Roman" w:cs="Times New Roman"/>
              </w:rPr>
              <w:t>I-II g</w:t>
            </w:r>
          </w:p>
        </w:tc>
        <w:tc>
          <w:tcPr>
            <w:tcW w:w="1294"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43</w:t>
            </w:r>
          </w:p>
        </w:tc>
        <w:tc>
          <w:tcPr>
            <w:tcW w:w="841"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0</w:t>
            </w:r>
          </w:p>
        </w:tc>
        <w:tc>
          <w:tcPr>
            <w:tcW w:w="701"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0</w:t>
            </w:r>
          </w:p>
        </w:tc>
        <w:tc>
          <w:tcPr>
            <w:tcW w:w="1342"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43</w:t>
            </w:r>
          </w:p>
        </w:tc>
      </w:tr>
      <w:tr w:rsidR="001113F6" w:rsidRPr="007C4AE3" w:rsidTr="00A520C1">
        <w:tc>
          <w:tcPr>
            <w:tcW w:w="822" w:type="pct"/>
            <w:shd w:val="clear" w:color="auto" w:fill="auto"/>
          </w:tcPr>
          <w:p w:rsidR="001113F6" w:rsidRPr="007C4AE3" w:rsidRDefault="001113F6" w:rsidP="00A520C1">
            <w:pPr>
              <w:spacing w:after="0"/>
              <w:rPr>
                <w:rFonts w:ascii="Times New Roman" w:hAnsi="Times New Roman" w:cs="Times New Roman"/>
              </w:rPr>
            </w:pPr>
            <w:r w:rsidRPr="007C4AE3">
              <w:rPr>
                <w:rFonts w:ascii="Times New Roman" w:hAnsi="Times New Roman" w:cs="Times New Roman"/>
              </w:rPr>
              <w:t>III – IV g</w:t>
            </w:r>
          </w:p>
        </w:tc>
        <w:tc>
          <w:tcPr>
            <w:tcW w:w="1294"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39</w:t>
            </w:r>
          </w:p>
        </w:tc>
        <w:tc>
          <w:tcPr>
            <w:tcW w:w="841"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1</w:t>
            </w:r>
          </w:p>
        </w:tc>
        <w:tc>
          <w:tcPr>
            <w:tcW w:w="701"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1</w:t>
            </w:r>
          </w:p>
        </w:tc>
        <w:tc>
          <w:tcPr>
            <w:tcW w:w="1342"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39</w:t>
            </w:r>
          </w:p>
        </w:tc>
      </w:tr>
      <w:tr w:rsidR="001113F6" w:rsidRPr="007C4AE3" w:rsidTr="00A520C1">
        <w:tc>
          <w:tcPr>
            <w:tcW w:w="822" w:type="pct"/>
            <w:shd w:val="clear" w:color="auto" w:fill="auto"/>
          </w:tcPr>
          <w:p w:rsidR="001113F6" w:rsidRPr="007C4AE3" w:rsidRDefault="001113F6" w:rsidP="00A520C1">
            <w:pPr>
              <w:spacing w:after="0"/>
              <w:rPr>
                <w:rFonts w:ascii="Times New Roman" w:hAnsi="Times New Roman" w:cs="Times New Roman"/>
              </w:rPr>
            </w:pPr>
            <w:r w:rsidRPr="007C4AE3">
              <w:rPr>
                <w:rFonts w:ascii="Times New Roman" w:hAnsi="Times New Roman" w:cs="Times New Roman"/>
              </w:rPr>
              <w:t>Iš viso</w:t>
            </w:r>
          </w:p>
        </w:tc>
        <w:tc>
          <w:tcPr>
            <w:tcW w:w="1294"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193</w:t>
            </w:r>
          </w:p>
        </w:tc>
        <w:tc>
          <w:tcPr>
            <w:tcW w:w="841"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5</w:t>
            </w:r>
          </w:p>
        </w:tc>
        <w:tc>
          <w:tcPr>
            <w:tcW w:w="701"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3</w:t>
            </w:r>
          </w:p>
        </w:tc>
        <w:tc>
          <w:tcPr>
            <w:tcW w:w="1342" w:type="pct"/>
            <w:shd w:val="clear" w:color="auto" w:fill="auto"/>
          </w:tcPr>
          <w:p w:rsidR="001113F6" w:rsidRPr="007C4AE3" w:rsidRDefault="001113F6" w:rsidP="00A520C1">
            <w:pPr>
              <w:spacing w:after="0"/>
              <w:rPr>
                <w:rFonts w:ascii="Times New Roman" w:hAnsi="Times New Roman" w:cs="Times New Roman"/>
              </w:rPr>
            </w:pPr>
            <w:r>
              <w:rPr>
                <w:rFonts w:ascii="Times New Roman" w:hAnsi="Times New Roman" w:cs="Times New Roman"/>
              </w:rPr>
              <w:t>195</w:t>
            </w:r>
          </w:p>
        </w:tc>
      </w:tr>
    </w:tbl>
    <w:p w:rsidR="001113F6" w:rsidRPr="00373A53" w:rsidRDefault="001113F6" w:rsidP="001113F6">
      <w:pPr>
        <w:spacing w:after="0"/>
        <w:ind w:firstLine="720"/>
        <w:jc w:val="both"/>
        <w:rPr>
          <w:rFonts w:ascii="Times New Roman" w:hAnsi="Times New Roman" w:cs="Times New Roman"/>
          <w:sz w:val="24"/>
          <w:szCs w:val="24"/>
        </w:rPr>
      </w:pPr>
      <w:r w:rsidRPr="00373A53">
        <w:rPr>
          <w:rFonts w:ascii="Times New Roman" w:hAnsi="Times New Roman" w:cs="Times New Roman"/>
          <w:sz w:val="24"/>
          <w:szCs w:val="24"/>
        </w:rPr>
        <w:t xml:space="preserve">Mokėsi </w:t>
      </w:r>
      <w:r>
        <w:rPr>
          <w:rFonts w:ascii="Times New Roman" w:hAnsi="Times New Roman" w:cs="Times New Roman"/>
          <w:sz w:val="24"/>
          <w:szCs w:val="24"/>
        </w:rPr>
        <w:t>34 (17,5</w:t>
      </w:r>
      <w:r w:rsidRPr="00373A53">
        <w:rPr>
          <w:rFonts w:ascii="Times New Roman" w:hAnsi="Times New Roman" w:cs="Times New Roman"/>
          <w:sz w:val="24"/>
          <w:szCs w:val="24"/>
        </w:rPr>
        <w:t>%) specialiųjų ugdymosi poreikių turintys mokiniai, iš jų, pagal individualizuotas programas</w:t>
      </w:r>
      <w:r>
        <w:rPr>
          <w:rFonts w:ascii="Times New Roman" w:hAnsi="Times New Roman" w:cs="Times New Roman"/>
          <w:sz w:val="24"/>
          <w:szCs w:val="24"/>
        </w:rPr>
        <w:t xml:space="preserve"> – 5</w:t>
      </w:r>
      <w:r w:rsidRPr="00373A53">
        <w:rPr>
          <w:rFonts w:ascii="Times New Roman" w:hAnsi="Times New Roman" w:cs="Times New Roman"/>
          <w:sz w:val="24"/>
          <w:szCs w:val="24"/>
        </w:rPr>
        <w:t>, pagal pritaikytas bendrąsias programas – 14 mokinių. Speciali</w:t>
      </w:r>
      <w:r>
        <w:rPr>
          <w:rFonts w:ascii="Times New Roman" w:hAnsi="Times New Roman" w:cs="Times New Roman"/>
          <w:sz w:val="24"/>
          <w:szCs w:val="24"/>
        </w:rPr>
        <w:t>ojo pedagogo pagalba teikiama 13 mokinių, psichologo – 8, socialinio pedagogo – 18</w:t>
      </w:r>
      <w:r w:rsidRPr="00373A53">
        <w:rPr>
          <w:rFonts w:ascii="Times New Roman" w:hAnsi="Times New Roman" w:cs="Times New Roman"/>
          <w:sz w:val="24"/>
          <w:szCs w:val="24"/>
        </w:rPr>
        <w:t xml:space="preserve">. </w:t>
      </w:r>
      <w:r>
        <w:rPr>
          <w:rFonts w:ascii="Times New Roman" w:hAnsi="Times New Roman" w:cs="Times New Roman"/>
          <w:sz w:val="24"/>
          <w:szCs w:val="24"/>
        </w:rPr>
        <w:t xml:space="preserve">Padaugėjo pavežamų į mokyklą mokinių nuo 45% iki 54,4%. </w:t>
      </w:r>
      <w:r w:rsidRPr="00373A53">
        <w:rPr>
          <w:rFonts w:ascii="Times New Roman" w:hAnsi="Times New Roman" w:cs="Times New Roman"/>
          <w:sz w:val="24"/>
          <w:szCs w:val="24"/>
        </w:rPr>
        <w:t xml:space="preserve">Pavežami į mokyklą  </w:t>
      </w:r>
      <w:r>
        <w:rPr>
          <w:rFonts w:ascii="Times New Roman" w:hAnsi="Times New Roman" w:cs="Times New Roman"/>
          <w:sz w:val="24"/>
          <w:szCs w:val="24"/>
        </w:rPr>
        <w:t>105</w:t>
      </w:r>
      <w:r w:rsidRPr="00373A53">
        <w:rPr>
          <w:rFonts w:ascii="Times New Roman" w:hAnsi="Times New Roman" w:cs="Times New Roman"/>
          <w:sz w:val="24"/>
          <w:szCs w:val="24"/>
        </w:rPr>
        <w:t xml:space="preserve"> mokiniai, nemokamą maitinimą gavo </w:t>
      </w:r>
      <w:r>
        <w:rPr>
          <w:rFonts w:ascii="Times New Roman" w:hAnsi="Times New Roman" w:cs="Times New Roman"/>
          <w:sz w:val="24"/>
          <w:szCs w:val="24"/>
        </w:rPr>
        <w:t>7</w:t>
      </w:r>
      <w:r w:rsidRPr="00F43D28">
        <w:rPr>
          <w:rFonts w:ascii="Times New Roman" w:hAnsi="Times New Roman" w:cs="Times New Roman"/>
          <w:sz w:val="24"/>
          <w:szCs w:val="24"/>
        </w:rPr>
        <w:t>7 (</w:t>
      </w:r>
      <w:r>
        <w:rPr>
          <w:rFonts w:ascii="Times New Roman" w:hAnsi="Times New Roman" w:cs="Times New Roman"/>
          <w:sz w:val="24"/>
          <w:szCs w:val="24"/>
        </w:rPr>
        <w:t>39,5</w:t>
      </w:r>
      <w:r w:rsidRPr="00F43D28">
        <w:rPr>
          <w:rFonts w:ascii="Times New Roman" w:hAnsi="Times New Roman" w:cs="Times New Roman"/>
          <w:sz w:val="24"/>
          <w:szCs w:val="24"/>
        </w:rPr>
        <w:t xml:space="preserve"> %)</w:t>
      </w:r>
      <w:r w:rsidRPr="00373A53">
        <w:rPr>
          <w:rFonts w:ascii="Times New Roman" w:hAnsi="Times New Roman" w:cs="Times New Roman"/>
          <w:sz w:val="24"/>
          <w:szCs w:val="24"/>
        </w:rPr>
        <w:t xml:space="preserve"> mokiniai.</w:t>
      </w:r>
    </w:p>
    <w:p w:rsidR="001113F6" w:rsidRPr="00373A53" w:rsidRDefault="001113F6" w:rsidP="001113F6">
      <w:pPr>
        <w:spacing w:after="0"/>
        <w:ind w:left="1080"/>
        <w:rPr>
          <w:rFonts w:ascii="Times New Roman" w:hAnsi="Times New Roman" w:cs="Times New Roman"/>
          <w:sz w:val="24"/>
          <w:szCs w:val="24"/>
        </w:rPr>
      </w:pPr>
      <w:r w:rsidRPr="00373A53">
        <w:rPr>
          <w:rFonts w:ascii="Times New Roman" w:hAnsi="Times New Roman" w:cs="Times New Roman"/>
          <w:sz w:val="24"/>
          <w:szCs w:val="24"/>
        </w:rPr>
        <w:t>1.2. Pedagogai</w:t>
      </w:r>
    </w:p>
    <w:p w:rsidR="001113F6" w:rsidRDefault="001113F6" w:rsidP="001113F6">
      <w:pPr>
        <w:spacing w:after="0"/>
        <w:ind w:firstLine="720"/>
        <w:jc w:val="both"/>
        <w:rPr>
          <w:rFonts w:ascii="Times New Roman" w:hAnsi="Times New Roman" w:cs="Times New Roman"/>
          <w:sz w:val="24"/>
          <w:szCs w:val="24"/>
        </w:rPr>
      </w:pPr>
      <w:r w:rsidRPr="00373A53">
        <w:rPr>
          <w:rFonts w:ascii="Times New Roman" w:hAnsi="Times New Roman" w:cs="Times New Roman"/>
          <w:sz w:val="24"/>
          <w:szCs w:val="24"/>
        </w:rPr>
        <w:t>Dirbo 34 pedagogai (iš jų</w:t>
      </w:r>
      <w:r>
        <w:rPr>
          <w:rFonts w:ascii="Times New Roman" w:hAnsi="Times New Roman" w:cs="Times New Roman"/>
          <w:sz w:val="24"/>
          <w:szCs w:val="24"/>
        </w:rPr>
        <w:t>:</w:t>
      </w:r>
      <w:r w:rsidRPr="00373A53">
        <w:rPr>
          <w:rFonts w:ascii="Times New Roman" w:hAnsi="Times New Roman" w:cs="Times New Roman"/>
          <w:sz w:val="24"/>
          <w:szCs w:val="24"/>
        </w:rPr>
        <w:t xml:space="preserve"> 1 socialinė pedagogė, 1 specialioji pedagogė, 1 psichologė)</w:t>
      </w:r>
      <w:r>
        <w:rPr>
          <w:rFonts w:ascii="Times New Roman" w:hAnsi="Times New Roman" w:cs="Times New Roman"/>
          <w:sz w:val="24"/>
          <w:szCs w:val="24"/>
        </w:rPr>
        <w:t xml:space="preserve">. </w:t>
      </w:r>
    </w:p>
    <w:p w:rsidR="001113F6" w:rsidRPr="00373A53" w:rsidRDefault="001113F6" w:rsidP="001113F6">
      <w:pPr>
        <w:spacing w:after="0"/>
        <w:ind w:firstLine="720"/>
        <w:jc w:val="both"/>
        <w:rPr>
          <w:rFonts w:ascii="Times New Roman" w:hAnsi="Times New Roman" w:cs="Times New Roman"/>
          <w:sz w:val="24"/>
          <w:szCs w:val="24"/>
        </w:rPr>
      </w:pPr>
    </w:p>
    <w:p w:rsidR="001113F6" w:rsidRPr="00373A53" w:rsidRDefault="001113F6" w:rsidP="001113F6">
      <w:pPr>
        <w:numPr>
          <w:ilvl w:val="0"/>
          <w:numId w:val="1"/>
        </w:numPr>
        <w:rPr>
          <w:rFonts w:ascii="Times New Roman" w:hAnsi="Times New Roman" w:cs="Times New Roman"/>
          <w:b/>
          <w:sz w:val="24"/>
          <w:szCs w:val="24"/>
        </w:rPr>
      </w:pPr>
      <w:r w:rsidRPr="00373A53">
        <w:rPr>
          <w:rFonts w:ascii="Times New Roman" w:hAnsi="Times New Roman" w:cs="Times New Roman"/>
          <w:b/>
          <w:sz w:val="24"/>
          <w:szCs w:val="24"/>
        </w:rPr>
        <w:t>Mokymosi pasiekimai.</w:t>
      </w:r>
    </w:p>
    <w:p w:rsidR="001113F6" w:rsidRPr="00373A53" w:rsidRDefault="001113F6" w:rsidP="001113F6">
      <w:pPr>
        <w:spacing w:after="0"/>
        <w:ind w:left="1080"/>
        <w:rPr>
          <w:rFonts w:ascii="Times New Roman" w:hAnsi="Times New Roman" w:cs="Times New Roman"/>
          <w:sz w:val="24"/>
          <w:szCs w:val="24"/>
        </w:rPr>
      </w:pPr>
      <w:r w:rsidRPr="00373A53">
        <w:rPr>
          <w:rFonts w:ascii="Times New Roman" w:hAnsi="Times New Roman" w:cs="Times New Roman"/>
          <w:sz w:val="24"/>
          <w:szCs w:val="24"/>
        </w:rPr>
        <w:t>2.1. Mokinių mokymosi kokybė</w:t>
      </w:r>
      <w:r>
        <w:rPr>
          <w:rFonts w:ascii="Times New Roman" w:hAnsi="Times New Roman" w:cs="Times New Roman"/>
          <w:sz w:val="24"/>
          <w:szCs w:val="24"/>
        </w:rPr>
        <w:t xml:space="preserve"> 2017-2018 m.m.</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0"/>
        <w:gridCol w:w="1346"/>
        <w:gridCol w:w="1481"/>
        <w:gridCol w:w="1616"/>
        <w:gridCol w:w="1346"/>
        <w:gridCol w:w="2416"/>
      </w:tblGrid>
      <w:tr w:rsidR="001113F6" w:rsidRPr="007C4AE3" w:rsidTr="00A520C1">
        <w:tc>
          <w:tcPr>
            <w:tcW w:w="628" w:type="pct"/>
            <w:shd w:val="clear" w:color="auto" w:fill="auto"/>
          </w:tcPr>
          <w:p w:rsidR="001113F6" w:rsidRPr="007C4AE3" w:rsidRDefault="001113F6" w:rsidP="00A520C1">
            <w:pPr>
              <w:pStyle w:val="Betarp"/>
              <w:rPr>
                <w:sz w:val="22"/>
                <w:szCs w:val="22"/>
              </w:rPr>
            </w:pPr>
            <w:r w:rsidRPr="007C4AE3">
              <w:rPr>
                <w:sz w:val="22"/>
                <w:szCs w:val="22"/>
              </w:rPr>
              <w:t xml:space="preserve">Klasės </w:t>
            </w:r>
          </w:p>
        </w:tc>
        <w:tc>
          <w:tcPr>
            <w:tcW w:w="717" w:type="pct"/>
            <w:shd w:val="clear" w:color="auto" w:fill="auto"/>
          </w:tcPr>
          <w:p w:rsidR="001113F6" w:rsidRPr="007C4AE3" w:rsidRDefault="001113F6" w:rsidP="00A520C1">
            <w:pPr>
              <w:pStyle w:val="Betarp"/>
              <w:rPr>
                <w:sz w:val="22"/>
                <w:szCs w:val="22"/>
              </w:rPr>
            </w:pPr>
            <w:proofErr w:type="spellStart"/>
            <w:r w:rsidRPr="007C4AE3">
              <w:rPr>
                <w:sz w:val="22"/>
                <w:szCs w:val="22"/>
              </w:rPr>
              <w:t>L.gerai</w:t>
            </w:r>
            <w:proofErr w:type="spellEnd"/>
            <w:r w:rsidRPr="007C4AE3">
              <w:rPr>
                <w:sz w:val="22"/>
                <w:szCs w:val="22"/>
              </w:rPr>
              <w:t xml:space="preserve"> mokosi</w:t>
            </w:r>
          </w:p>
        </w:tc>
        <w:tc>
          <w:tcPr>
            <w:tcW w:w="789" w:type="pct"/>
            <w:shd w:val="clear" w:color="auto" w:fill="auto"/>
          </w:tcPr>
          <w:p w:rsidR="001113F6" w:rsidRPr="007C4AE3" w:rsidRDefault="001113F6" w:rsidP="00A520C1">
            <w:pPr>
              <w:pStyle w:val="Betarp"/>
              <w:rPr>
                <w:sz w:val="22"/>
                <w:szCs w:val="22"/>
              </w:rPr>
            </w:pPr>
            <w:r w:rsidRPr="007C4AE3">
              <w:rPr>
                <w:sz w:val="22"/>
                <w:szCs w:val="22"/>
              </w:rPr>
              <w:t>Gerai mokosi</w:t>
            </w:r>
          </w:p>
        </w:tc>
        <w:tc>
          <w:tcPr>
            <w:tcW w:w="861" w:type="pct"/>
            <w:shd w:val="clear" w:color="auto" w:fill="auto"/>
          </w:tcPr>
          <w:p w:rsidR="001113F6" w:rsidRPr="007C4AE3" w:rsidRDefault="001113F6" w:rsidP="00A520C1">
            <w:pPr>
              <w:pStyle w:val="Betarp"/>
              <w:rPr>
                <w:sz w:val="22"/>
                <w:szCs w:val="22"/>
              </w:rPr>
            </w:pPr>
            <w:r w:rsidRPr="007C4AE3">
              <w:rPr>
                <w:sz w:val="22"/>
                <w:szCs w:val="22"/>
              </w:rPr>
              <w:t>Patenkinamai mokosi</w:t>
            </w:r>
          </w:p>
        </w:tc>
        <w:tc>
          <w:tcPr>
            <w:tcW w:w="717" w:type="pct"/>
          </w:tcPr>
          <w:p w:rsidR="001113F6" w:rsidRPr="007C4AE3" w:rsidRDefault="001113F6" w:rsidP="00A520C1">
            <w:pPr>
              <w:pStyle w:val="Betarp"/>
              <w:rPr>
                <w:sz w:val="22"/>
                <w:szCs w:val="22"/>
              </w:rPr>
            </w:pPr>
            <w:r w:rsidRPr="007C4AE3">
              <w:rPr>
                <w:sz w:val="22"/>
                <w:szCs w:val="22"/>
              </w:rPr>
              <w:t>Palikta kartoti kursą</w:t>
            </w:r>
          </w:p>
        </w:tc>
        <w:tc>
          <w:tcPr>
            <w:tcW w:w="1287" w:type="pct"/>
          </w:tcPr>
          <w:p w:rsidR="001113F6" w:rsidRPr="007C4AE3" w:rsidRDefault="001113F6" w:rsidP="00A520C1">
            <w:pPr>
              <w:pStyle w:val="Betarp"/>
              <w:rPr>
                <w:sz w:val="22"/>
                <w:szCs w:val="22"/>
              </w:rPr>
            </w:pPr>
            <w:r w:rsidRPr="007C4AE3">
              <w:rPr>
                <w:sz w:val="22"/>
                <w:szCs w:val="22"/>
              </w:rPr>
              <w:t xml:space="preserve">Nepažangūs </w:t>
            </w:r>
            <w:r w:rsidRPr="007C4AE3">
              <w:rPr>
                <w:sz w:val="22"/>
                <w:szCs w:val="22"/>
                <w:lang w:val="el-GR"/>
              </w:rPr>
              <w:t>/</w:t>
            </w:r>
            <w:r w:rsidRPr="007C4AE3">
              <w:rPr>
                <w:sz w:val="22"/>
                <w:szCs w:val="22"/>
              </w:rPr>
              <w:t>pažangumas</w:t>
            </w:r>
          </w:p>
        </w:tc>
      </w:tr>
      <w:tr w:rsidR="001113F6" w:rsidRPr="007C4AE3" w:rsidTr="00A520C1">
        <w:tc>
          <w:tcPr>
            <w:tcW w:w="628" w:type="pct"/>
            <w:shd w:val="clear" w:color="auto" w:fill="auto"/>
          </w:tcPr>
          <w:p w:rsidR="001113F6" w:rsidRPr="007C4AE3" w:rsidRDefault="001113F6" w:rsidP="00A520C1">
            <w:pPr>
              <w:pStyle w:val="Betarp"/>
              <w:rPr>
                <w:sz w:val="22"/>
                <w:szCs w:val="22"/>
              </w:rPr>
            </w:pPr>
            <w:r w:rsidRPr="007C4AE3">
              <w:rPr>
                <w:sz w:val="22"/>
                <w:szCs w:val="22"/>
              </w:rPr>
              <w:t>1-4</w:t>
            </w:r>
          </w:p>
        </w:tc>
        <w:tc>
          <w:tcPr>
            <w:tcW w:w="717" w:type="pct"/>
            <w:shd w:val="clear" w:color="auto" w:fill="auto"/>
          </w:tcPr>
          <w:p w:rsidR="001113F6" w:rsidRPr="007C4AE3" w:rsidRDefault="001113F6" w:rsidP="00A520C1">
            <w:pPr>
              <w:pStyle w:val="Betarp"/>
              <w:rPr>
                <w:sz w:val="22"/>
                <w:szCs w:val="22"/>
              </w:rPr>
            </w:pPr>
            <w:r>
              <w:rPr>
                <w:sz w:val="22"/>
                <w:szCs w:val="22"/>
              </w:rPr>
              <w:t>11 (19,6%)</w:t>
            </w:r>
          </w:p>
        </w:tc>
        <w:tc>
          <w:tcPr>
            <w:tcW w:w="789" w:type="pct"/>
            <w:shd w:val="clear" w:color="auto" w:fill="auto"/>
          </w:tcPr>
          <w:p w:rsidR="001113F6" w:rsidRPr="007C4AE3" w:rsidRDefault="001113F6" w:rsidP="00A520C1">
            <w:pPr>
              <w:pStyle w:val="Betarp"/>
              <w:rPr>
                <w:sz w:val="22"/>
                <w:szCs w:val="22"/>
              </w:rPr>
            </w:pPr>
            <w:r>
              <w:rPr>
                <w:sz w:val="22"/>
                <w:szCs w:val="22"/>
              </w:rPr>
              <w:t>22 (39,3%)</w:t>
            </w:r>
          </w:p>
        </w:tc>
        <w:tc>
          <w:tcPr>
            <w:tcW w:w="861" w:type="pct"/>
            <w:shd w:val="clear" w:color="auto" w:fill="auto"/>
          </w:tcPr>
          <w:p w:rsidR="001113F6" w:rsidRPr="007C4AE3" w:rsidRDefault="001113F6" w:rsidP="00A520C1">
            <w:pPr>
              <w:pStyle w:val="Betarp"/>
              <w:rPr>
                <w:sz w:val="22"/>
                <w:szCs w:val="22"/>
              </w:rPr>
            </w:pPr>
            <w:r>
              <w:rPr>
                <w:sz w:val="22"/>
                <w:szCs w:val="22"/>
              </w:rPr>
              <w:t>22 (39,3%)</w:t>
            </w:r>
          </w:p>
        </w:tc>
        <w:tc>
          <w:tcPr>
            <w:tcW w:w="717" w:type="pct"/>
          </w:tcPr>
          <w:p w:rsidR="001113F6" w:rsidRPr="007C4AE3" w:rsidRDefault="001113F6" w:rsidP="00A520C1">
            <w:pPr>
              <w:pStyle w:val="Betarp"/>
              <w:rPr>
                <w:sz w:val="22"/>
                <w:szCs w:val="22"/>
              </w:rPr>
            </w:pPr>
            <w:r>
              <w:rPr>
                <w:sz w:val="22"/>
                <w:szCs w:val="22"/>
              </w:rPr>
              <w:t>0</w:t>
            </w:r>
          </w:p>
        </w:tc>
        <w:tc>
          <w:tcPr>
            <w:tcW w:w="1287" w:type="pct"/>
          </w:tcPr>
          <w:p w:rsidR="001113F6" w:rsidRPr="007C4AE3" w:rsidRDefault="001113F6" w:rsidP="00A520C1">
            <w:pPr>
              <w:pStyle w:val="Betarp"/>
              <w:rPr>
                <w:sz w:val="22"/>
                <w:szCs w:val="22"/>
              </w:rPr>
            </w:pPr>
            <w:r>
              <w:rPr>
                <w:sz w:val="22"/>
                <w:szCs w:val="22"/>
              </w:rPr>
              <w:t>1 / 98,2%</w:t>
            </w:r>
          </w:p>
        </w:tc>
      </w:tr>
      <w:tr w:rsidR="001113F6" w:rsidRPr="007C4AE3" w:rsidTr="00A520C1">
        <w:tc>
          <w:tcPr>
            <w:tcW w:w="628" w:type="pct"/>
            <w:shd w:val="clear" w:color="auto" w:fill="auto"/>
          </w:tcPr>
          <w:p w:rsidR="001113F6" w:rsidRPr="007C4AE3" w:rsidRDefault="001113F6" w:rsidP="00A520C1">
            <w:pPr>
              <w:pStyle w:val="Betarp"/>
              <w:rPr>
                <w:sz w:val="22"/>
                <w:szCs w:val="22"/>
              </w:rPr>
            </w:pPr>
            <w:r w:rsidRPr="007C4AE3">
              <w:rPr>
                <w:sz w:val="22"/>
                <w:szCs w:val="22"/>
              </w:rPr>
              <w:t>5-8</w:t>
            </w:r>
          </w:p>
        </w:tc>
        <w:tc>
          <w:tcPr>
            <w:tcW w:w="717" w:type="pct"/>
            <w:shd w:val="clear" w:color="auto" w:fill="auto"/>
          </w:tcPr>
          <w:p w:rsidR="001113F6" w:rsidRPr="007C4AE3" w:rsidRDefault="001113F6" w:rsidP="00A520C1">
            <w:pPr>
              <w:pStyle w:val="Betarp"/>
              <w:rPr>
                <w:sz w:val="22"/>
                <w:szCs w:val="22"/>
              </w:rPr>
            </w:pPr>
            <w:r>
              <w:rPr>
                <w:sz w:val="22"/>
                <w:szCs w:val="22"/>
              </w:rPr>
              <w:t>4 (8%)</w:t>
            </w:r>
          </w:p>
        </w:tc>
        <w:tc>
          <w:tcPr>
            <w:tcW w:w="789" w:type="pct"/>
            <w:shd w:val="clear" w:color="auto" w:fill="auto"/>
          </w:tcPr>
          <w:p w:rsidR="001113F6" w:rsidRPr="007C4AE3" w:rsidRDefault="001113F6" w:rsidP="00A520C1">
            <w:pPr>
              <w:pStyle w:val="Betarp"/>
              <w:rPr>
                <w:sz w:val="22"/>
                <w:szCs w:val="22"/>
              </w:rPr>
            </w:pPr>
            <w:r>
              <w:rPr>
                <w:sz w:val="22"/>
                <w:szCs w:val="22"/>
              </w:rPr>
              <w:t>11(22%)</w:t>
            </w:r>
          </w:p>
        </w:tc>
        <w:tc>
          <w:tcPr>
            <w:tcW w:w="861" w:type="pct"/>
            <w:shd w:val="clear" w:color="auto" w:fill="auto"/>
          </w:tcPr>
          <w:p w:rsidR="001113F6" w:rsidRPr="007C4AE3" w:rsidRDefault="001113F6" w:rsidP="00A520C1">
            <w:pPr>
              <w:pStyle w:val="Betarp"/>
              <w:rPr>
                <w:sz w:val="22"/>
                <w:szCs w:val="22"/>
              </w:rPr>
            </w:pPr>
            <w:r>
              <w:rPr>
                <w:sz w:val="22"/>
                <w:szCs w:val="22"/>
              </w:rPr>
              <w:t>35 (70%)</w:t>
            </w:r>
          </w:p>
        </w:tc>
        <w:tc>
          <w:tcPr>
            <w:tcW w:w="717" w:type="pct"/>
          </w:tcPr>
          <w:p w:rsidR="001113F6" w:rsidRPr="007C4AE3" w:rsidRDefault="001113F6" w:rsidP="00A520C1">
            <w:pPr>
              <w:pStyle w:val="Betarp"/>
              <w:rPr>
                <w:sz w:val="22"/>
                <w:szCs w:val="22"/>
              </w:rPr>
            </w:pPr>
            <w:r>
              <w:rPr>
                <w:sz w:val="22"/>
                <w:szCs w:val="22"/>
              </w:rPr>
              <w:t>0</w:t>
            </w:r>
          </w:p>
        </w:tc>
        <w:tc>
          <w:tcPr>
            <w:tcW w:w="1287" w:type="pct"/>
          </w:tcPr>
          <w:p w:rsidR="001113F6" w:rsidRPr="007C4AE3" w:rsidRDefault="001113F6" w:rsidP="00A520C1">
            <w:pPr>
              <w:pStyle w:val="Betarp"/>
              <w:rPr>
                <w:sz w:val="22"/>
                <w:szCs w:val="22"/>
              </w:rPr>
            </w:pPr>
            <w:r>
              <w:rPr>
                <w:sz w:val="22"/>
                <w:szCs w:val="22"/>
              </w:rPr>
              <w:t>0 / 100%</w:t>
            </w:r>
          </w:p>
        </w:tc>
      </w:tr>
      <w:tr w:rsidR="001113F6" w:rsidRPr="007C4AE3" w:rsidTr="00A520C1">
        <w:tc>
          <w:tcPr>
            <w:tcW w:w="628" w:type="pct"/>
            <w:shd w:val="clear" w:color="auto" w:fill="auto"/>
          </w:tcPr>
          <w:p w:rsidR="001113F6" w:rsidRPr="007C4AE3" w:rsidRDefault="001113F6" w:rsidP="00A520C1">
            <w:pPr>
              <w:pStyle w:val="Betarp"/>
              <w:rPr>
                <w:sz w:val="22"/>
                <w:szCs w:val="22"/>
              </w:rPr>
            </w:pPr>
            <w:r w:rsidRPr="007C4AE3">
              <w:rPr>
                <w:sz w:val="22"/>
                <w:szCs w:val="22"/>
              </w:rPr>
              <w:t>I-II g</w:t>
            </w:r>
          </w:p>
        </w:tc>
        <w:tc>
          <w:tcPr>
            <w:tcW w:w="717" w:type="pct"/>
            <w:shd w:val="clear" w:color="auto" w:fill="auto"/>
          </w:tcPr>
          <w:p w:rsidR="001113F6" w:rsidRPr="007C4AE3" w:rsidRDefault="001113F6" w:rsidP="00A520C1">
            <w:pPr>
              <w:pStyle w:val="Betarp"/>
              <w:rPr>
                <w:sz w:val="22"/>
                <w:szCs w:val="22"/>
              </w:rPr>
            </w:pPr>
            <w:r>
              <w:rPr>
                <w:sz w:val="22"/>
                <w:szCs w:val="22"/>
              </w:rPr>
              <w:t>3 (6,9%)</w:t>
            </w:r>
          </w:p>
        </w:tc>
        <w:tc>
          <w:tcPr>
            <w:tcW w:w="789" w:type="pct"/>
            <w:shd w:val="clear" w:color="auto" w:fill="auto"/>
          </w:tcPr>
          <w:p w:rsidR="001113F6" w:rsidRPr="007C4AE3" w:rsidRDefault="001113F6" w:rsidP="00A520C1">
            <w:pPr>
              <w:pStyle w:val="Betarp"/>
              <w:rPr>
                <w:sz w:val="22"/>
                <w:szCs w:val="22"/>
              </w:rPr>
            </w:pPr>
            <w:r>
              <w:rPr>
                <w:sz w:val="22"/>
                <w:szCs w:val="22"/>
              </w:rPr>
              <w:t xml:space="preserve">9 (20,9%) </w:t>
            </w:r>
          </w:p>
        </w:tc>
        <w:tc>
          <w:tcPr>
            <w:tcW w:w="861" w:type="pct"/>
            <w:shd w:val="clear" w:color="auto" w:fill="auto"/>
          </w:tcPr>
          <w:p w:rsidR="001113F6" w:rsidRPr="007C4AE3" w:rsidRDefault="001113F6" w:rsidP="00A520C1">
            <w:pPr>
              <w:pStyle w:val="Betarp"/>
              <w:rPr>
                <w:sz w:val="22"/>
                <w:szCs w:val="22"/>
              </w:rPr>
            </w:pPr>
            <w:r>
              <w:rPr>
                <w:sz w:val="22"/>
                <w:szCs w:val="22"/>
              </w:rPr>
              <w:t>29 (67,4%)</w:t>
            </w:r>
          </w:p>
        </w:tc>
        <w:tc>
          <w:tcPr>
            <w:tcW w:w="717" w:type="pct"/>
          </w:tcPr>
          <w:p w:rsidR="001113F6" w:rsidRPr="007C4AE3" w:rsidRDefault="001113F6" w:rsidP="00A520C1">
            <w:pPr>
              <w:pStyle w:val="Betarp"/>
              <w:rPr>
                <w:sz w:val="22"/>
                <w:szCs w:val="22"/>
              </w:rPr>
            </w:pPr>
            <w:r>
              <w:rPr>
                <w:sz w:val="22"/>
                <w:szCs w:val="22"/>
              </w:rPr>
              <w:t>0</w:t>
            </w:r>
          </w:p>
        </w:tc>
        <w:tc>
          <w:tcPr>
            <w:tcW w:w="1287" w:type="pct"/>
          </w:tcPr>
          <w:p w:rsidR="001113F6" w:rsidRPr="007C4AE3" w:rsidRDefault="001113F6" w:rsidP="00A520C1">
            <w:pPr>
              <w:pStyle w:val="Betarp"/>
              <w:rPr>
                <w:sz w:val="22"/>
                <w:szCs w:val="22"/>
              </w:rPr>
            </w:pPr>
            <w:r>
              <w:rPr>
                <w:sz w:val="22"/>
                <w:szCs w:val="22"/>
              </w:rPr>
              <w:t>0 / 100%</w:t>
            </w:r>
          </w:p>
        </w:tc>
      </w:tr>
      <w:tr w:rsidR="001113F6" w:rsidRPr="007C4AE3" w:rsidTr="00A520C1">
        <w:tc>
          <w:tcPr>
            <w:tcW w:w="628" w:type="pct"/>
            <w:shd w:val="clear" w:color="auto" w:fill="auto"/>
          </w:tcPr>
          <w:p w:rsidR="001113F6" w:rsidRPr="007C4AE3" w:rsidRDefault="001113F6" w:rsidP="00A520C1">
            <w:pPr>
              <w:pStyle w:val="Betarp"/>
              <w:rPr>
                <w:sz w:val="22"/>
                <w:szCs w:val="22"/>
              </w:rPr>
            </w:pPr>
            <w:r w:rsidRPr="007C4AE3">
              <w:rPr>
                <w:sz w:val="22"/>
                <w:szCs w:val="22"/>
              </w:rPr>
              <w:t>III-IV g</w:t>
            </w:r>
          </w:p>
        </w:tc>
        <w:tc>
          <w:tcPr>
            <w:tcW w:w="717" w:type="pct"/>
            <w:shd w:val="clear" w:color="auto" w:fill="auto"/>
          </w:tcPr>
          <w:p w:rsidR="001113F6" w:rsidRPr="007C4AE3" w:rsidRDefault="001113F6" w:rsidP="00A520C1">
            <w:pPr>
              <w:pStyle w:val="Betarp"/>
              <w:rPr>
                <w:sz w:val="22"/>
                <w:szCs w:val="22"/>
              </w:rPr>
            </w:pPr>
            <w:r>
              <w:rPr>
                <w:sz w:val="22"/>
                <w:szCs w:val="22"/>
              </w:rPr>
              <w:t>1 (2,6%)</w:t>
            </w:r>
          </w:p>
        </w:tc>
        <w:tc>
          <w:tcPr>
            <w:tcW w:w="789" w:type="pct"/>
            <w:shd w:val="clear" w:color="auto" w:fill="auto"/>
          </w:tcPr>
          <w:p w:rsidR="001113F6" w:rsidRPr="007C4AE3" w:rsidRDefault="001113F6" w:rsidP="00A520C1">
            <w:pPr>
              <w:pStyle w:val="Betarp"/>
              <w:rPr>
                <w:sz w:val="22"/>
                <w:szCs w:val="22"/>
              </w:rPr>
            </w:pPr>
            <w:r>
              <w:rPr>
                <w:sz w:val="22"/>
                <w:szCs w:val="22"/>
              </w:rPr>
              <w:t>7 (17,9%)</w:t>
            </w:r>
          </w:p>
        </w:tc>
        <w:tc>
          <w:tcPr>
            <w:tcW w:w="861" w:type="pct"/>
            <w:shd w:val="clear" w:color="auto" w:fill="auto"/>
          </w:tcPr>
          <w:p w:rsidR="001113F6" w:rsidRPr="007C4AE3" w:rsidRDefault="001113F6" w:rsidP="00A520C1">
            <w:pPr>
              <w:pStyle w:val="Betarp"/>
              <w:rPr>
                <w:sz w:val="22"/>
                <w:szCs w:val="22"/>
              </w:rPr>
            </w:pPr>
            <w:r>
              <w:rPr>
                <w:sz w:val="22"/>
                <w:szCs w:val="22"/>
              </w:rPr>
              <w:t>29 (74,35%)</w:t>
            </w:r>
          </w:p>
        </w:tc>
        <w:tc>
          <w:tcPr>
            <w:tcW w:w="717" w:type="pct"/>
          </w:tcPr>
          <w:p w:rsidR="001113F6" w:rsidRPr="007C4AE3" w:rsidRDefault="001113F6" w:rsidP="00A520C1">
            <w:pPr>
              <w:pStyle w:val="Betarp"/>
              <w:rPr>
                <w:sz w:val="22"/>
                <w:szCs w:val="22"/>
              </w:rPr>
            </w:pPr>
            <w:r>
              <w:rPr>
                <w:sz w:val="22"/>
                <w:szCs w:val="22"/>
              </w:rPr>
              <w:t>0</w:t>
            </w:r>
          </w:p>
        </w:tc>
        <w:tc>
          <w:tcPr>
            <w:tcW w:w="1287" w:type="pct"/>
          </w:tcPr>
          <w:p w:rsidR="001113F6" w:rsidRPr="007C4AE3" w:rsidRDefault="001113F6" w:rsidP="00A520C1">
            <w:pPr>
              <w:pStyle w:val="Betarp"/>
              <w:rPr>
                <w:sz w:val="22"/>
                <w:szCs w:val="22"/>
              </w:rPr>
            </w:pPr>
            <w:r>
              <w:rPr>
                <w:sz w:val="22"/>
                <w:szCs w:val="22"/>
              </w:rPr>
              <w:t>2 / 94,87%</w:t>
            </w:r>
          </w:p>
        </w:tc>
      </w:tr>
      <w:tr w:rsidR="001113F6" w:rsidRPr="007C4AE3" w:rsidTr="00A520C1">
        <w:tc>
          <w:tcPr>
            <w:tcW w:w="628" w:type="pct"/>
            <w:shd w:val="clear" w:color="auto" w:fill="auto"/>
          </w:tcPr>
          <w:p w:rsidR="001113F6" w:rsidRPr="007C4AE3" w:rsidRDefault="001113F6" w:rsidP="00A520C1">
            <w:pPr>
              <w:pStyle w:val="Betarp"/>
              <w:rPr>
                <w:b/>
                <w:sz w:val="22"/>
                <w:szCs w:val="22"/>
              </w:rPr>
            </w:pPr>
            <w:r w:rsidRPr="007C4AE3">
              <w:rPr>
                <w:b/>
                <w:sz w:val="22"/>
                <w:szCs w:val="22"/>
              </w:rPr>
              <w:t>Iš viso:</w:t>
            </w:r>
          </w:p>
        </w:tc>
        <w:tc>
          <w:tcPr>
            <w:tcW w:w="717" w:type="pct"/>
            <w:shd w:val="clear" w:color="auto" w:fill="auto"/>
          </w:tcPr>
          <w:p w:rsidR="001113F6" w:rsidRPr="007C4AE3" w:rsidRDefault="001113F6" w:rsidP="00A520C1">
            <w:pPr>
              <w:pStyle w:val="Betarp"/>
              <w:rPr>
                <w:b/>
                <w:sz w:val="22"/>
                <w:szCs w:val="22"/>
              </w:rPr>
            </w:pPr>
            <w:r>
              <w:rPr>
                <w:b/>
                <w:sz w:val="22"/>
                <w:szCs w:val="22"/>
              </w:rPr>
              <w:t>19 (10,1 %)</w:t>
            </w:r>
          </w:p>
        </w:tc>
        <w:tc>
          <w:tcPr>
            <w:tcW w:w="789" w:type="pct"/>
            <w:shd w:val="clear" w:color="auto" w:fill="auto"/>
          </w:tcPr>
          <w:p w:rsidR="001113F6" w:rsidRPr="007C4AE3" w:rsidRDefault="001113F6" w:rsidP="00A520C1">
            <w:pPr>
              <w:pStyle w:val="Betarp"/>
              <w:rPr>
                <w:b/>
                <w:sz w:val="22"/>
                <w:szCs w:val="22"/>
              </w:rPr>
            </w:pPr>
            <w:r>
              <w:rPr>
                <w:b/>
                <w:sz w:val="22"/>
                <w:szCs w:val="22"/>
              </w:rPr>
              <w:t>49 (26,06%)</w:t>
            </w:r>
          </w:p>
        </w:tc>
        <w:tc>
          <w:tcPr>
            <w:tcW w:w="861" w:type="pct"/>
            <w:shd w:val="clear" w:color="auto" w:fill="auto"/>
          </w:tcPr>
          <w:p w:rsidR="001113F6" w:rsidRPr="007C4AE3" w:rsidRDefault="001113F6" w:rsidP="00A520C1">
            <w:pPr>
              <w:pStyle w:val="Betarp"/>
              <w:rPr>
                <w:b/>
                <w:sz w:val="22"/>
                <w:szCs w:val="22"/>
              </w:rPr>
            </w:pPr>
            <w:r>
              <w:rPr>
                <w:b/>
                <w:sz w:val="22"/>
                <w:szCs w:val="22"/>
              </w:rPr>
              <w:t xml:space="preserve">115 (61,17%) </w:t>
            </w:r>
          </w:p>
        </w:tc>
        <w:tc>
          <w:tcPr>
            <w:tcW w:w="717" w:type="pct"/>
          </w:tcPr>
          <w:p w:rsidR="001113F6" w:rsidRPr="007C4AE3" w:rsidRDefault="001113F6" w:rsidP="00A520C1">
            <w:pPr>
              <w:pStyle w:val="Betarp"/>
              <w:rPr>
                <w:b/>
                <w:sz w:val="22"/>
                <w:szCs w:val="22"/>
              </w:rPr>
            </w:pPr>
            <w:r>
              <w:rPr>
                <w:b/>
                <w:sz w:val="22"/>
                <w:szCs w:val="22"/>
              </w:rPr>
              <w:t>0</w:t>
            </w:r>
          </w:p>
        </w:tc>
        <w:tc>
          <w:tcPr>
            <w:tcW w:w="1287" w:type="pct"/>
          </w:tcPr>
          <w:p w:rsidR="001113F6" w:rsidRPr="007C4AE3" w:rsidRDefault="001113F6" w:rsidP="00A520C1">
            <w:pPr>
              <w:pStyle w:val="Betarp"/>
              <w:rPr>
                <w:b/>
                <w:sz w:val="22"/>
                <w:szCs w:val="22"/>
              </w:rPr>
            </w:pPr>
            <w:r>
              <w:rPr>
                <w:b/>
                <w:sz w:val="22"/>
                <w:szCs w:val="22"/>
              </w:rPr>
              <w:t>4/ (98,4%)</w:t>
            </w:r>
          </w:p>
        </w:tc>
      </w:tr>
    </w:tbl>
    <w:p w:rsidR="001113F6" w:rsidRPr="00373A53" w:rsidRDefault="001113F6" w:rsidP="001113F6">
      <w:pPr>
        <w:pStyle w:val="Betarp"/>
        <w:ind w:firstLine="720"/>
        <w:jc w:val="both"/>
      </w:pPr>
      <w:r w:rsidRPr="006A73F8">
        <w:t xml:space="preserve">Lyginant </w:t>
      </w:r>
      <w:r>
        <w:t xml:space="preserve">su 2016-2017 m.m. išaugo </w:t>
      </w:r>
      <w:proofErr w:type="spellStart"/>
      <w:r>
        <w:t>l.gerai</w:t>
      </w:r>
      <w:proofErr w:type="spellEnd"/>
      <w:r>
        <w:t xml:space="preserve"> ir gerai besimokančių mokinių dalis (nuo 32,3% iki 36,16%).Padaugėjo nepažangių mokinių. </w:t>
      </w:r>
      <w:r w:rsidRPr="00373A53">
        <w:t xml:space="preserve">Papildomi darbai </w:t>
      </w:r>
      <w:r>
        <w:t>pasibaigus mokslo metams buvo skirti 15 mokinių. 13 mokinių sėkmingai atliko papildomus darbus. Neatsiskaitė du  mokiniai, vienas  - III g kl., ir vienas  - IV g kl. mokinys. Vienas 2 kl. mokinys keliamas į trečią klasę su metiniais nepatenkinamais įvertinimais.</w:t>
      </w:r>
    </w:p>
    <w:p w:rsidR="001113F6" w:rsidRDefault="001113F6" w:rsidP="001113F6">
      <w:pPr>
        <w:spacing w:after="0"/>
        <w:ind w:firstLine="426"/>
        <w:jc w:val="both"/>
        <w:rPr>
          <w:rFonts w:ascii="Times New Roman" w:hAnsi="Times New Roman" w:cs="Times New Roman"/>
          <w:sz w:val="24"/>
          <w:szCs w:val="24"/>
        </w:rPr>
      </w:pPr>
      <w:r>
        <w:rPr>
          <w:rFonts w:ascii="Times New Roman" w:hAnsi="Times New Roman" w:cs="Times New Roman"/>
          <w:sz w:val="24"/>
          <w:szCs w:val="24"/>
        </w:rPr>
        <w:t>Visų mokomųjų dalykų pažangą (pagal pasiekimų lygius) lyginant 2017-2018 metinį su 2016-2017 metiniu padarė 37,5 % visų mokinių.</w:t>
      </w:r>
    </w:p>
    <w:p w:rsidR="001113F6" w:rsidRPr="00373A53" w:rsidRDefault="001113F6" w:rsidP="001113F6">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Atskirų dalykų mokymosi kokybė pakankamai gera. </w:t>
      </w:r>
      <w:r w:rsidRPr="00373A53">
        <w:rPr>
          <w:rFonts w:ascii="Times New Roman" w:hAnsi="Times New Roman" w:cs="Times New Roman"/>
          <w:sz w:val="24"/>
          <w:szCs w:val="24"/>
        </w:rPr>
        <w:t xml:space="preserve">Kiekvieną mokomąjį dalyką aukštesniuoju arba pagrindiniu lygiu mokosi daugiau kaip pusė mokinių. </w:t>
      </w:r>
    </w:p>
    <w:p w:rsidR="001113F6" w:rsidRPr="00373A53" w:rsidRDefault="001113F6" w:rsidP="001113F6">
      <w:pPr>
        <w:spacing w:after="0"/>
        <w:ind w:firstLine="426"/>
        <w:jc w:val="both"/>
        <w:rPr>
          <w:rFonts w:ascii="Times New Roman" w:hAnsi="Times New Roman" w:cs="Times New Roman"/>
          <w:sz w:val="24"/>
          <w:szCs w:val="24"/>
        </w:rPr>
      </w:pPr>
      <w:r w:rsidRPr="00373A53">
        <w:rPr>
          <w:rFonts w:ascii="Times New Roman" w:hAnsi="Times New Roman" w:cs="Times New Roman"/>
          <w:sz w:val="24"/>
          <w:szCs w:val="24"/>
        </w:rPr>
        <w:t>5-II g kl. sunkiausiai sekasi mokytis anglų kalbos, matematikos</w:t>
      </w:r>
      <w:r>
        <w:rPr>
          <w:rFonts w:ascii="Times New Roman" w:hAnsi="Times New Roman" w:cs="Times New Roman"/>
          <w:sz w:val="24"/>
          <w:szCs w:val="24"/>
        </w:rPr>
        <w:t xml:space="preserve"> </w:t>
      </w:r>
      <w:r w:rsidRPr="00373A53">
        <w:rPr>
          <w:rFonts w:ascii="Times New Roman" w:hAnsi="Times New Roman" w:cs="Times New Roman"/>
          <w:sz w:val="24"/>
          <w:szCs w:val="24"/>
        </w:rPr>
        <w:t>ir fizikos (lyginant su kitais dalykais, daugiau mokosi patenkinamu lygiu).</w:t>
      </w:r>
    </w:p>
    <w:p w:rsidR="001113F6" w:rsidRPr="00373A53" w:rsidRDefault="00885A2E" w:rsidP="00885A2E">
      <w:pPr>
        <w:pStyle w:val="Betarp"/>
        <w:ind w:firstLine="1296"/>
      </w:pPr>
      <w:r>
        <w:t>2.2</w:t>
      </w:r>
      <w:r w:rsidR="001113F6" w:rsidRPr="00373A53">
        <w:t>. Rajono dalykinių olimpiadų rezultatai 201</w:t>
      </w:r>
      <w:r w:rsidR="001113F6">
        <w:t>7</w:t>
      </w:r>
      <w:r w:rsidR="001113F6" w:rsidRPr="00373A53">
        <w:t>-201</w:t>
      </w:r>
      <w:r w:rsidR="001113F6">
        <w:t>8</w:t>
      </w:r>
      <w:r w:rsidR="001113F6" w:rsidRPr="00373A53">
        <w:t xml:space="preserve"> m.m.</w:t>
      </w:r>
    </w:p>
    <w:p w:rsidR="001113F6" w:rsidRPr="00373A53" w:rsidRDefault="001113F6" w:rsidP="001113F6">
      <w:pPr>
        <w:pStyle w:val="Betarp"/>
      </w:pPr>
      <w:r w:rsidRPr="00373A53">
        <w:t xml:space="preserve">Užimtų prizinių vietų skaičius. </w:t>
      </w:r>
    </w:p>
    <w:tbl>
      <w:tblPr>
        <w:tblW w:w="9317" w:type="dxa"/>
        <w:tblInd w:w="93" w:type="dxa"/>
        <w:tblLook w:val="04A0" w:firstRow="1" w:lastRow="0" w:firstColumn="1" w:lastColumn="0" w:noHBand="0" w:noVBand="1"/>
      </w:tblPr>
      <w:tblGrid>
        <w:gridCol w:w="1331"/>
        <w:gridCol w:w="1331"/>
        <w:gridCol w:w="1331"/>
        <w:gridCol w:w="1331"/>
        <w:gridCol w:w="1331"/>
        <w:gridCol w:w="1331"/>
        <w:gridCol w:w="1331"/>
      </w:tblGrid>
      <w:tr w:rsidR="001113F6" w:rsidRPr="00894033" w:rsidTr="00A520C1">
        <w:trPr>
          <w:trHeight w:val="491"/>
        </w:trPr>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b/>
                <w:bCs/>
                <w:color w:val="000000"/>
              </w:rPr>
            </w:pPr>
            <w:r w:rsidRPr="00894033">
              <w:rPr>
                <w:rFonts w:ascii="Times New Roman" w:hAnsi="Times New Roman" w:cs="Times New Roman"/>
                <w:b/>
                <w:bCs/>
                <w:color w:val="000000"/>
              </w:rPr>
              <w:t> Mokslo metai</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1113F6" w:rsidRPr="00894033" w:rsidRDefault="001113F6" w:rsidP="00A520C1">
            <w:pPr>
              <w:spacing w:after="0"/>
              <w:rPr>
                <w:rFonts w:ascii="Times New Roman" w:hAnsi="Times New Roman" w:cs="Times New Roman"/>
                <w:color w:val="000000"/>
              </w:rPr>
            </w:pPr>
            <w:r w:rsidRPr="00894033">
              <w:rPr>
                <w:rFonts w:ascii="Times New Roman" w:hAnsi="Times New Roman" w:cs="Times New Roman"/>
                <w:color w:val="000000"/>
              </w:rPr>
              <w:t>2012-2013</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1113F6" w:rsidRPr="00894033" w:rsidRDefault="001113F6" w:rsidP="00A520C1">
            <w:pPr>
              <w:spacing w:after="0"/>
              <w:rPr>
                <w:rFonts w:ascii="Times New Roman" w:hAnsi="Times New Roman" w:cs="Times New Roman"/>
                <w:color w:val="000000"/>
              </w:rPr>
            </w:pPr>
            <w:r w:rsidRPr="00894033">
              <w:rPr>
                <w:rFonts w:ascii="Times New Roman" w:hAnsi="Times New Roman" w:cs="Times New Roman"/>
                <w:color w:val="000000"/>
              </w:rPr>
              <w:t>2013-2014</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1113F6" w:rsidRPr="00894033" w:rsidRDefault="001113F6" w:rsidP="00A520C1">
            <w:pPr>
              <w:spacing w:after="0"/>
              <w:rPr>
                <w:rFonts w:ascii="Times New Roman" w:hAnsi="Times New Roman" w:cs="Times New Roman"/>
                <w:color w:val="000000"/>
              </w:rPr>
            </w:pPr>
            <w:r w:rsidRPr="00894033">
              <w:rPr>
                <w:rFonts w:ascii="Times New Roman" w:hAnsi="Times New Roman" w:cs="Times New Roman"/>
                <w:color w:val="000000"/>
              </w:rPr>
              <w:t>2014-2015</w:t>
            </w:r>
          </w:p>
        </w:tc>
        <w:tc>
          <w:tcPr>
            <w:tcW w:w="1331" w:type="dxa"/>
            <w:tcBorders>
              <w:top w:val="single" w:sz="4" w:space="0" w:color="auto"/>
              <w:left w:val="nil"/>
              <w:bottom w:val="single" w:sz="4" w:space="0" w:color="auto"/>
              <w:right w:val="single" w:sz="4" w:space="0" w:color="auto"/>
            </w:tcBorders>
            <w:vAlign w:val="center"/>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2015-2016</w:t>
            </w:r>
          </w:p>
        </w:tc>
        <w:tc>
          <w:tcPr>
            <w:tcW w:w="1331" w:type="dxa"/>
            <w:tcBorders>
              <w:top w:val="single" w:sz="4" w:space="0" w:color="auto"/>
              <w:left w:val="nil"/>
              <w:bottom w:val="single" w:sz="4" w:space="0" w:color="auto"/>
              <w:right w:val="single" w:sz="4" w:space="0" w:color="auto"/>
            </w:tcBorders>
            <w:vAlign w:val="center"/>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2016-2017</w:t>
            </w:r>
          </w:p>
        </w:tc>
        <w:tc>
          <w:tcPr>
            <w:tcW w:w="1331" w:type="dxa"/>
            <w:tcBorders>
              <w:top w:val="single" w:sz="4" w:space="0" w:color="auto"/>
              <w:left w:val="nil"/>
              <w:bottom w:val="single" w:sz="4" w:space="0" w:color="auto"/>
              <w:right w:val="single" w:sz="4" w:space="0" w:color="auto"/>
            </w:tcBorders>
            <w:vAlign w:val="center"/>
          </w:tcPr>
          <w:p w:rsidR="001113F6" w:rsidRPr="00894033" w:rsidRDefault="001113F6" w:rsidP="00A520C1">
            <w:pPr>
              <w:spacing w:after="0"/>
              <w:jc w:val="center"/>
              <w:rPr>
                <w:rFonts w:ascii="Times New Roman" w:hAnsi="Times New Roman" w:cs="Times New Roman"/>
                <w:color w:val="000000"/>
              </w:rPr>
            </w:pPr>
            <w:r>
              <w:rPr>
                <w:rFonts w:ascii="Times New Roman" w:hAnsi="Times New Roman" w:cs="Times New Roman"/>
                <w:color w:val="000000"/>
              </w:rPr>
              <w:t>2017-2018</w:t>
            </w:r>
          </w:p>
        </w:tc>
      </w:tr>
      <w:tr w:rsidR="001113F6" w:rsidRPr="00894033" w:rsidTr="00A520C1">
        <w:trPr>
          <w:trHeight w:val="323"/>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b/>
                <w:bCs/>
                <w:color w:val="000000"/>
              </w:rPr>
            </w:pPr>
            <w:r w:rsidRPr="00894033">
              <w:rPr>
                <w:rFonts w:ascii="Times New Roman" w:hAnsi="Times New Roman" w:cs="Times New Roman"/>
                <w:b/>
                <w:bCs/>
                <w:color w:val="000000"/>
              </w:rPr>
              <w:lastRenderedPageBreak/>
              <w:t>1 vieta</w:t>
            </w:r>
          </w:p>
        </w:tc>
        <w:tc>
          <w:tcPr>
            <w:tcW w:w="1331" w:type="dxa"/>
            <w:tcBorders>
              <w:top w:val="nil"/>
              <w:left w:val="nil"/>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4</w:t>
            </w:r>
          </w:p>
        </w:tc>
        <w:tc>
          <w:tcPr>
            <w:tcW w:w="1331" w:type="dxa"/>
            <w:tcBorders>
              <w:top w:val="nil"/>
              <w:left w:val="nil"/>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6</w:t>
            </w:r>
          </w:p>
        </w:tc>
        <w:tc>
          <w:tcPr>
            <w:tcW w:w="1331" w:type="dxa"/>
            <w:tcBorders>
              <w:top w:val="nil"/>
              <w:left w:val="nil"/>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11</w:t>
            </w:r>
          </w:p>
        </w:tc>
        <w:tc>
          <w:tcPr>
            <w:tcW w:w="1331" w:type="dxa"/>
            <w:tcBorders>
              <w:top w:val="nil"/>
              <w:left w:val="nil"/>
              <w:bottom w:val="single" w:sz="4" w:space="0" w:color="auto"/>
              <w:right w:val="single" w:sz="4" w:space="0" w:color="auto"/>
            </w:tcBorders>
            <w:vAlign w:val="center"/>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7</w:t>
            </w:r>
          </w:p>
        </w:tc>
        <w:tc>
          <w:tcPr>
            <w:tcW w:w="1331" w:type="dxa"/>
            <w:tcBorders>
              <w:top w:val="nil"/>
              <w:left w:val="nil"/>
              <w:bottom w:val="single" w:sz="4" w:space="0" w:color="auto"/>
              <w:right w:val="single" w:sz="4" w:space="0" w:color="auto"/>
            </w:tcBorders>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9</w:t>
            </w:r>
          </w:p>
        </w:tc>
        <w:tc>
          <w:tcPr>
            <w:tcW w:w="1331" w:type="dxa"/>
            <w:tcBorders>
              <w:top w:val="nil"/>
              <w:left w:val="nil"/>
              <w:bottom w:val="single" w:sz="4" w:space="0" w:color="auto"/>
              <w:right w:val="single" w:sz="4" w:space="0" w:color="auto"/>
            </w:tcBorders>
          </w:tcPr>
          <w:p w:rsidR="001113F6" w:rsidRPr="00894033" w:rsidRDefault="001113F6" w:rsidP="00A520C1">
            <w:pPr>
              <w:spacing w:after="0"/>
              <w:jc w:val="center"/>
              <w:rPr>
                <w:rFonts w:ascii="Times New Roman" w:hAnsi="Times New Roman" w:cs="Times New Roman"/>
                <w:color w:val="000000"/>
              </w:rPr>
            </w:pPr>
            <w:r>
              <w:rPr>
                <w:rFonts w:ascii="Times New Roman" w:hAnsi="Times New Roman" w:cs="Times New Roman"/>
                <w:color w:val="000000"/>
              </w:rPr>
              <w:t>12</w:t>
            </w:r>
          </w:p>
        </w:tc>
      </w:tr>
      <w:tr w:rsidR="001113F6" w:rsidRPr="00894033" w:rsidTr="00A520C1">
        <w:trPr>
          <w:trHeight w:val="323"/>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b/>
                <w:bCs/>
                <w:color w:val="000000"/>
              </w:rPr>
            </w:pPr>
            <w:r w:rsidRPr="00894033">
              <w:rPr>
                <w:rFonts w:ascii="Times New Roman" w:hAnsi="Times New Roman" w:cs="Times New Roman"/>
                <w:b/>
                <w:bCs/>
                <w:color w:val="000000"/>
              </w:rPr>
              <w:t>2 vieta</w:t>
            </w:r>
          </w:p>
        </w:tc>
        <w:tc>
          <w:tcPr>
            <w:tcW w:w="1331" w:type="dxa"/>
            <w:tcBorders>
              <w:top w:val="nil"/>
              <w:left w:val="nil"/>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6</w:t>
            </w:r>
          </w:p>
        </w:tc>
        <w:tc>
          <w:tcPr>
            <w:tcW w:w="1331" w:type="dxa"/>
            <w:tcBorders>
              <w:top w:val="nil"/>
              <w:left w:val="nil"/>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12</w:t>
            </w:r>
          </w:p>
        </w:tc>
        <w:tc>
          <w:tcPr>
            <w:tcW w:w="1331" w:type="dxa"/>
            <w:tcBorders>
              <w:top w:val="nil"/>
              <w:left w:val="nil"/>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6</w:t>
            </w:r>
          </w:p>
        </w:tc>
        <w:tc>
          <w:tcPr>
            <w:tcW w:w="1331" w:type="dxa"/>
            <w:tcBorders>
              <w:top w:val="nil"/>
              <w:left w:val="nil"/>
              <w:bottom w:val="single" w:sz="4" w:space="0" w:color="auto"/>
              <w:right w:val="single" w:sz="4" w:space="0" w:color="auto"/>
            </w:tcBorders>
            <w:vAlign w:val="center"/>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13</w:t>
            </w:r>
          </w:p>
        </w:tc>
        <w:tc>
          <w:tcPr>
            <w:tcW w:w="1331" w:type="dxa"/>
            <w:tcBorders>
              <w:top w:val="nil"/>
              <w:left w:val="nil"/>
              <w:bottom w:val="single" w:sz="4" w:space="0" w:color="auto"/>
              <w:right w:val="single" w:sz="4" w:space="0" w:color="auto"/>
            </w:tcBorders>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10</w:t>
            </w:r>
          </w:p>
        </w:tc>
        <w:tc>
          <w:tcPr>
            <w:tcW w:w="1331" w:type="dxa"/>
            <w:tcBorders>
              <w:top w:val="nil"/>
              <w:left w:val="nil"/>
              <w:bottom w:val="single" w:sz="4" w:space="0" w:color="auto"/>
              <w:right w:val="single" w:sz="4" w:space="0" w:color="auto"/>
            </w:tcBorders>
          </w:tcPr>
          <w:p w:rsidR="001113F6" w:rsidRPr="00894033" w:rsidRDefault="001113F6" w:rsidP="00A520C1">
            <w:pPr>
              <w:spacing w:after="0"/>
              <w:jc w:val="center"/>
              <w:rPr>
                <w:rFonts w:ascii="Times New Roman" w:hAnsi="Times New Roman" w:cs="Times New Roman"/>
                <w:color w:val="000000"/>
              </w:rPr>
            </w:pPr>
            <w:r>
              <w:rPr>
                <w:rFonts w:ascii="Times New Roman" w:hAnsi="Times New Roman" w:cs="Times New Roman"/>
                <w:color w:val="000000"/>
              </w:rPr>
              <w:t>15</w:t>
            </w:r>
          </w:p>
        </w:tc>
      </w:tr>
      <w:tr w:rsidR="001113F6" w:rsidRPr="00894033" w:rsidTr="00A520C1">
        <w:trPr>
          <w:trHeight w:val="323"/>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b/>
                <w:bCs/>
                <w:color w:val="000000"/>
              </w:rPr>
            </w:pPr>
            <w:r w:rsidRPr="00894033">
              <w:rPr>
                <w:rFonts w:ascii="Times New Roman" w:hAnsi="Times New Roman" w:cs="Times New Roman"/>
                <w:b/>
                <w:bCs/>
                <w:color w:val="000000"/>
              </w:rPr>
              <w:t>3 vieta</w:t>
            </w:r>
          </w:p>
        </w:tc>
        <w:tc>
          <w:tcPr>
            <w:tcW w:w="1331" w:type="dxa"/>
            <w:tcBorders>
              <w:top w:val="nil"/>
              <w:left w:val="nil"/>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9</w:t>
            </w:r>
          </w:p>
        </w:tc>
        <w:tc>
          <w:tcPr>
            <w:tcW w:w="1331" w:type="dxa"/>
            <w:tcBorders>
              <w:top w:val="nil"/>
              <w:left w:val="nil"/>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10</w:t>
            </w:r>
          </w:p>
        </w:tc>
        <w:tc>
          <w:tcPr>
            <w:tcW w:w="1331" w:type="dxa"/>
            <w:tcBorders>
              <w:top w:val="nil"/>
              <w:left w:val="nil"/>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11</w:t>
            </w:r>
          </w:p>
        </w:tc>
        <w:tc>
          <w:tcPr>
            <w:tcW w:w="1331" w:type="dxa"/>
            <w:tcBorders>
              <w:top w:val="nil"/>
              <w:left w:val="nil"/>
              <w:bottom w:val="single" w:sz="4" w:space="0" w:color="auto"/>
              <w:right w:val="single" w:sz="4" w:space="0" w:color="auto"/>
            </w:tcBorders>
            <w:vAlign w:val="center"/>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10</w:t>
            </w:r>
          </w:p>
        </w:tc>
        <w:tc>
          <w:tcPr>
            <w:tcW w:w="1331" w:type="dxa"/>
            <w:tcBorders>
              <w:top w:val="nil"/>
              <w:left w:val="nil"/>
              <w:bottom w:val="single" w:sz="4" w:space="0" w:color="auto"/>
              <w:right w:val="single" w:sz="4" w:space="0" w:color="auto"/>
            </w:tcBorders>
          </w:tcPr>
          <w:p w:rsidR="001113F6" w:rsidRPr="00894033" w:rsidRDefault="001113F6" w:rsidP="00A520C1">
            <w:pPr>
              <w:spacing w:after="0"/>
              <w:jc w:val="center"/>
              <w:rPr>
                <w:rFonts w:ascii="Times New Roman" w:hAnsi="Times New Roman" w:cs="Times New Roman"/>
                <w:color w:val="000000"/>
              </w:rPr>
            </w:pPr>
            <w:r w:rsidRPr="00894033">
              <w:rPr>
                <w:rFonts w:ascii="Times New Roman" w:hAnsi="Times New Roman" w:cs="Times New Roman"/>
                <w:color w:val="000000"/>
              </w:rPr>
              <w:t>9</w:t>
            </w:r>
          </w:p>
        </w:tc>
        <w:tc>
          <w:tcPr>
            <w:tcW w:w="1331" w:type="dxa"/>
            <w:tcBorders>
              <w:top w:val="nil"/>
              <w:left w:val="nil"/>
              <w:bottom w:val="single" w:sz="4" w:space="0" w:color="auto"/>
              <w:right w:val="single" w:sz="4" w:space="0" w:color="auto"/>
            </w:tcBorders>
          </w:tcPr>
          <w:p w:rsidR="001113F6" w:rsidRPr="00894033" w:rsidRDefault="001113F6" w:rsidP="00A520C1">
            <w:pPr>
              <w:spacing w:after="0"/>
              <w:jc w:val="center"/>
              <w:rPr>
                <w:rFonts w:ascii="Times New Roman" w:hAnsi="Times New Roman" w:cs="Times New Roman"/>
                <w:color w:val="000000"/>
              </w:rPr>
            </w:pPr>
            <w:r>
              <w:rPr>
                <w:rFonts w:ascii="Times New Roman" w:hAnsi="Times New Roman" w:cs="Times New Roman"/>
                <w:color w:val="000000"/>
              </w:rPr>
              <w:t>12</w:t>
            </w:r>
          </w:p>
        </w:tc>
      </w:tr>
      <w:tr w:rsidR="001113F6" w:rsidRPr="00894033" w:rsidTr="00A520C1">
        <w:trPr>
          <w:trHeight w:val="323"/>
        </w:trPr>
        <w:tc>
          <w:tcPr>
            <w:tcW w:w="1331" w:type="dxa"/>
            <w:tcBorders>
              <w:top w:val="nil"/>
              <w:left w:val="single" w:sz="4" w:space="0" w:color="auto"/>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b/>
                <w:bCs/>
                <w:color w:val="000000"/>
              </w:rPr>
            </w:pPr>
            <w:r w:rsidRPr="00894033">
              <w:rPr>
                <w:rFonts w:ascii="Times New Roman" w:hAnsi="Times New Roman" w:cs="Times New Roman"/>
                <w:b/>
                <w:bCs/>
                <w:color w:val="000000"/>
              </w:rPr>
              <w:t>Iš viso</w:t>
            </w:r>
          </w:p>
        </w:tc>
        <w:tc>
          <w:tcPr>
            <w:tcW w:w="1331" w:type="dxa"/>
            <w:tcBorders>
              <w:top w:val="nil"/>
              <w:left w:val="nil"/>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b/>
                <w:color w:val="000000"/>
              </w:rPr>
            </w:pPr>
            <w:r w:rsidRPr="00894033">
              <w:rPr>
                <w:rFonts w:ascii="Times New Roman" w:hAnsi="Times New Roman" w:cs="Times New Roman"/>
                <w:b/>
                <w:color w:val="000000"/>
              </w:rPr>
              <w:t>19</w:t>
            </w:r>
          </w:p>
        </w:tc>
        <w:tc>
          <w:tcPr>
            <w:tcW w:w="1331" w:type="dxa"/>
            <w:tcBorders>
              <w:top w:val="nil"/>
              <w:left w:val="nil"/>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b/>
                <w:color w:val="000000"/>
              </w:rPr>
            </w:pPr>
            <w:r w:rsidRPr="00894033">
              <w:rPr>
                <w:rFonts w:ascii="Times New Roman" w:hAnsi="Times New Roman" w:cs="Times New Roman"/>
                <w:b/>
                <w:color w:val="000000"/>
              </w:rPr>
              <w:t>28</w:t>
            </w:r>
          </w:p>
        </w:tc>
        <w:tc>
          <w:tcPr>
            <w:tcW w:w="1331" w:type="dxa"/>
            <w:tcBorders>
              <w:top w:val="nil"/>
              <w:left w:val="nil"/>
              <w:bottom w:val="single" w:sz="4" w:space="0" w:color="auto"/>
              <w:right w:val="single" w:sz="4" w:space="0" w:color="auto"/>
            </w:tcBorders>
            <w:shd w:val="clear" w:color="auto" w:fill="auto"/>
            <w:noWrap/>
            <w:vAlign w:val="center"/>
            <w:hideMark/>
          </w:tcPr>
          <w:p w:rsidR="001113F6" w:rsidRPr="00894033" w:rsidRDefault="001113F6" w:rsidP="00A520C1">
            <w:pPr>
              <w:spacing w:after="0"/>
              <w:jc w:val="center"/>
              <w:rPr>
                <w:rFonts w:ascii="Times New Roman" w:hAnsi="Times New Roman" w:cs="Times New Roman"/>
                <w:b/>
                <w:color w:val="000000"/>
              </w:rPr>
            </w:pPr>
            <w:r w:rsidRPr="00894033">
              <w:rPr>
                <w:rFonts w:ascii="Times New Roman" w:hAnsi="Times New Roman" w:cs="Times New Roman"/>
                <w:b/>
                <w:color w:val="000000"/>
              </w:rPr>
              <w:t>28</w:t>
            </w:r>
          </w:p>
        </w:tc>
        <w:tc>
          <w:tcPr>
            <w:tcW w:w="1331" w:type="dxa"/>
            <w:tcBorders>
              <w:top w:val="nil"/>
              <w:left w:val="nil"/>
              <w:bottom w:val="single" w:sz="4" w:space="0" w:color="auto"/>
              <w:right w:val="single" w:sz="4" w:space="0" w:color="auto"/>
            </w:tcBorders>
            <w:vAlign w:val="center"/>
          </w:tcPr>
          <w:p w:rsidR="001113F6" w:rsidRPr="00894033" w:rsidRDefault="001113F6" w:rsidP="00A520C1">
            <w:pPr>
              <w:spacing w:after="0"/>
              <w:jc w:val="center"/>
              <w:rPr>
                <w:rFonts w:ascii="Times New Roman" w:hAnsi="Times New Roman" w:cs="Times New Roman"/>
                <w:b/>
                <w:color w:val="000000"/>
              </w:rPr>
            </w:pPr>
            <w:r w:rsidRPr="00894033">
              <w:rPr>
                <w:rFonts w:ascii="Times New Roman" w:hAnsi="Times New Roman" w:cs="Times New Roman"/>
                <w:b/>
                <w:color w:val="000000"/>
              </w:rPr>
              <w:t>30</w:t>
            </w:r>
          </w:p>
        </w:tc>
        <w:tc>
          <w:tcPr>
            <w:tcW w:w="1331" w:type="dxa"/>
            <w:tcBorders>
              <w:top w:val="nil"/>
              <w:left w:val="nil"/>
              <w:bottom w:val="single" w:sz="4" w:space="0" w:color="auto"/>
              <w:right w:val="single" w:sz="4" w:space="0" w:color="auto"/>
            </w:tcBorders>
          </w:tcPr>
          <w:p w:rsidR="001113F6" w:rsidRPr="00894033" w:rsidRDefault="001113F6" w:rsidP="00A520C1">
            <w:pPr>
              <w:spacing w:after="0"/>
              <w:jc w:val="center"/>
              <w:rPr>
                <w:rFonts w:ascii="Times New Roman" w:hAnsi="Times New Roman" w:cs="Times New Roman"/>
                <w:b/>
                <w:color w:val="000000"/>
              </w:rPr>
            </w:pPr>
            <w:r w:rsidRPr="00894033">
              <w:rPr>
                <w:rFonts w:ascii="Times New Roman" w:hAnsi="Times New Roman" w:cs="Times New Roman"/>
                <w:b/>
                <w:color w:val="000000"/>
              </w:rPr>
              <w:t>28</w:t>
            </w:r>
          </w:p>
        </w:tc>
        <w:tc>
          <w:tcPr>
            <w:tcW w:w="1331" w:type="dxa"/>
            <w:tcBorders>
              <w:top w:val="nil"/>
              <w:left w:val="nil"/>
              <w:bottom w:val="single" w:sz="4" w:space="0" w:color="auto"/>
              <w:right w:val="single" w:sz="4" w:space="0" w:color="auto"/>
            </w:tcBorders>
          </w:tcPr>
          <w:p w:rsidR="001113F6" w:rsidRPr="00894033" w:rsidRDefault="001113F6" w:rsidP="00A520C1">
            <w:pPr>
              <w:spacing w:after="0"/>
              <w:jc w:val="center"/>
              <w:rPr>
                <w:rFonts w:ascii="Times New Roman" w:hAnsi="Times New Roman" w:cs="Times New Roman"/>
                <w:b/>
                <w:color w:val="000000"/>
              </w:rPr>
            </w:pPr>
            <w:r>
              <w:rPr>
                <w:rFonts w:ascii="Times New Roman" w:hAnsi="Times New Roman" w:cs="Times New Roman"/>
                <w:b/>
                <w:color w:val="000000"/>
              </w:rPr>
              <w:fldChar w:fldCharType="begin"/>
            </w:r>
            <w:r>
              <w:rPr>
                <w:rFonts w:ascii="Times New Roman" w:hAnsi="Times New Roman" w:cs="Times New Roman"/>
                <w:b/>
                <w:color w:val="000000"/>
              </w:rPr>
              <w:instrText xml:space="preserve"> =SUM(ABOVE) </w:instrText>
            </w:r>
            <w:r>
              <w:rPr>
                <w:rFonts w:ascii="Times New Roman" w:hAnsi="Times New Roman" w:cs="Times New Roman"/>
                <w:b/>
                <w:color w:val="000000"/>
              </w:rPr>
              <w:fldChar w:fldCharType="separate"/>
            </w:r>
            <w:r>
              <w:rPr>
                <w:rFonts w:ascii="Times New Roman" w:hAnsi="Times New Roman" w:cs="Times New Roman"/>
                <w:b/>
                <w:noProof/>
                <w:color w:val="000000"/>
              </w:rPr>
              <w:t>39</w:t>
            </w:r>
            <w:r>
              <w:rPr>
                <w:rFonts w:ascii="Times New Roman" w:hAnsi="Times New Roman" w:cs="Times New Roman"/>
                <w:b/>
                <w:color w:val="000000"/>
              </w:rPr>
              <w:fldChar w:fldCharType="end"/>
            </w:r>
          </w:p>
        </w:tc>
      </w:tr>
    </w:tbl>
    <w:p w:rsidR="001113F6" w:rsidRDefault="001113F6" w:rsidP="001113F6">
      <w:pPr>
        <w:numPr>
          <w:ilvl w:val="0"/>
          <w:numId w:val="1"/>
        </w:numPr>
        <w:rPr>
          <w:rFonts w:ascii="Times New Roman" w:hAnsi="Times New Roman" w:cs="Times New Roman"/>
          <w:b/>
          <w:sz w:val="24"/>
          <w:szCs w:val="24"/>
        </w:rPr>
      </w:pPr>
      <w:r w:rsidRPr="00692291">
        <w:rPr>
          <w:rFonts w:ascii="Times New Roman" w:hAnsi="Times New Roman" w:cs="Times New Roman"/>
          <w:b/>
          <w:sz w:val="24"/>
          <w:szCs w:val="24"/>
        </w:rPr>
        <w:t xml:space="preserve">Veiklos programos 2017-2018 m.m. veiklos </w:t>
      </w:r>
      <w:r>
        <w:rPr>
          <w:rFonts w:ascii="Times New Roman" w:hAnsi="Times New Roman" w:cs="Times New Roman"/>
          <w:b/>
          <w:sz w:val="24"/>
          <w:szCs w:val="24"/>
        </w:rPr>
        <w:t xml:space="preserve">tikslų ir </w:t>
      </w:r>
      <w:r w:rsidRPr="00692291">
        <w:rPr>
          <w:rFonts w:ascii="Times New Roman" w:hAnsi="Times New Roman" w:cs="Times New Roman"/>
          <w:b/>
          <w:sz w:val="24"/>
          <w:szCs w:val="24"/>
        </w:rPr>
        <w:t>uždavinių įgyvendinimo analizė</w:t>
      </w:r>
      <w:r>
        <w:rPr>
          <w:rFonts w:ascii="Times New Roman" w:hAnsi="Times New Roman" w:cs="Times New Roman"/>
          <w:b/>
          <w:sz w:val="24"/>
          <w:szCs w:val="24"/>
        </w:rPr>
        <w:t>.</w:t>
      </w:r>
    </w:p>
    <w:p w:rsidR="00885A2E" w:rsidRPr="00885A2E" w:rsidRDefault="00885A2E" w:rsidP="007D3985">
      <w:pPr>
        <w:spacing w:after="0"/>
        <w:ind w:firstLine="1296"/>
        <w:jc w:val="both"/>
        <w:rPr>
          <w:rFonts w:ascii="Times New Roman" w:hAnsi="Times New Roman" w:cs="Times New Roman"/>
          <w:sz w:val="24"/>
          <w:szCs w:val="24"/>
        </w:rPr>
      </w:pPr>
      <w:r w:rsidRPr="00885A2E">
        <w:rPr>
          <w:rFonts w:ascii="Times New Roman" w:hAnsi="Times New Roman" w:cs="Times New Roman"/>
          <w:sz w:val="24"/>
          <w:szCs w:val="24"/>
        </w:rPr>
        <w:t>Gimnazijos strateginiame plane išskirtos 3 prioritetinės sritys bei numatyti strateginiai tikslai:</w:t>
      </w:r>
    </w:p>
    <w:p w:rsidR="00885A2E" w:rsidRPr="00885A2E" w:rsidRDefault="00885A2E" w:rsidP="007D3985">
      <w:pPr>
        <w:ind w:left="720"/>
        <w:jc w:val="both"/>
        <w:rPr>
          <w:rFonts w:ascii="Times New Roman" w:hAnsi="Times New Roman" w:cs="Times New Roman"/>
          <w:sz w:val="24"/>
          <w:szCs w:val="24"/>
        </w:rPr>
      </w:pPr>
      <w:r w:rsidRPr="00885A2E">
        <w:rPr>
          <w:rFonts w:ascii="Times New Roman" w:hAnsi="Times New Roman" w:cs="Times New Roman"/>
          <w:sz w:val="24"/>
          <w:szCs w:val="24"/>
        </w:rPr>
        <w:t>•</w:t>
      </w:r>
      <w:r w:rsidRPr="00885A2E">
        <w:rPr>
          <w:rFonts w:ascii="Times New Roman" w:hAnsi="Times New Roman" w:cs="Times New Roman"/>
          <w:sz w:val="24"/>
          <w:szCs w:val="24"/>
        </w:rPr>
        <w:tab/>
        <w:t>Ugdymasis ir mokinių patirtys. Duomenimis grįsta vadyba laiduoti gimnazijos perspektyvą, bendruomenės lyderystę bei profesinį meistriškumą.</w:t>
      </w:r>
    </w:p>
    <w:p w:rsidR="00885A2E" w:rsidRPr="00885A2E" w:rsidRDefault="00885A2E" w:rsidP="007D3985">
      <w:pPr>
        <w:ind w:left="720"/>
        <w:jc w:val="both"/>
        <w:rPr>
          <w:rFonts w:ascii="Times New Roman" w:hAnsi="Times New Roman" w:cs="Times New Roman"/>
          <w:sz w:val="24"/>
          <w:szCs w:val="24"/>
        </w:rPr>
      </w:pPr>
      <w:r w:rsidRPr="00885A2E">
        <w:rPr>
          <w:rFonts w:ascii="Times New Roman" w:hAnsi="Times New Roman" w:cs="Times New Roman"/>
          <w:sz w:val="24"/>
          <w:szCs w:val="24"/>
        </w:rPr>
        <w:t>•</w:t>
      </w:r>
      <w:r w:rsidRPr="00885A2E">
        <w:rPr>
          <w:rFonts w:ascii="Times New Roman" w:hAnsi="Times New Roman" w:cs="Times New Roman"/>
          <w:sz w:val="24"/>
          <w:szCs w:val="24"/>
        </w:rPr>
        <w:tab/>
        <w:t>Rezultatai. Tobulinti mokinio ir gimnazijos pasiekimų pažangos vertinimo ir užtikrinimo sistemą.</w:t>
      </w:r>
    </w:p>
    <w:p w:rsidR="00885A2E" w:rsidRPr="00885A2E" w:rsidRDefault="00885A2E" w:rsidP="007D3985">
      <w:pPr>
        <w:ind w:left="720"/>
        <w:jc w:val="both"/>
        <w:rPr>
          <w:rFonts w:ascii="Times New Roman" w:hAnsi="Times New Roman" w:cs="Times New Roman"/>
          <w:sz w:val="24"/>
          <w:szCs w:val="24"/>
        </w:rPr>
      </w:pPr>
      <w:r w:rsidRPr="00885A2E">
        <w:rPr>
          <w:rFonts w:ascii="Times New Roman" w:hAnsi="Times New Roman" w:cs="Times New Roman"/>
          <w:sz w:val="24"/>
          <w:szCs w:val="24"/>
        </w:rPr>
        <w:t>•</w:t>
      </w:r>
      <w:r w:rsidRPr="00885A2E">
        <w:rPr>
          <w:rFonts w:ascii="Times New Roman" w:hAnsi="Times New Roman" w:cs="Times New Roman"/>
          <w:sz w:val="24"/>
          <w:szCs w:val="24"/>
        </w:rPr>
        <w:tab/>
        <w:t xml:space="preserve">Mokinio asmenybės </w:t>
      </w:r>
      <w:proofErr w:type="spellStart"/>
      <w:r w:rsidRPr="00885A2E">
        <w:rPr>
          <w:rFonts w:ascii="Times New Roman" w:hAnsi="Times New Roman" w:cs="Times New Roman"/>
          <w:sz w:val="24"/>
          <w:szCs w:val="24"/>
        </w:rPr>
        <w:t>ūgtis</w:t>
      </w:r>
      <w:proofErr w:type="spellEnd"/>
      <w:r w:rsidRPr="00885A2E">
        <w:rPr>
          <w:rFonts w:ascii="Times New Roman" w:hAnsi="Times New Roman" w:cs="Times New Roman"/>
          <w:sz w:val="24"/>
          <w:szCs w:val="24"/>
        </w:rPr>
        <w:t xml:space="preserve"> ir branda. Sukurti mokinio asmenybės ūgtį ir brandą veiksmingai formuojantį gyvenimą gimnazijoje.</w:t>
      </w:r>
    </w:p>
    <w:p w:rsidR="00885A2E" w:rsidRPr="00885A2E" w:rsidRDefault="00885A2E" w:rsidP="007D3985">
      <w:pPr>
        <w:spacing w:after="0"/>
        <w:ind w:firstLine="1296"/>
        <w:jc w:val="both"/>
        <w:rPr>
          <w:rFonts w:ascii="Times New Roman" w:hAnsi="Times New Roman" w:cs="Times New Roman"/>
          <w:sz w:val="24"/>
          <w:szCs w:val="24"/>
        </w:rPr>
      </w:pPr>
      <w:r w:rsidRPr="00885A2E">
        <w:rPr>
          <w:rFonts w:ascii="Times New Roman" w:hAnsi="Times New Roman" w:cs="Times New Roman"/>
          <w:sz w:val="24"/>
          <w:szCs w:val="24"/>
        </w:rPr>
        <w:t xml:space="preserve">2017/2018 m.m. ir 2018/2019 m.m. metinėse veiklos programose prioritetas – kiekvieno mokinio individualios pažangos siekimas. 2017/2018 m.m. veiklos programoje numatytos priemonės įgyvendintos. Siekiant kiekvieno mokinio individualios pažangos buvo dirbama diferencijuojant ir individualizuojant ugdymo turinį pamokose, taikant skaitymo strategijas. Organizuojant ugdymo procesą, jį planuojant, naudojami mokinių pasiekimų tyrimų, išorės ir vidaus vertinimo rezultatų analizės duomenys. Atliekamas gimnazijos veiklos įsivertinimas. Didelis dėmesys skiriamas bendrųjų kompetencijų, pilietiškumo, </w:t>
      </w:r>
      <w:proofErr w:type="spellStart"/>
      <w:r w:rsidRPr="00885A2E">
        <w:rPr>
          <w:rFonts w:ascii="Times New Roman" w:hAnsi="Times New Roman" w:cs="Times New Roman"/>
          <w:sz w:val="24"/>
          <w:szCs w:val="24"/>
        </w:rPr>
        <w:t>savanorystės</w:t>
      </w:r>
      <w:proofErr w:type="spellEnd"/>
      <w:r w:rsidRPr="00885A2E">
        <w:rPr>
          <w:rFonts w:ascii="Times New Roman" w:hAnsi="Times New Roman" w:cs="Times New Roman"/>
          <w:sz w:val="24"/>
          <w:szCs w:val="24"/>
        </w:rPr>
        <w:t xml:space="preserve"> bei lyderystės ugdymui  įgyvendinant projektines veiklas. 2018m. įgyvendinta  10 projektų. Formuojant mokinių vertybines nuostatas vykdomos prevencinės programos. 2018/2019 m.m. veiklos programoje daugiau dėmesio mokytojų, dėstančių toje pačioje klasėje, pagalbos vaikui komandos ir klasės vadovo bei mokinių tėvų bendradarbiavimui dėl mokinių pažinimo, jų pasiekimų, pažangos ir motyvacijos, siekiant kiekvieno mokinio individualios pažangos. Stiprinamas mokymosi pagalbos teikimas ne pamokų metu skiriant konsultacijas, bendradarbiaujant su pagalbos vaikui specialistais.</w:t>
      </w:r>
    </w:p>
    <w:p w:rsidR="001113F6" w:rsidRPr="0095798C" w:rsidRDefault="001113F6" w:rsidP="001113F6">
      <w:pPr>
        <w:spacing w:after="0"/>
        <w:ind w:firstLine="1296"/>
        <w:jc w:val="both"/>
        <w:rPr>
          <w:rFonts w:ascii="Times New Roman" w:hAnsi="Times New Roman" w:cs="Times New Roman"/>
          <w:sz w:val="24"/>
          <w:szCs w:val="24"/>
        </w:rPr>
      </w:pPr>
      <w:r w:rsidRPr="0095798C">
        <w:rPr>
          <w:rFonts w:ascii="Times New Roman" w:hAnsi="Times New Roman" w:cs="Times New Roman"/>
          <w:sz w:val="24"/>
          <w:szCs w:val="24"/>
        </w:rPr>
        <w:t xml:space="preserve">2017-2018 m.m. Alantos gimnazijos veiklos prioritetas – individuali mokinio pažanga, įrodymais grįstas mokymas. </w:t>
      </w:r>
      <w:r w:rsidRPr="0095798C">
        <w:rPr>
          <w:rFonts w:ascii="Times New Roman" w:hAnsi="Times New Roman" w:cs="Times New Roman"/>
          <w:bCs/>
          <w:sz w:val="24"/>
          <w:szCs w:val="24"/>
          <w:lang w:eastAsia="ar-SA"/>
        </w:rPr>
        <w:t xml:space="preserve">Tikslai: </w:t>
      </w:r>
      <w:r>
        <w:rPr>
          <w:rFonts w:ascii="Times New Roman" w:hAnsi="Times New Roman" w:cs="Times New Roman"/>
          <w:bCs/>
          <w:sz w:val="24"/>
          <w:szCs w:val="24"/>
          <w:lang w:eastAsia="ar-SA"/>
        </w:rPr>
        <w:t>1 .</w:t>
      </w:r>
      <w:r w:rsidRPr="0095798C">
        <w:rPr>
          <w:rFonts w:ascii="Times New Roman" w:hAnsi="Times New Roman" w:cs="Times New Roman"/>
          <w:sz w:val="24"/>
          <w:szCs w:val="24"/>
        </w:rPr>
        <w:t>Siekti kiekvieno mokinio individualios pažangos,</w:t>
      </w:r>
      <w:r>
        <w:rPr>
          <w:rFonts w:ascii="Times New Roman" w:hAnsi="Times New Roman" w:cs="Times New Roman"/>
          <w:sz w:val="24"/>
          <w:szCs w:val="24"/>
        </w:rPr>
        <w:t xml:space="preserve"> stiprinant mokymosi motyvaciją;</w:t>
      </w:r>
      <w:r>
        <w:rPr>
          <w:rFonts w:ascii="Times New Roman" w:hAnsi="Times New Roman" w:cs="Times New Roman"/>
          <w:bCs/>
          <w:sz w:val="24"/>
          <w:szCs w:val="24"/>
        </w:rPr>
        <w:t xml:space="preserve"> 2. </w:t>
      </w:r>
      <w:r w:rsidRPr="0095798C">
        <w:rPr>
          <w:rFonts w:ascii="Times New Roman" w:hAnsi="Times New Roman" w:cs="Times New Roman"/>
          <w:sz w:val="24"/>
          <w:szCs w:val="24"/>
        </w:rPr>
        <w:t>Kurti mokinių asmenybės ūgtį ir brandą veiksmingai formuojantį gyvenimą gimnazijoje.</w:t>
      </w:r>
    </w:p>
    <w:p w:rsidR="001113F6" w:rsidRDefault="001113F6" w:rsidP="001113F6">
      <w:pPr>
        <w:spacing w:after="0"/>
        <w:ind w:firstLine="1296"/>
        <w:jc w:val="both"/>
        <w:rPr>
          <w:rFonts w:ascii="Times New Roman" w:hAnsi="Times New Roman" w:cs="Times New Roman"/>
          <w:sz w:val="24"/>
          <w:szCs w:val="24"/>
        </w:rPr>
      </w:pPr>
      <w:r w:rsidRPr="0095798C">
        <w:rPr>
          <w:rFonts w:ascii="Times New Roman" w:hAnsi="Times New Roman" w:cs="Times New Roman"/>
          <w:b/>
          <w:sz w:val="24"/>
          <w:szCs w:val="24"/>
        </w:rPr>
        <w:t>Pirmojo</w:t>
      </w:r>
      <w:r w:rsidRPr="0095798C">
        <w:rPr>
          <w:rFonts w:ascii="Times New Roman" w:hAnsi="Times New Roman" w:cs="Times New Roman"/>
          <w:sz w:val="24"/>
          <w:szCs w:val="24"/>
        </w:rPr>
        <w:t xml:space="preserve"> tikslo įgyvendinimui iškelti </w:t>
      </w:r>
      <w:r>
        <w:rPr>
          <w:rFonts w:ascii="Times New Roman" w:hAnsi="Times New Roman" w:cs="Times New Roman"/>
          <w:sz w:val="24"/>
          <w:szCs w:val="24"/>
        </w:rPr>
        <w:t xml:space="preserve">du </w:t>
      </w:r>
      <w:r w:rsidRPr="0095798C">
        <w:rPr>
          <w:rFonts w:ascii="Times New Roman" w:hAnsi="Times New Roman" w:cs="Times New Roman"/>
          <w:sz w:val="24"/>
          <w:szCs w:val="24"/>
        </w:rPr>
        <w:t xml:space="preserve">uždaviniai: </w:t>
      </w:r>
      <w:r w:rsidRPr="008839D6">
        <w:rPr>
          <w:rFonts w:ascii="Times New Roman" w:hAnsi="Times New Roman" w:cs="Times New Roman"/>
          <w:sz w:val="24"/>
          <w:szCs w:val="24"/>
        </w:rPr>
        <w:t>1)</w:t>
      </w:r>
      <w:r>
        <w:rPr>
          <w:rFonts w:ascii="Times New Roman" w:hAnsi="Times New Roman" w:cs="Times New Roman"/>
          <w:b/>
          <w:sz w:val="24"/>
          <w:szCs w:val="24"/>
        </w:rPr>
        <w:t xml:space="preserve"> </w:t>
      </w:r>
      <w:r w:rsidRPr="00373A53">
        <w:rPr>
          <w:rFonts w:ascii="Times New Roman" w:hAnsi="Times New Roman" w:cs="Times New Roman"/>
          <w:sz w:val="24"/>
          <w:szCs w:val="24"/>
        </w:rPr>
        <w:t>Siekti ugdymo turinio dermės įvairių gabumų mokiniams, atkreipiant dėmesį į kiekvieno ugdytinio pažangą</w:t>
      </w:r>
      <w:r>
        <w:rPr>
          <w:rFonts w:ascii="Times New Roman" w:hAnsi="Times New Roman" w:cs="Times New Roman"/>
          <w:sz w:val="24"/>
          <w:szCs w:val="24"/>
        </w:rPr>
        <w:t xml:space="preserve">; 2) </w:t>
      </w:r>
      <w:r w:rsidRPr="00373A53">
        <w:rPr>
          <w:rFonts w:ascii="Times New Roman" w:hAnsi="Times New Roman" w:cs="Times New Roman"/>
          <w:sz w:val="24"/>
          <w:szCs w:val="24"/>
        </w:rPr>
        <w:t xml:space="preserve">Stiprinti mokymosi motyvaciją. </w:t>
      </w:r>
    </w:p>
    <w:p w:rsidR="001113F6" w:rsidRDefault="001113F6" w:rsidP="001113F6">
      <w:pPr>
        <w:pStyle w:val="Sraopastraipa"/>
        <w:spacing w:after="0"/>
        <w:ind w:left="0" w:firstLine="1296"/>
        <w:jc w:val="both"/>
        <w:rPr>
          <w:rFonts w:ascii="Times New Roman" w:hAnsi="Times New Roman" w:cs="Times New Roman"/>
          <w:sz w:val="24"/>
          <w:szCs w:val="24"/>
        </w:rPr>
      </w:pPr>
      <w:r>
        <w:rPr>
          <w:rFonts w:ascii="Times New Roman" w:hAnsi="Times New Roman" w:cs="Times New Roman"/>
          <w:sz w:val="24"/>
          <w:szCs w:val="24"/>
        </w:rPr>
        <w:t>Uždavinio</w:t>
      </w:r>
      <w:r w:rsidRPr="000C39AD">
        <w:rPr>
          <w:rFonts w:ascii="Times New Roman" w:hAnsi="Times New Roman" w:cs="Times New Roman"/>
          <w:sz w:val="24"/>
          <w:szCs w:val="24"/>
        </w:rPr>
        <w:t xml:space="preserve"> </w:t>
      </w:r>
      <w:r>
        <w:rPr>
          <w:rFonts w:ascii="Times New Roman" w:hAnsi="Times New Roman" w:cs="Times New Roman"/>
          <w:sz w:val="24"/>
          <w:szCs w:val="24"/>
        </w:rPr>
        <w:t>„</w:t>
      </w:r>
      <w:r w:rsidRPr="00373A53">
        <w:rPr>
          <w:rFonts w:ascii="Times New Roman" w:hAnsi="Times New Roman" w:cs="Times New Roman"/>
          <w:sz w:val="24"/>
          <w:szCs w:val="24"/>
        </w:rPr>
        <w:t>Siekti ugdymo turinio dermės įvairių gabumų mokiniams, atkreipiant dėmesį į kiekvieno ugdytinio pažangą</w:t>
      </w:r>
      <w:r>
        <w:rPr>
          <w:rFonts w:ascii="Times New Roman" w:hAnsi="Times New Roman" w:cs="Times New Roman"/>
          <w:sz w:val="24"/>
          <w:szCs w:val="24"/>
        </w:rPr>
        <w:t>“</w:t>
      </w:r>
      <w:r w:rsidRPr="000C39AD">
        <w:rPr>
          <w:rFonts w:ascii="Times New Roman" w:hAnsi="Times New Roman" w:cs="Times New Roman"/>
          <w:sz w:val="24"/>
          <w:szCs w:val="24"/>
        </w:rPr>
        <w:t xml:space="preserve"> įgyvendinimui numatytos priemonės buvo įvykdytos</w:t>
      </w:r>
      <w:r>
        <w:rPr>
          <w:rFonts w:ascii="Times New Roman" w:hAnsi="Times New Roman" w:cs="Times New Roman"/>
          <w:sz w:val="24"/>
          <w:szCs w:val="24"/>
        </w:rPr>
        <w:t>.</w:t>
      </w:r>
      <w:r w:rsidRPr="000C39AD">
        <w:rPr>
          <w:rFonts w:ascii="Times New Roman" w:hAnsi="Times New Roman" w:cs="Times New Roman"/>
          <w:sz w:val="24"/>
          <w:szCs w:val="24"/>
        </w:rPr>
        <w:t xml:space="preserve"> </w:t>
      </w:r>
    </w:p>
    <w:p w:rsidR="001113F6" w:rsidRDefault="001113F6" w:rsidP="001113F6">
      <w:pPr>
        <w:pStyle w:val="Sraopastraipa"/>
        <w:spacing w:after="0"/>
        <w:ind w:left="0" w:firstLine="1296"/>
        <w:jc w:val="both"/>
        <w:rPr>
          <w:rFonts w:ascii="Times New Roman" w:hAnsi="Times New Roman" w:cs="Times New Roman"/>
          <w:sz w:val="24"/>
          <w:szCs w:val="24"/>
          <w:shd w:val="clear" w:color="auto" w:fill="FFFFFF"/>
        </w:rPr>
      </w:pPr>
      <w:r w:rsidRPr="000C39AD">
        <w:rPr>
          <w:rFonts w:ascii="Times New Roman" w:hAnsi="Times New Roman" w:cs="Times New Roman"/>
          <w:sz w:val="24"/>
          <w:szCs w:val="24"/>
          <w:shd w:val="clear" w:color="auto" w:fill="FFFFFF"/>
        </w:rPr>
        <w:t xml:space="preserve">Metodinė taryba organizavo pasitarimus mokytojų, dėstančių toje pačioje klasėje. </w:t>
      </w:r>
      <w:r>
        <w:rPr>
          <w:rFonts w:ascii="Times New Roman" w:hAnsi="Times New Roman" w:cs="Times New Roman"/>
          <w:sz w:val="24"/>
          <w:szCs w:val="24"/>
          <w:shd w:val="clear" w:color="auto" w:fill="FFFFFF"/>
        </w:rPr>
        <w:t xml:space="preserve">Buvo kalbama apie </w:t>
      </w:r>
      <w:r w:rsidRPr="000C39AD">
        <w:rPr>
          <w:rFonts w:ascii="Times New Roman" w:hAnsi="Times New Roman" w:cs="Times New Roman"/>
          <w:sz w:val="24"/>
          <w:szCs w:val="24"/>
          <w:shd w:val="clear" w:color="auto" w:fill="FFFFFF"/>
        </w:rPr>
        <w:t xml:space="preserve">mokinių individualias savybes, gebėjimus, pasiekimus, pagalbą mokiniui. Mokytojai gavo konkrečią informaciją apie kiekvieną klasės mokinį, patarimų, kaip palaikyti darbingą atmosferą klasėje, kokie mokymo metodai veiksmingiausi </w:t>
      </w:r>
      <w:r>
        <w:rPr>
          <w:rFonts w:ascii="Times New Roman" w:hAnsi="Times New Roman" w:cs="Times New Roman"/>
          <w:sz w:val="24"/>
          <w:szCs w:val="24"/>
          <w:shd w:val="clear" w:color="auto" w:fill="FFFFFF"/>
        </w:rPr>
        <w:t>siekiant individualios pažangos</w:t>
      </w:r>
      <w:r w:rsidRPr="000C39A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1113F6" w:rsidRDefault="001113F6" w:rsidP="001113F6">
      <w:pPr>
        <w:pStyle w:val="Sraopastraipa"/>
        <w:spacing w:after="0"/>
        <w:ind w:left="0" w:firstLine="1296"/>
        <w:jc w:val="both"/>
        <w:rPr>
          <w:rFonts w:ascii="Times New Roman" w:hAnsi="Times New Roman" w:cs="Times New Roman"/>
          <w:sz w:val="24"/>
          <w:szCs w:val="24"/>
        </w:rPr>
      </w:pPr>
      <w:r>
        <w:rPr>
          <w:rFonts w:ascii="Times New Roman" w:hAnsi="Times New Roman" w:cs="Times New Roman"/>
          <w:sz w:val="24"/>
          <w:szCs w:val="24"/>
          <w:shd w:val="clear" w:color="auto" w:fill="FFFFFF"/>
        </w:rPr>
        <w:t>Bendradarbiaudami su spec. pedagoge, psichologe, mokytojai parengė spec. ugdymosi poreikių turintiems mokiniams programas.</w:t>
      </w:r>
    </w:p>
    <w:p w:rsidR="001113F6" w:rsidRDefault="001113F6" w:rsidP="001113F6">
      <w:pPr>
        <w:pStyle w:val="Sraopastraipa"/>
        <w:spacing w:after="0"/>
        <w:ind w:left="0" w:firstLine="1296"/>
        <w:jc w:val="both"/>
        <w:rPr>
          <w:rFonts w:ascii="Times New Roman" w:hAnsi="Times New Roman" w:cs="Times New Roman"/>
          <w:sz w:val="24"/>
          <w:szCs w:val="24"/>
        </w:rPr>
      </w:pPr>
      <w:r w:rsidRPr="000C39AD">
        <w:rPr>
          <w:rFonts w:ascii="Times New Roman" w:hAnsi="Times New Roman" w:cs="Times New Roman"/>
          <w:sz w:val="24"/>
          <w:szCs w:val="24"/>
        </w:rPr>
        <w:t>Per visų dalykų pamokas buvo ugdomi mokinių skaitymo ir rašymo gebėjimai.</w:t>
      </w:r>
      <w:r>
        <w:rPr>
          <w:rFonts w:ascii="Times New Roman" w:hAnsi="Times New Roman" w:cs="Times New Roman"/>
          <w:sz w:val="24"/>
          <w:szCs w:val="24"/>
        </w:rPr>
        <w:t xml:space="preserve"> NMPP parodė, kad 4, 6, 8 klasės mokinių skaitymo gebėjimai atitinka šalies pagrindinio pasiekimų lygio mokinių rezultatų vidurkį</w:t>
      </w:r>
    </w:p>
    <w:p w:rsidR="001113F6" w:rsidRDefault="001113F6" w:rsidP="001113F6">
      <w:pPr>
        <w:spacing w:after="0"/>
        <w:ind w:firstLine="1296"/>
        <w:jc w:val="both"/>
        <w:rPr>
          <w:rFonts w:ascii="Times New Roman" w:hAnsi="Times New Roman" w:cs="Times New Roman"/>
          <w:sz w:val="24"/>
          <w:szCs w:val="24"/>
        </w:rPr>
      </w:pPr>
      <w:r w:rsidRPr="000C39AD">
        <w:rPr>
          <w:rFonts w:ascii="Times New Roman" w:hAnsi="Times New Roman" w:cs="Times New Roman"/>
          <w:sz w:val="24"/>
          <w:szCs w:val="24"/>
        </w:rPr>
        <w:t xml:space="preserve">Per visus mokslo metus buvo </w:t>
      </w:r>
      <w:r>
        <w:rPr>
          <w:rFonts w:ascii="Times New Roman" w:hAnsi="Times New Roman" w:cs="Times New Roman"/>
          <w:sz w:val="24"/>
          <w:szCs w:val="24"/>
        </w:rPr>
        <w:t xml:space="preserve">nuolat </w:t>
      </w:r>
      <w:r w:rsidRPr="000C39AD">
        <w:rPr>
          <w:rFonts w:ascii="Times New Roman" w:hAnsi="Times New Roman" w:cs="Times New Roman"/>
          <w:sz w:val="24"/>
          <w:szCs w:val="24"/>
        </w:rPr>
        <w:t>stebima kiekvieno mokinio individuali pažanga.</w:t>
      </w:r>
      <w:r w:rsidRPr="000C39AD">
        <w:t xml:space="preserve"> </w:t>
      </w:r>
      <w:r w:rsidRPr="000C39AD">
        <w:rPr>
          <w:rFonts w:ascii="Times New Roman" w:hAnsi="Times New Roman" w:cs="Times New Roman"/>
          <w:sz w:val="24"/>
          <w:szCs w:val="24"/>
        </w:rPr>
        <w:t xml:space="preserve">1-4 klasių mokiniai turi individualios pažangos stebėjimo aplankus, darbus aptaria kartu su tėvais. 5-II g klasėse naudoti vaiko individualios pažangos lapai, kuriuos pildė ir asmeninę pažangą analizavo </w:t>
      </w:r>
      <w:r w:rsidRPr="000C39AD">
        <w:rPr>
          <w:rFonts w:ascii="Times New Roman" w:hAnsi="Times New Roman" w:cs="Times New Roman"/>
          <w:sz w:val="24"/>
          <w:szCs w:val="24"/>
        </w:rPr>
        <w:lastRenderedPageBreak/>
        <w:t>mokiniai bei klasės auklėtojas.</w:t>
      </w:r>
      <w:r>
        <w:rPr>
          <w:rFonts w:ascii="Times New Roman" w:hAnsi="Times New Roman" w:cs="Times New Roman"/>
          <w:sz w:val="24"/>
          <w:szCs w:val="24"/>
        </w:rPr>
        <w:t xml:space="preserve"> </w:t>
      </w:r>
      <w:r w:rsidRPr="000C39AD">
        <w:rPr>
          <w:rFonts w:ascii="Times New Roman" w:hAnsi="Times New Roman" w:cs="Times New Roman"/>
          <w:sz w:val="24"/>
          <w:szCs w:val="24"/>
        </w:rPr>
        <w:t xml:space="preserve">Mokytojai </w:t>
      </w:r>
      <w:r>
        <w:rPr>
          <w:rFonts w:ascii="Times New Roman" w:hAnsi="Times New Roman" w:cs="Times New Roman"/>
          <w:sz w:val="24"/>
          <w:szCs w:val="24"/>
        </w:rPr>
        <w:t xml:space="preserve">individualią </w:t>
      </w:r>
      <w:r w:rsidRPr="000C39AD">
        <w:rPr>
          <w:rFonts w:ascii="Times New Roman" w:hAnsi="Times New Roman" w:cs="Times New Roman"/>
          <w:sz w:val="24"/>
          <w:szCs w:val="24"/>
        </w:rPr>
        <w:t>pažangą pamokose</w:t>
      </w:r>
      <w:r w:rsidRPr="00CD290E">
        <w:rPr>
          <w:rFonts w:ascii="Times New Roman" w:hAnsi="Times New Roman" w:cs="Times New Roman"/>
          <w:sz w:val="24"/>
          <w:szCs w:val="24"/>
        </w:rPr>
        <w:t xml:space="preserve"> </w:t>
      </w:r>
      <w:r w:rsidRPr="000C39AD">
        <w:rPr>
          <w:rFonts w:ascii="Times New Roman" w:hAnsi="Times New Roman" w:cs="Times New Roman"/>
          <w:sz w:val="24"/>
          <w:szCs w:val="24"/>
        </w:rPr>
        <w:t xml:space="preserve">stebėjo </w:t>
      </w:r>
      <w:r>
        <w:rPr>
          <w:rFonts w:ascii="Times New Roman" w:hAnsi="Times New Roman" w:cs="Times New Roman"/>
          <w:sz w:val="24"/>
          <w:szCs w:val="24"/>
        </w:rPr>
        <w:t xml:space="preserve">dažniausiai taikydami formuojamojo vertinimo principus bei pamokos </w:t>
      </w:r>
      <w:r w:rsidRPr="000C39AD">
        <w:rPr>
          <w:rFonts w:ascii="Times New Roman" w:hAnsi="Times New Roman" w:cs="Times New Roman"/>
          <w:sz w:val="24"/>
          <w:szCs w:val="24"/>
        </w:rPr>
        <w:t xml:space="preserve"> </w:t>
      </w:r>
      <w:r>
        <w:rPr>
          <w:rFonts w:ascii="Times New Roman" w:hAnsi="Times New Roman" w:cs="Times New Roman"/>
          <w:sz w:val="24"/>
          <w:szCs w:val="24"/>
        </w:rPr>
        <w:t xml:space="preserve">refleksiją. Mokytojai pamokose stebėjo mokinių mokymąsi, jų bendradarbiavimą, įsitraukimą, </w:t>
      </w:r>
      <w:r w:rsidRPr="006242C1">
        <w:rPr>
          <w:rFonts w:ascii="Times New Roman" w:hAnsi="Times New Roman" w:cs="Times New Roman"/>
          <w:sz w:val="24"/>
          <w:szCs w:val="24"/>
        </w:rPr>
        <w:t xml:space="preserve">pastangas, mokymosi būdus, sunkumus. </w:t>
      </w:r>
      <w:r w:rsidRPr="00475112">
        <w:rPr>
          <w:rFonts w:ascii="Times New Roman" w:hAnsi="Times New Roman" w:cs="Times New Roman"/>
          <w:sz w:val="24"/>
          <w:szCs w:val="24"/>
        </w:rPr>
        <w:t xml:space="preserve">Siekdami išsiaiškinti, suprasti kiek mokiniai išmoko, taikė klausinėjimo, diskusijų, savarankiško darbo metodus. Nuolat grįždami prie pamokos uždavinio, padėjo mokiniams suprasti, kas jau išmokta, ko dar reikia mokytis. </w:t>
      </w:r>
      <w:r>
        <w:rPr>
          <w:rFonts w:ascii="Times New Roman" w:hAnsi="Times New Roman" w:cs="Times New Roman"/>
          <w:sz w:val="24"/>
          <w:szCs w:val="24"/>
        </w:rPr>
        <w:t xml:space="preserve">Mokinių pažangą stebėjo ir </w:t>
      </w:r>
      <w:r w:rsidRPr="000C39AD">
        <w:rPr>
          <w:rFonts w:ascii="Times New Roman" w:hAnsi="Times New Roman" w:cs="Times New Roman"/>
          <w:sz w:val="24"/>
          <w:szCs w:val="24"/>
        </w:rPr>
        <w:t>kl</w:t>
      </w:r>
      <w:r>
        <w:rPr>
          <w:rFonts w:ascii="Times New Roman" w:hAnsi="Times New Roman" w:cs="Times New Roman"/>
          <w:sz w:val="24"/>
          <w:szCs w:val="24"/>
        </w:rPr>
        <w:t>asių</w:t>
      </w:r>
      <w:r w:rsidRPr="000C39AD">
        <w:rPr>
          <w:rFonts w:ascii="Times New Roman" w:hAnsi="Times New Roman" w:cs="Times New Roman"/>
          <w:sz w:val="24"/>
          <w:szCs w:val="24"/>
        </w:rPr>
        <w:t xml:space="preserve"> auklėtojai, administracija, pagalbos vaikui komanda – naudodamiesi TAMO. Pažangą fiksavo kl. vadovai darydami suvestines, kuriose palygino praeitų mokslo metų, I trimestro, I pusmečio, II trimestro mokymosi rezultatus, juos analizavo, nustatė, kurie mokiniai daro visų mokomųjų dalykų pažangą, kuriems sekasi sunkiai ir kokia reikalinga pagalba. Trimestro, pusmečio pabaigoje mokinių pasiekimai buvo aptariami mokytojų tarybos posėdžiuose. </w:t>
      </w:r>
    </w:p>
    <w:p w:rsidR="001113F6" w:rsidRDefault="001113F6" w:rsidP="001113F6">
      <w:pPr>
        <w:spacing w:after="0"/>
        <w:ind w:firstLine="1296"/>
        <w:jc w:val="both"/>
        <w:rPr>
          <w:rFonts w:ascii="Times New Roman" w:hAnsi="Times New Roman" w:cs="Times New Roman"/>
          <w:sz w:val="24"/>
          <w:szCs w:val="24"/>
        </w:rPr>
      </w:pPr>
      <w:r w:rsidRPr="000C39AD">
        <w:rPr>
          <w:rFonts w:ascii="Times New Roman" w:hAnsi="Times New Roman" w:cs="Times New Roman"/>
          <w:sz w:val="24"/>
          <w:szCs w:val="24"/>
        </w:rPr>
        <w:t>Metodinėse grupėse, metodinėje taryboje  vyko pasitarimai</w:t>
      </w:r>
      <w:r>
        <w:rPr>
          <w:rFonts w:ascii="Times New Roman" w:hAnsi="Times New Roman" w:cs="Times New Roman"/>
          <w:sz w:val="24"/>
          <w:szCs w:val="24"/>
        </w:rPr>
        <w:t xml:space="preserve"> dėl NMPP, VBE, PUPP, užsie</w:t>
      </w:r>
      <w:r w:rsidRPr="000C39AD">
        <w:rPr>
          <w:rFonts w:ascii="Times New Roman" w:hAnsi="Times New Roman" w:cs="Times New Roman"/>
          <w:sz w:val="24"/>
          <w:szCs w:val="24"/>
        </w:rPr>
        <w:t>nio kalbų mokėjimo lygio testų rezultatų. Buvo išsiaiškintos kiekvienos klasės stipriosios ir silpnosios dalyko mokėjimo sritys, tartasi kaip padėti mokiniams siekti geresnių rezultatų.</w:t>
      </w:r>
    </w:p>
    <w:p w:rsidR="001113F6" w:rsidRDefault="001113F6" w:rsidP="001113F6">
      <w:pPr>
        <w:spacing w:after="0"/>
        <w:ind w:firstLine="1296"/>
        <w:jc w:val="both"/>
        <w:rPr>
          <w:rFonts w:ascii="Times New Roman" w:hAnsi="Times New Roman" w:cs="Times New Roman"/>
          <w:sz w:val="24"/>
          <w:szCs w:val="24"/>
        </w:rPr>
      </w:pPr>
      <w:r w:rsidRPr="00873415">
        <w:rPr>
          <w:rFonts w:ascii="Times New Roman" w:hAnsi="Times New Roman" w:cs="Times New Roman"/>
          <w:sz w:val="24"/>
          <w:szCs w:val="24"/>
        </w:rPr>
        <w:t xml:space="preserve">Lyginant su 2016-2017 m.m. išaugo </w:t>
      </w:r>
      <w:proofErr w:type="spellStart"/>
      <w:r w:rsidRPr="00873415">
        <w:rPr>
          <w:rFonts w:ascii="Times New Roman" w:hAnsi="Times New Roman" w:cs="Times New Roman"/>
          <w:sz w:val="24"/>
          <w:szCs w:val="24"/>
        </w:rPr>
        <w:t>l.gerai</w:t>
      </w:r>
      <w:proofErr w:type="spellEnd"/>
      <w:r w:rsidRPr="00873415">
        <w:rPr>
          <w:rFonts w:ascii="Times New Roman" w:hAnsi="Times New Roman" w:cs="Times New Roman"/>
          <w:sz w:val="24"/>
          <w:szCs w:val="24"/>
        </w:rPr>
        <w:t xml:space="preserve"> ir gerai besimokančių mokin</w:t>
      </w:r>
      <w:r>
        <w:rPr>
          <w:rFonts w:ascii="Times New Roman" w:hAnsi="Times New Roman" w:cs="Times New Roman"/>
          <w:sz w:val="24"/>
          <w:szCs w:val="24"/>
        </w:rPr>
        <w:t>ių dalis (nuo 32,3% iki 36,16%),</w:t>
      </w:r>
      <w:r w:rsidRPr="00873415">
        <w:rPr>
          <w:rFonts w:ascii="Times New Roman" w:hAnsi="Times New Roman" w:cs="Times New Roman"/>
          <w:sz w:val="24"/>
          <w:szCs w:val="24"/>
        </w:rPr>
        <w:t xml:space="preserve"> </w:t>
      </w:r>
      <w:r>
        <w:rPr>
          <w:rFonts w:ascii="Times New Roman" w:hAnsi="Times New Roman" w:cs="Times New Roman"/>
          <w:sz w:val="24"/>
          <w:szCs w:val="24"/>
        </w:rPr>
        <w:t>tačiau p</w:t>
      </w:r>
      <w:r w:rsidRPr="00873415">
        <w:rPr>
          <w:rFonts w:ascii="Times New Roman" w:hAnsi="Times New Roman" w:cs="Times New Roman"/>
          <w:sz w:val="24"/>
          <w:szCs w:val="24"/>
        </w:rPr>
        <w:t xml:space="preserve">adaugėjo nepažangių mokinių. Papildomi darbai pasibaigus mokslo metams buvo skirti 15 (praeitais mokslo metais 4 ) mokinių. 13 mokinių sėkmingai atliko papildomus darbus. Bendras pažangumas 97,3% (praeitais mokslo metais  99,5%). </w:t>
      </w:r>
    </w:p>
    <w:p w:rsidR="001113F6" w:rsidRDefault="001113F6" w:rsidP="001113F6">
      <w:pPr>
        <w:spacing w:after="0"/>
        <w:ind w:firstLine="1296"/>
        <w:jc w:val="both"/>
        <w:rPr>
          <w:rFonts w:ascii="Times New Roman" w:hAnsi="Times New Roman" w:cs="Times New Roman"/>
          <w:sz w:val="24"/>
          <w:szCs w:val="24"/>
        </w:rPr>
      </w:pPr>
      <w:r>
        <w:rPr>
          <w:rFonts w:ascii="Times New Roman" w:hAnsi="Times New Roman" w:cs="Times New Roman"/>
          <w:sz w:val="24"/>
          <w:szCs w:val="24"/>
        </w:rPr>
        <w:t>Uždavinio</w:t>
      </w:r>
      <w:r w:rsidRPr="000C39AD">
        <w:rPr>
          <w:rFonts w:ascii="Times New Roman" w:hAnsi="Times New Roman" w:cs="Times New Roman"/>
          <w:sz w:val="24"/>
          <w:szCs w:val="24"/>
        </w:rPr>
        <w:t xml:space="preserve"> </w:t>
      </w:r>
      <w:r>
        <w:rPr>
          <w:rFonts w:ascii="Times New Roman" w:hAnsi="Times New Roman" w:cs="Times New Roman"/>
          <w:sz w:val="24"/>
          <w:szCs w:val="24"/>
        </w:rPr>
        <w:t>„</w:t>
      </w:r>
      <w:r w:rsidRPr="00373A53">
        <w:rPr>
          <w:rFonts w:ascii="Times New Roman" w:hAnsi="Times New Roman" w:cs="Times New Roman"/>
          <w:sz w:val="24"/>
          <w:szCs w:val="24"/>
        </w:rPr>
        <w:t>Stiprinti mokymosi motyvaciją.</w:t>
      </w:r>
      <w:r>
        <w:rPr>
          <w:rFonts w:ascii="Times New Roman" w:hAnsi="Times New Roman" w:cs="Times New Roman"/>
          <w:sz w:val="24"/>
          <w:szCs w:val="24"/>
        </w:rPr>
        <w:t>“</w:t>
      </w:r>
      <w:r w:rsidRPr="000C39AD">
        <w:rPr>
          <w:rFonts w:ascii="Times New Roman" w:hAnsi="Times New Roman" w:cs="Times New Roman"/>
          <w:sz w:val="24"/>
          <w:szCs w:val="24"/>
        </w:rPr>
        <w:t xml:space="preserve"> įgyvendinimui numatytos priemonės buvo įvykdytos</w:t>
      </w:r>
      <w:r>
        <w:rPr>
          <w:rFonts w:ascii="Times New Roman" w:hAnsi="Times New Roman" w:cs="Times New Roman"/>
          <w:sz w:val="24"/>
          <w:szCs w:val="24"/>
        </w:rPr>
        <w:t xml:space="preserve"> iš dalies. </w:t>
      </w:r>
    </w:p>
    <w:p w:rsidR="001113F6" w:rsidRPr="00373A53" w:rsidRDefault="001113F6" w:rsidP="001113F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Buvo siekiama išsiaiškinti 5-8 klasių mokinių mokėjimo mokytis kompetencijos lygį. Organizuotos klasės valandėlės, kurių metu 5-8 kl. mokiniai pasinaudodami </w:t>
      </w:r>
      <w:hyperlink r:id="rId5" w:history="1">
        <w:r w:rsidRPr="00692951">
          <w:rPr>
            <w:rStyle w:val="Hipersaitas"/>
            <w:rFonts w:ascii="Times New Roman" w:hAnsi="Times New Roman" w:cs="Times New Roman"/>
            <w:sz w:val="24"/>
            <w:szCs w:val="24"/>
          </w:rPr>
          <w:t>www.upc.smm.lt</w:t>
        </w:r>
      </w:hyperlink>
      <w:r>
        <w:rPr>
          <w:rFonts w:ascii="Times New Roman" w:hAnsi="Times New Roman" w:cs="Times New Roman"/>
          <w:sz w:val="24"/>
          <w:szCs w:val="24"/>
        </w:rPr>
        <w:t xml:space="preserve"> pateiktais įrankiais nusistatė mokėjimo mokytis kompetencijos lygį, išsiaiškino savo mokymosi stilių. Su klasės auklėtoju individualiai buvo aptarti rezultatai, mokiniai patys priėmė sprendimus, ką darys, kad sėkmingiau mokytųsi.</w:t>
      </w:r>
    </w:p>
    <w:p w:rsidR="001113F6" w:rsidRPr="000C39AD" w:rsidRDefault="001113F6" w:rsidP="001113F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III-IV g klasių lankomumas – viena iš silpnųjų mokyklos veiklos sričių. Buvo nuspręsta stiprinti lankomumo kontrolę, įtraukiant visą mokyklos bendruomenę. Lankomumą stebėjo klasės auklėtojas,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xml:space="preserve">. pedagogė, direktoriaus pavaduotoja ugdymui, dalykų mokytojai. Buvo pasitelktos virtuvės darbuotojos, budėtoja, bibliotekininkė, kurios informuodavo apie pastebėtus pamokose nedalyvaujančius mokinius. Vyko nuolatiniai individualūs pokalbiai su daug pamokų be priežasties praleidžiančiais mokiniais, jų tėvais. Dalis mokinių buvo kviečiami į VGK, su jais pasirašyti drausmės pažeidimų aktai, sudarytos sutartys dėl pagalbos. Tačiau užsibrėžtas tikslas sumažinti be priežasties praleistų pamokų skaičių 5% nepasiektas.  </w:t>
      </w:r>
      <w:r w:rsidRPr="00373A53">
        <w:rPr>
          <w:rFonts w:ascii="Times New Roman" w:hAnsi="Times New Roman" w:cs="Times New Roman"/>
          <w:sz w:val="24"/>
          <w:szCs w:val="24"/>
        </w:rPr>
        <w:t xml:space="preserve">Šios klasės </w:t>
      </w:r>
      <w:r>
        <w:rPr>
          <w:rFonts w:ascii="Times New Roman" w:hAnsi="Times New Roman" w:cs="Times New Roman"/>
          <w:sz w:val="24"/>
          <w:szCs w:val="24"/>
        </w:rPr>
        <w:t xml:space="preserve">be priežasties praleido </w:t>
      </w:r>
      <w:r w:rsidRPr="00373A53">
        <w:rPr>
          <w:rFonts w:ascii="Times New Roman" w:hAnsi="Times New Roman" w:cs="Times New Roman"/>
          <w:sz w:val="24"/>
          <w:szCs w:val="24"/>
        </w:rPr>
        <w:t xml:space="preserve"> </w:t>
      </w:r>
      <w:r>
        <w:rPr>
          <w:rFonts w:ascii="Times New Roman" w:hAnsi="Times New Roman" w:cs="Times New Roman"/>
          <w:sz w:val="24"/>
          <w:szCs w:val="24"/>
        </w:rPr>
        <w:t xml:space="preserve">41,6 % </w:t>
      </w:r>
      <w:r w:rsidRPr="00373A53">
        <w:rPr>
          <w:rFonts w:ascii="Times New Roman" w:hAnsi="Times New Roman" w:cs="Times New Roman"/>
          <w:sz w:val="24"/>
          <w:szCs w:val="24"/>
        </w:rPr>
        <w:t>praleistų pamokų (pernai 38,6%</w:t>
      </w:r>
      <w:r>
        <w:rPr>
          <w:rFonts w:ascii="Times New Roman" w:hAnsi="Times New Roman" w:cs="Times New Roman"/>
          <w:sz w:val="24"/>
          <w:szCs w:val="24"/>
        </w:rPr>
        <w:t>,</w:t>
      </w:r>
      <w:r w:rsidRPr="00373A53">
        <w:rPr>
          <w:rFonts w:ascii="Times New Roman" w:hAnsi="Times New Roman" w:cs="Times New Roman"/>
          <w:sz w:val="24"/>
          <w:szCs w:val="24"/>
        </w:rPr>
        <w:t xml:space="preserve"> </w:t>
      </w:r>
      <w:r>
        <w:rPr>
          <w:rFonts w:ascii="Times New Roman" w:hAnsi="Times New Roman" w:cs="Times New Roman"/>
          <w:sz w:val="24"/>
          <w:szCs w:val="24"/>
        </w:rPr>
        <w:t xml:space="preserve">užpernai </w:t>
      </w:r>
      <w:r w:rsidRPr="00373A53">
        <w:rPr>
          <w:rFonts w:ascii="Times New Roman" w:hAnsi="Times New Roman" w:cs="Times New Roman"/>
          <w:sz w:val="24"/>
          <w:szCs w:val="24"/>
        </w:rPr>
        <w:t>27,3%).</w:t>
      </w:r>
      <w:r>
        <w:rPr>
          <w:rFonts w:ascii="Times New Roman" w:hAnsi="Times New Roman" w:cs="Times New Roman"/>
          <w:sz w:val="24"/>
          <w:szCs w:val="24"/>
        </w:rPr>
        <w:t xml:space="preserve"> </w:t>
      </w:r>
    </w:p>
    <w:p w:rsidR="001113F6" w:rsidRDefault="001113F6" w:rsidP="001113F6">
      <w:pPr>
        <w:spacing w:after="0"/>
        <w:jc w:val="both"/>
        <w:rPr>
          <w:rFonts w:ascii="Times New Roman" w:hAnsi="Times New Roman" w:cs="Times New Roman"/>
          <w:b/>
          <w:sz w:val="24"/>
          <w:szCs w:val="24"/>
        </w:rPr>
      </w:pPr>
      <w:r>
        <w:rPr>
          <w:rFonts w:ascii="Times New Roman" w:hAnsi="Times New Roman" w:cs="Times New Roman"/>
          <w:b/>
          <w:sz w:val="24"/>
          <w:szCs w:val="24"/>
        </w:rPr>
        <w:tab/>
      </w:r>
      <w:r w:rsidRPr="004D3B95">
        <w:rPr>
          <w:rFonts w:ascii="Times New Roman" w:hAnsi="Times New Roman" w:cs="Times New Roman"/>
          <w:sz w:val="24"/>
          <w:szCs w:val="24"/>
        </w:rPr>
        <w:t>Atsižvelgiant į</w:t>
      </w:r>
      <w:r>
        <w:rPr>
          <w:rFonts w:ascii="Times New Roman" w:hAnsi="Times New Roman" w:cs="Times New Roman"/>
          <w:b/>
          <w:sz w:val="24"/>
          <w:szCs w:val="24"/>
        </w:rPr>
        <w:t xml:space="preserve"> </w:t>
      </w:r>
      <w:r>
        <w:rPr>
          <w:rFonts w:ascii="Times New Roman" w:hAnsi="Times New Roman" w:cs="Times New Roman"/>
          <w:sz w:val="24"/>
          <w:szCs w:val="24"/>
        </w:rPr>
        <w:t xml:space="preserve">mokytojų bei mokinių tarybos pastabas dėl „Šauniausios klasės konkurso“  neveiksmingumo, buvo nutarta pakeisti konkurso nuostatus. Sudaryta darbo grupė parengė naujus nuostatus, kurie turėtų stipriau motyvuoti mokinius mokytis, skatintų  laikytis susitarimų. </w:t>
      </w:r>
      <w:r w:rsidRPr="00DB3558">
        <w:rPr>
          <w:rFonts w:ascii="Times New Roman" w:hAnsi="Times New Roman" w:cs="Times New Roman"/>
          <w:sz w:val="24"/>
          <w:szCs w:val="24"/>
        </w:rPr>
        <w:t xml:space="preserve"> </w:t>
      </w:r>
    </w:p>
    <w:p w:rsidR="001113F6" w:rsidRPr="00225106" w:rsidRDefault="001113F6" w:rsidP="001113F6">
      <w:pPr>
        <w:spacing w:after="0"/>
        <w:ind w:firstLine="1296"/>
        <w:jc w:val="both"/>
        <w:rPr>
          <w:rFonts w:ascii="Times New Roman" w:hAnsi="Times New Roman" w:cs="Times New Roman"/>
          <w:sz w:val="24"/>
          <w:szCs w:val="24"/>
        </w:rPr>
      </w:pPr>
      <w:r w:rsidRPr="00225106">
        <w:rPr>
          <w:rFonts w:ascii="Times New Roman" w:hAnsi="Times New Roman" w:cs="Times New Roman"/>
          <w:b/>
          <w:sz w:val="24"/>
          <w:szCs w:val="24"/>
        </w:rPr>
        <w:t>Antro</w:t>
      </w:r>
      <w:r w:rsidRPr="00225106">
        <w:rPr>
          <w:rFonts w:ascii="Times New Roman" w:hAnsi="Times New Roman" w:cs="Times New Roman"/>
          <w:sz w:val="24"/>
          <w:szCs w:val="24"/>
        </w:rPr>
        <w:t xml:space="preserve"> tikslo įgyvendinimui iškelti uždaviniai: </w:t>
      </w:r>
      <w:r>
        <w:rPr>
          <w:rFonts w:ascii="Times New Roman" w:hAnsi="Times New Roman" w:cs="Times New Roman"/>
          <w:sz w:val="24"/>
          <w:szCs w:val="24"/>
        </w:rPr>
        <w:t xml:space="preserve">1) </w:t>
      </w:r>
      <w:r w:rsidRPr="00225106">
        <w:rPr>
          <w:rFonts w:ascii="Times New Roman" w:hAnsi="Times New Roman" w:cs="Times New Roman"/>
          <w:sz w:val="24"/>
          <w:szCs w:val="24"/>
        </w:rPr>
        <w:t xml:space="preserve">Sieti formaliojo ir neformaliojo ugdymo veiklas, ugdančias bendrąsias ir dalykines kompetencijas. </w:t>
      </w:r>
      <w:r>
        <w:rPr>
          <w:rFonts w:ascii="Times New Roman" w:hAnsi="Times New Roman" w:cs="Times New Roman"/>
          <w:sz w:val="24"/>
          <w:szCs w:val="24"/>
        </w:rPr>
        <w:t xml:space="preserve">2) </w:t>
      </w:r>
      <w:r w:rsidRPr="00225106">
        <w:rPr>
          <w:rFonts w:ascii="Times New Roman" w:hAnsi="Times New Roman" w:cs="Times New Roman"/>
          <w:sz w:val="24"/>
          <w:szCs w:val="24"/>
        </w:rPr>
        <w:t>Formuoti mokinių vertybines nuostatas</w:t>
      </w:r>
      <w:r>
        <w:rPr>
          <w:rFonts w:ascii="Times New Roman" w:hAnsi="Times New Roman" w:cs="Times New Roman"/>
          <w:sz w:val="24"/>
          <w:szCs w:val="24"/>
        </w:rPr>
        <w:t>.</w:t>
      </w:r>
    </w:p>
    <w:p w:rsidR="001113F6" w:rsidRDefault="001113F6" w:rsidP="001113F6">
      <w:pPr>
        <w:spacing w:after="0"/>
        <w:ind w:firstLine="1296"/>
        <w:jc w:val="both"/>
        <w:rPr>
          <w:rFonts w:ascii="Times New Roman" w:hAnsi="Times New Roman" w:cs="Times New Roman"/>
          <w:sz w:val="24"/>
          <w:szCs w:val="24"/>
        </w:rPr>
      </w:pPr>
      <w:r>
        <w:rPr>
          <w:rFonts w:ascii="Times New Roman" w:hAnsi="Times New Roman" w:cs="Times New Roman"/>
          <w:sz w:val="24"/>
          <w:szCs w:val="24"/>
        </w:rPr>
        <w:t>Uždavinio</w:t>
      </w:r>
      <w:r w:rsidRPr="000C39AD">
        <w:rPr>
          <w:rFonts w:ascii="Times New Roman" w:hAnsi="Times New Roman" w:cs="Times New Roman"/>
          <w:sz w:val="24"/>
          <w:szCs w:val="24"/>
        </w:rPr>
        <w:t xml:space="preserve"> </w:t>
      </w:r>
      <w:r>
        <w:rPr>
          <w:rFonts w:ascii="Times New Roman" w:hAnsi="Times New Roman" w:cs="Times New Roman"/>
          <w:sz w:val="24"/>
          <w:szCs w:val="24"/>
        </w:rPr>
        <w:t>„</w:t>
      </w:r>
      <w:r w:rsidRPr="00225106">
        <w:rPr>
          <w:rFonts w:ascii="Times New Roman" w:hAnsi="Times New Roman" w:cs="Times New Roman"/>
          <w:sz w:val="24"/>
          <w:szCs w:val="24"/>
        </w:rPr>
        <w:t>Sieti formaliojo ir neformaliojo ugdymo veiklas, ugdančias bendrąsias ir dalykines kompetencijas</w:t>
      </w:r>
      <w:r>
        <w:rPr>
          <w:rFonts w:ascii="Times New Roman" w:hAnsi="Times New Roman" w:cs="Times New Roman"/>
          <w:sz w:val="24"/>
          <w:szCs w:val="24"/>
        </w:rPr>
        <w:t>“</w:t>
      </w:r>
      <w:r w:rsidRPr="000C39AD">
        <w:rPr>
          <w:rFonts w:ascii="Times New Roman" w:hAnsi="Times New Roman" w:cs="Times New Roman"/>
          <w:sz w:val="24"/>
          <w:szCs w:val="24"/>
        </w:rPr>
        <w:t xml:space="preserve"> įgyvendinimui numatytos priemonės buvo įvykdytos</w:t>
      </w:r>
      <w:r>
        <w:rPr>
          <w:rFonts w:ascii="Times New Roman" w:hAnsi="Times New Roman" w:cs="Times New Roman"/>
          <w:sz w:val="24"/>
          <w:szCs w:val="24"/>
        </w:rPr>
        <w:t>.</w:t>
      </w:r>
    </w:p>
    <w:p w:rsidR="001113F6" w:rsidRDefault="001113F6" w:rsidP="001113F6">
      <w:pPr>
        <w:spacing w:after="0"/>
        <w:jc w:val="both"/>
        <w:rPr>
          <w:rFonts w:ascii="Times New Roman" w:hAnsi="Times New Roman" w:cs="Times New Roman"/>
          <w:sz w:val="24"/>
          <w:szCs w:val="24"/>
        </w:rPr>
      </w:pPr>
      <w:r w:rsidRPr="00B53BF2">
        <w:rPr>
          <w:rFonts w:ascii="Times New Roman" w:hAnsi="Times New Roman" w:cs="Times New Roman"/>
          <w:sz w:val="24"/>
          <w:szCs w:val="24"/>
        </w:rPr>
        <w:tab/>
        <w:t xml:space="preserve">Gimnazijoje įgyvendintas tarptautinis projektas </w:t>
      </w:r>
      <w:proofErr w:type="spellStart"/>
      <w:r>
        <w:rPr>
          <w:rFonts w:ascii="Times New Roman" w:hAnsi="Times New Roman" w:cs="Times New Roman"/>
          <w:sz w:val="24"/>
          <w:szCs w:val="24"/>
        </w:rPr>
        <w:t>Nordplus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Junior</w:t>
      </w:r>
      <w:proofErr w:type="spellEnd"/>
      <w:r>
        <w:rPr>
          <w:rFonts w:ascii="Times New Roman" w:hAnsi="Times New Roman" w:cs="Times New Roman"/>
          <w:sz w:val="24"/>
          <w:szCs w:val="24"/>
        </w:rPr>
        <w:t xml:space="preserve"> projektas „</w:t>
      </w:r>
      <w:proofErr w:type="spellStart"/>
      <w:r>
        <w:rPr>
          <w:rFonts w:ascii="Times New Roman" w:hAnsi="Times New Roman" w:cs="Times New Roman"/>
          <w:sz w:val="24"/>
          <w:szCs w:val="24"/>
        </w:rPr>
        <w:t>Cultu</w:t>
      </w:r>
      <w:r w:rsidRPr="00B53BF2">
        <w:rPr>
          <w:rFonts w:ascii="Times New Roman" w:hAnsi="Times New Roman" w:cs="Times New Roman"/>
          <w:sz w:val="24"/>
          <w:szCs w:val="24"/>
        </w:rPr>
        <w:t>re</w:t>
      </w:r>
      <w:proofErr w:type="spellEnd"/>
      <w:r w:rsidRPr="00B53BF2">
        <w:rPr>
          <w:rFonts w:ascii="Times New Roman" w:hAnsi="Times New Roman" w:cs="Times New Roman"/>
          <w:sz w:val="24"/>
          <w:szCs w:val="24"/>
        </w:rPr>
        <w:t xml:space="preserve">, </w:t>
      </w:r>
      <w:proofErr w:type="spellStart"/>
      <w:r w:rsidRPr="00B53BF2">
        <w:rPr>
          <w:rFonts w:ascii="Times New Roman" w:hAnsi="Times New Roman" w:cs="Times New Roman"/>
          <w:sz w:val="24"/>
          <w:szCs w:val="24"/>
        </w:rPr>
        <w:t>identite</w:t>
      </w:r>
      <w:proofErr w:type="spellEnd"/>
      <w:r w:rsidRPr="00B53BF2">
        <w:rPr>
          <w:rFonts w:ascii="Times New Roman" w:hAnsi="Times New Roman" w:cs="Times New Roman"/>
          <w:sz w:val="24"/>
          <w:szCs w:val="24"/>
        </w:rPr>
        <w:t xml:space="preserve"> </w:t>
      </w:r>
      <w:proofErr w:type="spellStart"/>
      <w:r w:rsidRPr="00B53BF2">
        <w:rPr>
          <w:rFonts w:ascii="Times New Roman" w:hAnsi="Times New Roman" w:cs="Times New Roman"/>
          <w:sz w:val="24"/>
          <w:szCs w:val="24"/>
        </w:rPr>
        <w:t>and</w:t>
      </w:r>
      <w:proofErr w:type="spellEnd"/>
      <w:r w:rsidRPr="00B53BF2">
        <w:rPr>
          <w:rFonts w:ascii="Times New Roman" w:hAnsi="Times New Roman" w:cs="Times New Roman"/>
          <w:sz w:val="24"/>
          <w:szCs w:val="24"/>
        </w:rPr>
        <w:t xml:space="preserve"> </w:t>
      </w:r>
      <w:proofErr w:type="spellStart"/>
      <w:r w:rsidRPr="00B53BF2">
        <w:rPr>
          <w:rFonts w:ascii="Times New Roman" w:hAnsi="Times New Roman" w:cs="Times New Roman"/>
          <w:sz w:val="24"/>
          <w:szCs w:val="24"/>
        </w:rPr>
        <w:t>colonial</w:t>
      </w:r>
      <w:proofErr w:type="spellEnd"/>
      <w:r w:rsidRPr="00B53BF2">
        <w:rPr>
          <w:rFonts w:ascii="Times New Roman" w:hAnsi="Times New Roman" w:cs="Times New Roman"/>
          <w:sz w:val="24"/>
          <w:szCs w:val="24"/>
        </w:rPr>
        <w:t xml:space="preserve"> </w:t>
      </w:r>
      <w:proofErr w:type="spellStart"/>
      <w:r w:rsidRPr="00B53BF2">
        <w:rPr>
          <w:rFonts w:ascii="Times New Roman" w:hAnsi="Times New Roman" w:cs="Times New Roman"/>
          <w:sz w:val="24"/>
          <w:szCs w:val="24"/>
        </w:rPr>
        <w:t>pas</w:t>
      </w:r>
      <w:r>
        <w:rPr>
          <w:rFonts w:ascii="Times New Roman" w:hAnsi="Times New Roman" w:cs="Times New Roman"/>
          <w:sz w:val="24"/>
          <w:szCs w:val="24"/>
        </w:rPr>
        <w:t>t</w:t>
      </w:r>
      <w:proofErr w:type="spellEnd"/>
      <w:r w:rsidRPr="00B53BF2">
        <w:rPr>
          <w:rFonts w:ascii="Times New Roman" w:hAnsi="Times New Roman" w:cs="Times New Roman"/>
          <w:sz w:val="24"/>
          <w:szCs w:val="24"/>
        </w:rPr>
        <w:t>“ bei šalies projektai.</w:t>
      </w:r>
      <w:r>
        <w:rPr>
          <w:rFonts w:ascii="Times New Roman" w:hAnsi="Times New Roman" w:cs="Times New Roman"/>
          <w:sz w:val="24"/>
          <w:szCs w:val="24"/>
        </w:rPr>
        <w:t xml:space="preserve"> „Mūsų daug – viena Lietuva“</w:t>
      </w:r>
      <w:r w:rsidRPr="00B53BF2">
        <w:rPr>
          <w:rFonts w:ascii="Times New Roman" w:hAnsi="Times New Roman" w:cs="Times New Roman"/>
          <w:sz w:val="24"/>
          <w:szCs w:val="24"/>
        </w:rPr>
        <w:t>–</w:t>
      </w:r>
      <w:r>
        <w:rPr>
          <w:rFonts w:ascii="Times New Roman" w:hAnsi="Times New Roman" w:cs="Times New Roman"/>
          <w:sz w:val="24"/>
          <w:szCs w:val="24"/>
        </w:rPr>
        <w:t xml:space="preserve"> </w:t>
      </w:r>
      <w:r w:rsidRPr="00B53BF2">
        <w:rPr>
          <w:rFonts w:ascii="Times New Roman" w:hAnsi="Times New Roman" w:cs="Times New Roman"/>
          <w:sz w:val="24"/>
          <w:szCs w:val="24"/>
        </w:rPr>
        <w:t>projektas, kuris startavo Vilniaus „Laisvės“ gimnazijoje. Mokiniai praplėtė savo  žinias apie Lietuvos etnografinius regionus ir tautinę įvairovę, savitumą bei pokytį per Lietuvos valstybės šimtmetį</w:t>
      </w:r>
      <w:r>
        <w:rPr>
          <w:rFonts w:ascii="Times New Roman" w:hAnsi="Times New Roman" w:cs="Times New Roman"/>
          <w:sz w:val="24"/>
          <w:szCs w:val="24"/>
        </w:rPr>
        <w:t>, domėjosi</w:t>
      </w:r>
      <w:r w:rsidRPr="00B53BF2">
        <w:rPr>
          <w:rFonts w:ascii="Times New Roman" w:hAnsi="Times New Roman" w:cs="Times New Roman"/>
          <w:sz w:val="24"/>
          <w:szCs w:val="24"/>
        </w:rPr>
        <w:t xml:space="preserve"> kultūriniu paveldu, bendravimo ir darnaus </w:t>
      </w:r>
      <w:r>
        <w:rPr>
          <w:rFonts w:ascii="Times New Roman" w:hAnsi="Times New Roman" w:cs="Times New Roman"/>
          <w:sz w:val="24"/>
          <w:szCs w:val="24"/>
        </w:rPr>
        <w:t>bendruomenės gyvenimo tradicijomis</w:t>
      </w:r>
      <w:r w:rsidRPr="00B53BF2">
        <w:rPr>
          <w:rFonts w:ascii="Times New Roman" w:hAnsi="Times New Roman" w:cs="Times New Roman"/>
          <w:sz w:val="24"/>
          <w:szCs w:val="24"/>
        </w:rPr>
        <w:t xml:space="preserve">. </w:t>
      </w:r>
      <w:r>
        <w:rPr>
          <w:rFonts w:ascii="Times New Roman" w:hAnsi="Times New Roman" w:cs="Times New Roman"/>
          <w:sz w:val="24"/>
          <w:szCs w:val="24"/>
        </w:rPr>
        <w:t>Kituose projektuose (</w:t>
      </w:r>
      <w:r w:rsidRPr="00B53BF2">
        <w:rPr>
          <w:rFonts w:ascii="Times New Roman" w:hAnsi="Times New Roman" w:cs="Times New Roman"/>
          <w:sz w:val="24"/>
          <w:szCs w:val="24"/>
        </w:rPr>
        <w:t>„Mokymai. Medijų raštingumas</w:t>
      </w:r>
      <w:r>
        <w:rPr>
          <w:rFonts w:ascii="Times New Roman" w:hAnsi="Times New Roman" w:cs="Times New Roman"/>
          <w:sz w:val="24"/>
          <w:szCs w:val="24"/>
        </w:rPr>
        <w:t xml:space="preserve"> multiplikatoriams“, „Aš galiu“ – INVL </w:t>
      </w:r>
      <w:proofErr w:type="spellStart"/>
      <w:r>
        <w:rPr>
          <w:rFonts w:ascii="Times New Roman" w:hAnsi="Times New Roman" w:cs="Times New Roman"/>
          <w:sz w:val="24"/>
          <w:szCs w:val="24"/>
        </w:rPr>
        <w:t>Finasta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Alumui</w:t>
      </w:r>
      <w:proofErr w:type="spellEnd"/>
      <w:r>
        <w:rPr>
          <w:rFonts w:ascii="Times New Roman" w:hAnsi="Times New Roman" w:cs="Times New Roman"/>
          <w:sz w:val="24"/>
          <w:szCs w:val="24"/>
        </w:rPr>
        <w:t xml:space="preserve"> projektas, „Nepamiršk parašiuto“ – Lietuvos valstybinio socialinio draudimo fondo jaunimo švietimo plėtros projektas, </w:t>
      </w:r>
      <w:r>
        <w:rPr>
          <w:rFonts w:ascii="Times New Roman" w:hAnsi="Times New Roman" w:cs="Times New Roman"/>
          <w:sz w:val="24"/>
          <w:szCs w:val="24"/>
        </w:rPr>
        <w:lastRenderedPageBreak/>
        <w:t xml:space="preserve">mokinių </w:t>
      </w:r>
      <w:r w:rsidRPr="00EF1517">
        <w:rPr>
          <w:rFonts w:ascii="Times New Roman" w:hAnsi="Times New Roman" w:cs="Times New Roman"/>
          <w:sz w:val="24"/>
          <w:szCs w:val="24"/>
        </w:rPr>
        <w:t>savivaldos interaktyvūs mokymai „Draugas draugui. Mokykla mokykla“</w:t>
      </w:r>
      <w:r>
        <w:rPr>
          <w:rFonts w:ascii="Times New Roman" w:hAnsi="Times New Roman" w:cs="Times New Roman"/>
          <w:sz w:val="24"/>
          <w:szCs w:val="24"/>
        </w:rPr>
        <w:t>, neformaliojo vaikų švietimo projektas „Būk detektyvas“</w:t>
      </w:r>
      <w:r w:rsidRPr="00EF1517">
        <w:rPr>
          <w:rFonts w:ascii="Times New Roman" w:hAnsi="Times New Roman" w:cs="Times New Roman"/>
          <w:sz w:val="24"/>
          <w:szCs w:val="24"/>
        </w:rPr>
        <w:t xml:space="preserve">) mokiniai tobulino socialines, bendravimo, bendradarbiavimo kompetencijas, ugdėsi vertybines nuostatas, pilietiškumą. </w:t>
      </w:r>
    </w:p>
    <w:p w:rsidR="001113F6" w:rsidRDefault="001113F6" w:rsidP="001113F6">
      <w:pPr>
        <w:pStyle w:val="Sraopastraipa"/>
        <w:autoSpaceDE w:val="0"/>
        <w:autoSpaceDN w:val="0"/>
        <w:adjustRightInd w:val="0"/>
        <w:ind w:left="0" w:firstLine="1276"/>
        <w:jc w:val="both"/>
        <w:rPr>
          <w:rFonts w:ascii="Times New Roman" w:hAnsi="Times New Roman" w:cs="Times New Roman"/>
          <w:sz w:val="24"/>
          <w:szCs w:val="24"/>
        </w:rPr>
      </w:pPr>
      <w:r w:rsidRPr="000C39AD">
        <w:rPr>
          <w:rFonts w:ascii="Times New Roman" w:hAnsi="Times New Roman" w:cs="Times New Roman"/>
          <w:bCs/>
          <w:sz w:val="24"/>
          <w:szCs w:val="24"/>
        </w:rPr>
        <w:t xml:space="preserve">Metodinė taryba </w:t>
      </w:r>
      <w:r>
        <w:rPr>
          <w:rFonts w:ascii="Times New Roman" w:hAnsi="Times New Roman" w:cs="Times New Roman"/>
          <w:bCs/>
          <w:sz w:val="24"/>
          <w:szCs w:val="24"/>
        </w:rPr>
        <w:t>organizavo „</w:t>
      </w:r>
      <w:r w:rsidRPr="000C39AD">
        <w:rPr>
          <w:rFonts w:ascii="Times New Roman" w:hAnsi="Times New Roman" w:cs="Times New Roman"/>
          <w:bCs/>
          <w:sz w:val="24"/>
          <w:szCs w:val="24"/>
        </w:rPr>
        <w:t>Tyrėjų dienas</w:t>
      </w:r>
      <w:r>
        <w:rPr>
          <w:rFonts w:ascii="Times New Roman" w:hAnsi="Times New Roman" w:cs="Times New Roman"/>
          <w:bCs/>
          <w:sz w:val="24"/>
          <w:szCs w:val="24"/>
        </w:rPr>
        <w:t>“</w:t>
      </w:r>
      <w:r w:rsidRPr="000C39AD">
        <w:rPr>
          <w:rFonts w:ascii="Times New Roman" w:hAnsi="Times New Roman" w:cs="Times New Roman"/>
          <w:bCs/>
          <w:sz w:val="24"/>
          <w:szCs w:val="24"/>
        </w:rPr>
        <w:t xml:space="preserve">. Jose dalyvavo visi mokyklos mokiniai. </w:t>
      </w:r>
      <w:r w:rsidRPr="000C39AD">
        <w:rPr>
          <w:rFonts w:ascii="Times New Roman" w:hAnsi="Times New Roman" w:cs="Times New Roman"/>
          <w:sz w:val="24"/>
          <w:szCs w:val="24"/>
        </w:rPr>
        <w:t>Mokiniai turėjo galimybę dalykines žinias pritaikyti praktiškai, pagilino bendrąsias kompetencijas</w:t>
      </w:r>
      <w:r>
        <w:rPr>
          <w:rFonts w:ascii="Times New Roman" w:hAnsi="Times New Roman" w:cs="Times New Roman"/>
          <w:sz w:val="24"/>
          <w:szCs w:val="24"/>
        </w:rPr>
        <w:t>: viešojo kalbėjimo, bendradarbiavimo, kūrybingumo, pažinimo. Atlikta apklausa dėl tyrėjų dienos organizavimo parodė, kad mokiniams jos reikia, nes įdomu, mokymas vyksta kitaip</w:t>
      </w:r>
    </w:p>
    <w:p w:rsidR="001113F6" w:rsidRPr="00B53BF2" w:rsidRDefault="001113F6" w:rsidP="001113F6">
      <w:pPr>
        <w:pStyle w:val="Sraopastraipa"/>
        <w:autoSpaceDE w:val="0"/>
        <w:autoSpaceDN w:val="0"/>
        <w:adjustRightInd w:val="0"/>
        <w:spacing w:after="0"/>
        <w:ind w:left="0" w:firstLine="1296"/>
        <w:jc w:val="both"/>
        <w:rPr>
          <w:rFonts w:ascii="Times New Roman" w:hAnsi="Times New Roman" w:cs="Times New Roman"/>
          <w:sz w:val="24"/>
          <w:szCs w:val="24"/>
        </w:rPr>
      </w:pPr>
      <w:r>
        <w:rPr>
          <w:rFonts w:ascii="Times New Roman" w:hAnsi="Times New Roman" w:cs="Times New Roman"/>
          <w:sz w:val="24"/>
          <w:szCs w:val="24"/>
        </w:rPr>
        <w:t>Mokinių vertybinių nuostatų formavimui, elgesio gerinimui buvo vykdomos prevencinės programos „SAVU KELIU“, „</w:t>
      </w:r>
      <w:proofErr w:type="spellStart"/>
      <w:r>
        <w:rPr>
          <w:rFonts w:ascii="Times New Roman" w:hAnsi="Times New Roman" w:cs="Times New Roman"/>
          <w:sz w:val="24"/>
          <w:szCs w:val="24"/>
        </w:rPr>
        <w:t>Zipio</w:t>
      </w:r>
      <w:proofErr w:type="spellEnd"/>
      <w:r>
        <w:rPr>
          <w:rFonts w:ascii="Times New Roman" w:hAnsi="Times New Roman" w:cs="Times New Roman"/>
          <w:sz w:val="24"/>
          <w:szCs w:val="24"/>
        </w:rPr>
        <w:t xml:space="preserve"> draugai“. Vyko įvairūs prevenciniai renginiai. </w:t>
      </w:r>
      <w:r w:rsidRPr="00B53BF2">
        <w:rPr>
          <w:rFonts w:ascii="Times New Roman" w:hAnsi="Times New Roman" w:cs="Times New Roman"/>
          <w:sz w:val="24"/>
          <w:szCs w:val="24"/>
        </w:rPr>
        <w:t xml:space="preserve">„Savaitės be patyčių“ metu  mokinių savivaldos nariai pirmų-septintų klasių mokiniams organizavo pokalbius apie savijautą mokykloje, apie dalykus, kurie daro juos laimingus arba liūdina, apie patiriamas patyčias. Pokalbiai buvo labai prasmingi, nes mokiniai suprato, kad jie mums rūpi, stengėmės juos išklausyti, suprasti, skatinome nebijoti būti atvirus ir pasitikėti savimi. Minėta tarptautinė tolerancijos diena. Pokalbiai tolerancijos tema ragino  nebūti abejingiems, savo rankomis, žodžiais, gerais darbais kurti tolerantišką gimnazijos aplinką visiems. Alantos gimnazistai kartu su bendruomene organizavo gerumo akciją. Visose Alantos ir </w:t>
      </w:r>
      <w:proofErr w:type="spellStart"/>
      <w:r w:rsidRPr="00B53BF2">
        <w:rPr>
          <w:rFonts w:ascii="Times New Roman" w:hAnsi="Times New Roman" w:cs="Times New Roman"/>
          <w:sz w:val="24"/>
          <w:szCs w:val="24"/>
        </w:rPr>
        <w:t>Naujasodžio</w:t>
      </w:r>
      <w:proofErr w:type="spellEnd"/>
      <w:r w:rsidRPr="00B53BF2">
        <w:rPr>
          <w:rFonts w:ascii="Times New Roman" w:hAnsi="Times New Roman" w:cs="Times New Roman"/>
          <w:sz w:val="24"/>
          <w:szCs w:val="24"/>
        </w:rPr>
        <w:t xml:space="preserve"> parduotuvėse mokinių tarybos nariai prašė gyventojų aukoti maisto produktus vienišiems Alantos seniūnijos seneliams. Molėtų savivaldybės teisės ir civilinės metrikacijos skyriaus vyresnysis specialistas Aleksas Strumila lankėsi Alantos gimnazijoje ir bendravo su 8 mokiniais žalingų įpročių prevencijos tema. Pokalbio metu didelis dėmesys  skirtas informacijai apie žalingų įpročių pasekmes jaunam augančiam organizmui, kokios sveikatos problemos atsiranda "draugaujant" su cigarete, kas ir kaip gali padėti atsisakyti rūkymo tiems, kas jau rūko. Akcija „Padėk draugui“. Atliktas tyrimas „Mokinių saugumas mokykloje“. </w:t>
      </w:r>
    </w:p>
    <w:p w:rsidR="001113F6" w:rsidRDefault="001113F6" w:rsidP="001113F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Pilietiškumo ugdymui, skatinimui domėtis kultūriniais, politiniais įvykiais buvo organizuojami tiek tradiciniai tiek nauji renginiai. </w:t>
      </w:r>
      <w:r w:rsidRPr="00B53BF2">
        <w:rPr>
          <w:rFonts w:ascii="Times New Roman" w:hAnsi="Times New Roman" w:cs="Times New Roman"/>
          <w:sz w:val="24"/>
          <w:szCs w:val="24"/>
        </w:rPr>
        <w:t>Gimnazistai dalyvavo Lietuvos kariuomenės dienos minėjime, kuriame buvo iškilmingai atidengtos atminimo lentos, skirtos įamžinti gimusiems Alantos krašte 1918 metų Lietuvos kariuomenės savanoriams. Vasario 16 d. Alantos gimnazija kartu su Alantos bendruomene paminėjo valstybės atkūrimo šimtmetį.</w:t>
      </w:r>
      <w:r>
        <w:rPr>
          <w:rFonts w:ascii="Times New Roman" w:hAnsi="Times New Roman" w:cs="Times New Roman"/>
          <w:sz w:val="24"/>
          <w:szCs w:val="24"/>
        </w:rPr>
        <w:t xml:space="preserve"> </w:t>
      </w:r>
    </w:p>
    <w:p w:rsidR="001113F6" w:rsidRDefault="001113F6" w:rsidP="001113F6">
      <w:pPr>
        <w:ind w:firstLine="1296"/>
        <w:jc w:val="both"/>
        <w:rPr>
          <w:rFonts w:ascii="Times New Roman" w:hAnsi="Times New Roman" w:cs="Times New Roman"/>
          <w:sz w:val="24"/>
          <w:szCs w:val="24"/>
        </w:rPr>
      </w:pPr>
      <w:r w:rsidRPr="00B53BF2">
        <w:rPr>
          <w:rFonts w:ascii="Times New Roman" w:hAnsi="Times New Roman" w:cs="Times New Roman"/>
          <w:sz w:val="24"/>
          <w:szCs w:val="24"/>
        </w:rPr>
        <w:t>Į susitikimus su mokiniais buvo kviečiami įžymūs žmonės. Lankėsi VDU profesorius Liudas Mažylis, Berlyne atradęs Vasario 16-osios aktą.</w:t>
      </w:r>
      <w:r w:rsidRPr="00B53BF2">
        <w:rPr>
          <w:rStyle w:val="Grietas"/>
          <w:rFonts w:ascii="Times New Roman" w:hAnsi="Times New Roman" w:cs="Times New Roman"/>
          <w:sz w:val="24"/>
          <w:szCs w:val="24"/>
        </w:rPr>
        <w:t xml:space="preserve"> </w:t>
      </w:r>
      <w:r w:rsidRPr="007D3985">
        <w:rPr>
          <w:rStyle w:val="Grietas"/>
          <w:rFonts w:ascii="Times New Roman" w:hAnsi="Times New Roman" w:cs="Times New Roman"/>
          <w:b w:val="0"/>
          <w:sz w:val="24"/>
          <w:szCs w:val="24"/>
        </w:rPr>
        <w:t>Su koncertine-edukacine programa gimnazijoje lankėsi</w:t>
      </w:r>
      <w:r w:rsidRPr="00B53BF2">
        <w:rPr>
          <w:rFonts w:ascii="Times New Roman" w:hAnsi="Times New Roman" w:cs="Times New Roman"/>
          <w:sz w:val="24"/>
          <w:szCs w:val="24"/>
        </w:rPr>
        <w:t xml:space="preserve"> smuikininkas, Kauno kamerinio orkestro įkūrėjas Gediminas Dalinkevičius bei jaunasis jo kolega perspektyvus gitaristas Simonas </w:t>
      </w:r>
      <w:proofErr w:type="spellStart"/>
      <w:r w:rsidRPr="00B53BF2">
        <w:rPr>
          <w:rFonts w:ascii="Times New Roman" w:hAnsi="Times New Roman" w:cs="Times New Roman"/>
          <w:sz w:val="24"/>
          <w:szCs w:val="24"/>
        </w:rPr>
        <w:t>Bušma</w:t>
      </w:r>
      <w:proofErr w:type="spellEnd"/>
      <w:r w:rsidRPr="00B53BF2">
        <w:rPr>
          <w:rFonts w:ascii="Times New Roman" w:hAnsi="Times New Roman" w:cs="Times New Roman"/>
          <w:sz w:val="24"/>
          <w:szCs w:val="24"/>
        </w:rPr>
        <w:t xml:space="preserve">. Gimnazijoje lankėsi Lietuvos kariuomenės Sausumos pajėgų Krašto apsaugos savanorių pajėgų Didžiosios Kovos apygardos 8-osios rinktinės atstovai. </w:t>
      </w:r>
      <w:r>
        <w:rPr>
          <w:rFonts w:ascii="Times New Roman" w:hAnsi="Times New Roman" w:cs="Times New Roman"/>
          <w:sz w:val="24"/>
          <w:szCs w:val="24"/>
        </w:rPr>
        <w:t xml:space="preserve">Organizuotas susitikimas su VDU mokslininkais. Doc. </w:t>
      </w:r>
      <w:proofErr w:type="spellStart"/>
      <w:r>
        <w:rPr>
          <w:rFonts w:ascii="Times New Roman" w:hAnsi="Times New Roman" w:cs="Times New Roman"/>
          <w:sz w:val="24"/>
          <w:szCs w:val="24"/>
        </w:rPr>
        <w:t>R.Žūkienė</w:t>
      </w:r>
      <w:proofErr w:type="spellEnd"/>
      <w:r>
        <w:rPr>
          <w:rFonts w:ascii="Times New Roman" w:hAnsi="Times New Roman" w:cs="Times New Roman"/>
          <w:sz w:val="24"/>
          <w:szCs w:val="24"/>
        </w:rPr>
        <w:t xml:space="preserve"> skaitė paskaitą „</w:t>
      </w:r>
      <w:proofErr w:type="spellStart"/>
      <w:r>
        <w:rPr>
          <w:rFonts w:ascii="Times New Roman" w:hAnsi="Times New Roman" w:cs="Times New Roman"/>
          <w:sz w:val="24"/>
          <w:szCs w:val="24"/>
        </w:rPr>
        <w:t>Nanodalelė</w:t>
      </w:r>
      <w:proofErr w:type="spellEnd"/>
      <w:r>
        <w:rPr>
          <w:rFonts w:ascii="Times New Roman" w:hAnsi="Times New Roman" w:cs="Times New Roman"/>
          <w:sz w:val="24"/>
          <w:szCs w:val="24"/>
        </w:rPr>
        <w:t xml:space="preserve"> – žmogaus pagalbininkas ir priešas“ ir kt.</w:t>
      </w:r>
    </w:p>
    <w:p w:rsidR="007D3985" w:rsidRPr="007D3985" w:rsidRDefault="007D3985" w:rsidP="007D3985">
      <w:pPr>
        <w:ind w:firstLine="1296"/>
        <w:jc w:val="both"/>
        <w:rPr>
          <w:rFonts w:ascii="Times New Roman" w:hAnsi="Times New Roman" w:cs="Times New Roman"/>
          <w:sz w:val="24"/>
          <w:szCs w:val="24"/>
        </w:rPr>
      </w:pPr>
      <w:r w:rsidRPr="007D3985">
        <w:rPr>
          <w:rFonts w:ascii="Times New Roman" w:hAnsi="Times New Roman" w:cs="Times New Roman"/>
          <w:sz w:val="24"/>
          <w:szCs w:val="24"/>
        </w:rPr>
        <w:t xml:space="preserve">2017-2018 m.m. </w:t>
      </w:r>
      <w:r>
        <w:rPr>
          <w:rFonts w:ascii="Times New Roman" w:hAnsi="Times New Roman" w:cs="Times New Roman"/>
          <w:sz w:val="24"/>
          <w:szCs w:val="24"/>
        </w:rPr>
        <w:t>atliktas</w:t>
      </w:r>
      <w:r w:rsidRPr="007D3985">
        <w:rPr>
          <w:rFonts w:ascii="Times New Roman" w:hAnsi="Times New Roman" w:cs="Times New Roman"/>
          <w:sz w:val="24"/>
          <w:szCs w:val="24"/>
        </w:rPr>
        <w:t xml:space="preserve"> </w:t>
      </w:r>
      <w:r>
        <w:rPr>
          <w:rFonts w:ascii="Times New Roman" w:hAnsi="Times New Roman" w:cs="Times New Roman"/>
          <w:sz w:val="24"/>
          <w:szCs w:val="24"/>
        </w:rPr>
        <w:t>teminis gimnazijos veiklos  įsivertinimas</w:t>
      </w:r>
      <w:r w:rsidRPr="007D3985">
        <w:rPr>
          <w:rFonts w:ascii="Times New Roman" w:hAnsi="Times New Roman" w:cs="Times New Roman"/>
          <w:sz w:val="24"/>
          <w:szCs w:val="24"/>
        </w:rPr>
        <w:t>. Įsivertinimui pasirinkta tema: 2.3.2. Ugdymas mokyklos gyvenimu (iš srities 2. Ugdymas ir patirtys</w:t>
      </w:r>
      <w:r w:rsidRPr="007D3985">
        <w:rPr>
          <w:rFonts w:ascii="Times New Roman" w:hAnsi="Times New Roman" w:cs="Times New Roman"/>
          <w:sz w:val="24"/>
          <w:szCs w:val="24"/>
        </w:rPr>
        <w:sym w:font="Wingdings" w:char="F0E0"/>
      </w:r>
      <w:r w:rsidRPr="007D3985">
        <w:rPr>
          <w:rFonts w:ascii="Times New Roman" w:hAnsi="Times New Roman" w:cs="Times New Roman"/>
          <w:sz w:val="24"/>
          <w:szCs w:val="24"/>
        </w:rPr>
        <w:t xml:space="preserve"> 2.3. Mokinių patirtys). </w:t>
      </w:r>
      <w:r>
        <w:rPr>
          <w:rFonts w:ascii="Times New Roman" w:hAnsi="Times New Roman" w:cs="Times New Roman"/>
          <w:sz w:val="24"/>
          <w:szCs w:val="24"/>
        </w:rPr>
        <w:t>Įsivertinimo t</w:t>
      </w:r>
      <w:r w:rsidRPr="007D3985">
        <w:rPr>
          <w:rFonts w:ascii="Times New Roman" w:hAnsi="Times New Roman" w:cs="Times New Roman"/>
          <w:sz w:val="24"/>
          <w:szCs w:val="24"/>
        </w:rPr>
        <w:t xml:space="preserve">ikslas: Konstatuoti esamą padėtį ir nustatyti </w:t>
      </w:r>
      <w:proofErr w:type="spellStart"/>
      <w:r w:rsidRPr="007D3985">
        <w:rPr>
          <w:rFonts w:ascii="Times New Roman" w:hAnsi="Times New Roman" w:cs="Times New Roman"/>
          <w:sz w:val="24"/>
          <w:szCs w:val="24"/>
        </w:rPr>
        <w:t>privalumus</w:t>
      </w:r>
      <w:proofErr w:type="spellEnd"/>
      <w:r w:rsidRPr="007D3985">
        <w:rPr>
          <w:rFonts w:ascii="Times New Roman" w:hAnsi="Times New Roman" w:cs="Times New Roman"/>
          <w:sz w:val="24"/>
          <w:szCs w:val="24"/>
        </w:rPr>
        <w:t xml:space="preserve"> bei trūkumus, pateikti rekomendacijas veiklos tobulinimui.</w:t>
      </w:r>
      <w:r>
        <w:rPr>
          <w:rFonts w:ascii="Times New Roman" w:hAnsi="Times New Roman" w:cs="Times New Roman"/>
          <w:sz w:val="24"/>
          <w:szCs w:val="24"/>
        </w:rPr>
        <w:t xml:space="preserve"> </w:t>
      </w:r>
      <w:r w:rsidRPr="007D3985">
        <w:rPr>
          <w:rFonts w:ascii="Times New Roman" w:hAnsi="Times New Roman" w:cs="Times New Roman"/>
          <w:sz w:val="24"/>
          <w:szCs w:val="24"/>
        </w:rPr>
        <w:t xml:space="preserve">Įsivertinimas atliktas šiais aspektais: </w:t>
      </w:r>
      <w:r>
        <w:rPr>
          <w:rFonts w:ascii="Times New Roman" w:hAnsi="Times New Roman" w:cs="Times New Roman"/>
          <w:sz w:val="24"/>
          <w:szCs w:val="24"/>
        </w:rPr>
        <w:t xml:space="preserve">1) </w:t>
      </w:r>
      <w:r w:rsidRPr="007D3985">
        <w:rPr>
          <w:rFonts w:ascii="Times New Roman" w:hAnsi="Times New Roman" w:cs="Times New Roman"/>
          <w:sz w:val="24"/>
          <w:szCs w:val="24"/>
        </w:rPr>
        <w:t xml:space="preserve">Santykiai ir mokinių savijauta; </w:t>
      </w:r>
      <w:r>
        <w:rPr>
          <w:rFonts w:ascii="Times New Roman" w:hAnsi="Times New Roman" w:cs="Times New Roman"/>
          <w:sz w:val="24"/>
          <w:szCs w:val="24"/>
        </w:rPr>
        <w:t xml:space="preserve">2) </w:t>
      </w:r>
      <w:r w:rsidRPr="007D3985">
        <w:rPr>
          <w:rFonts w:ascii="Times New Roman" w:hAnsi="Times New Roman" w:cs="Times New Roman"/>
          <w:sz w:val="24"/>
          <w:szCs w:val="24"/>
        </w:rPr>
        <w:t xml:space="preserve">Narystė ir </w:t>
      </w:r>
      <w:proofErr w:type="spellStart"/>
      <w:r w:rsidRPr="007D3985">
        <w:rPr>
          <w:rFonts w:ascii="Times New Roman" w:hAnsi="Times New Roman" w:cs="Times New Roman"/>
          <w:sz w:val="24"/>
          <w:szCs w:val="24"/>
        </w:rPr>
        <w:t>bendrakūra</w:t>
      </w:r>
      <w:proofErr w:type="spellEnd"/>
      <w:r w:rsidRPr="007D3985">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7D3985">
        <w:rPr>
          <w:rFonts w:ascii="Times New Roman" w:hAnsi="Times New Roman" w:cs="Times New Roman"/>
          <w:sz w:val="24"/>
          <w:szCs w:val="24"/>
        </w:rPr>
        <w:t xml:space="preserve">Veiklos, įvykiai, nuotykiai; </w:t>
      </w:r>
      <w:r>
        <w:rPr>
          <w:rFonts w:ascii="Times New Roman" w:hAnsi="Times New Roman" w:cs="Times New Roman"/>
          <w:sz w:val="24"/>
          <w:szCs w:val="24"/>
        </w:rPr>
        <w:t xml:space="preserve">4) </w:t>
      </w:r>
      <w:r w:rsidRPr="007D3985">
        <w:rPr>
          <w:rFonts w:ascii="Times New Roman" w:hAnsi="Times New Roman" w:cs="Times New Roman"/>
          <w:sz w:val="24"/>
          <w:szCs w:val="24"/>
        </w:rPr>
        <w:t>Darbinga tvarka.</w:t>
      </w:r>
      <w:r>
        <w:rPr>
          <w:rFonts w:ascii="Times New Roman" w:hAnsi="Times New Roman" w:cs="Times New Roman"/>
          <w:sz w:val="24"/>
          <w:szCs w:val="24"/>
        </w:rPr>
        <w:t xml:space="preserve"> </w:t>
      </w:r>
      <w:r w:rsidR="00D85BAF">
        <w:rPr>
          <w:rFonts w:ascii="Times New Roman" w:hAnsi="Times New Roman" w:cs="Times New Roman"/>
          <w:sz w:val="24"/>
          <w:szCs w:val="24"/>
        </w:rPr>
        <w:t>Pateiktos įsivertinimo rekomendacijos panaudotos planuojant gimnazijos veiklą.</w:t>
      </w:r>
      <w:r>
        <w:rPr>
          <w:rFonts w:ascii="Times New Roman" w:hAnsi="Times New Roman" w:cs="Times New Roman"/>
          <w:sz w:val="24"/>
          <w:szCs w:val="24"/>
        </w:rPr>
        <w:t xml:space="preserve"> </w:t>
      </w:r>
    </w:p>
    <w:p w:rsidR="001113F6" w:rsidRPr="00373A53" w:rsidRDefault="001113F6" w:rsidP="001113F6">
      <w:pPr>
        <w:spacing w:after="0"/>
        <w:rPr>
          <w:rFonts w:ascii="Times New Roman" w:hAnsi="Times New Roman" w:cs="Times New Roman"/>
          <w:b/>
          <w:sz w:val="24"/>
          <w:szCs w:val="24"/>
        </w:rPr>
      </w:pPr>
    </w:p>
    <w:p w:rsidR="008E00BE" w:rsidRPr="00D85BAF" w:rsidRDefault="00D85BAF">
      <w:pPr>
        <w:rPr>
          <w:rFonts w:ascii="Times New Roman" w:hAnsi="Times New Roman" w:cs="Times New Roman"/>
        </w:rPr>
      </w:pPr>
      <w:r w:rsidRPr="00D85BAF">
        <w:rPr>
          <w:rFonts w:ascii="Times New Roman" w:hAnsi="Times New Roman" w:cs="Times New Roman"/>
        </w:rPr>
        <w:t>Direktorė</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C1035">
        <w:rPr>
          <w:rFonts w:ascii="Times New Roman" w:hAnsi="Times New Roman" w:cs="Times New Roman"/>
        </w:rPr>
        <w:t xml:space="preserve">                                </w:t>
      </w:r>
      <w:r>
        <w:rPr>
          <w:rFonts w:ascii="Times New Roman" w:hAnsi="Times New Roman" w:cs="Times New Roman"/>
        </w:rPr>
        <w:t xml:space="preserve">Dalia </w:t>
      </w:r>
      <w:proofErr w:type="spellStart"/>
      <w:r>
        <w:rPr>
          <w:rFonts w:ascii="Times New Roman" w:hAnsi="Times New Roman" w:cs="Times New Roman"/>
        </w:rPr>
        <w:t>Skebienė</w:t>
      </w:r>
      <w:proofErr w:type="spellEnd"/>
    </w:p>
    <w:sectPr w:rsidR="008E00BE" w:rsidRPr="00D85B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4389"/>
    <w:multiLevelType w:val="hybridMultilevel"/>
    <w:tmpl w:val="3F38CFA2"/>
    <w:lvl w:ilvl="0" w:tplc="0427000F">
      <w:start w:val="1"/>
      <w:numFmt w:val="decimal"/>
      <w:lvlText w:val="%1."/>
      <w:lvlJc w:val="left"/>
      <w:pPr>
        <w:tabs>
          <w:tab w:val="num" w:pos="720"/>
        </w:tabs>
        <w:ind w:left="720" w:hanging="360"/>
      </w:pPr>
      <w:rPr>
        <w:rFonts w:hint="default"/>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44204AD7"/>
    <w:multiLevelType w:val="hybridMultilevel"/>
    <w:tmpl w:val="D466DF8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F6"/>
    <w:rsid w:val="000F0DE0"/>
    <w:rsid w:val="00105C5E"/>
    <w:rsid w:val="001113F6"/>
    <w:rsid w:val="00224D01"/>
    <w:rsid w:val="00257CF0"/>
    <w:rsid w:val="00280FEE"/>
    <w:rsid w:val="002B0A87"/>
    <w:rsid w:val="00304BB4"/>
    <w:rsid w:val="0038240C"/>
    <w:rsid w:val="00384E21"/>
    <w:rsid w:val="003A18A5"/>
    <w:rsid w:val="003C22A0"/>
    <w:rsid w:val="00403D60"/>
    <w:rsid w:val="004A5D69"/>
    <w:rsid w:val="004D1EF5"/>
    <w:rsid w:val="005C1035"/>
    <w:rsid w:val="0063714E"/>
    <w:rsid w:val="006738ED"/>
    <w:rsid w:val="007D3985"/>
    <w:rsid w:val="00885A2E"/>
    <w:rsid w:val="008E00BE"/>
    <w:rsid w:val="009175B0"/>
    <w:rsid w:val="0094374D"/>
    <w:rsid w:val="00A3257D"/>
    <w:rsid w:val="00B10298"/>
    <w:rsid w:val="00D85BAF"/>
    <w:rsid w:val="00DB52D4"/>
    <w:rsid w:val="00ED0DE4"/>
    <w:rsid w:val="00FB69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CEB2"/>
  <w15:docId w15:val="{9EB3937F-DE51-4EDE-848C-DD6164E0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13F6"/>
    <w:pPr>
      <w:spacing w:after="200" w:line="240" w:lineRule="auto"/>
    </w:pPr>
  </w:style>
  <w:style w:type="paragraph" w:styleId="Antrat1">
    <w:name w:val="heading 1"/>
    <w:basedOn w:val="prastasis"/>
    <w:next w:val="prastasis"/>
    <w:link w:val="Antrat1Diagrama"/>
    <w:uiPriority w:val="9"/>
    <w:qFormat/>
    <w:rsid w:val="007D3985"/>
    <w:pPr>
      <w:widowControl w:val="0"/>
      <w:autoSpaceDE w:val="0"/>
      <w:autoSpaceDN w:val="0"/>
      <w:adjustRightInd w:val="0"/>
      <w:spacing w:after="0"/>
      <w:ind w:left="540" w:hanging="540"/>
      <w:outlineLvl w:val="0"/>
    </w:pPr>
    <w:rPr>
      <w:rFonts w:ascii="Times New Roman" w:eastAsiaTheme="minorEastAsia" w:hAnsi="Times New Roman" w:cs="Times New Roman"/>
      <w:color w:val="000000"/>
      <w:kern w:val="24"/>
      <w:sz w:val="64"/>
      <w:szCs w:val="64"/>
      <w:lang w:eastAsia="lt-LT"/>
    </w:rPr>
  </w:style>
  <w:style w:type="paragraph" w:styleId="Antrat2">
    <w:name w:val="heading 2"/>
    <w:basedOn w:val="prastasis"/>
    <w:next w:val="prastasis"/>
    <w:link w:val="Antrat2Diagrama"/>
    <w:uiPriority w:val="99"/>
    <w:qFormat/>
    <w:rsid w:val="007D3985"/>
    <w:pPr>
      <w:widowControl w:val="0"/>
      <w:autoSpaceDE w:val="0"/>
      <w:autoSpaceDN w:val="0"/>
      <w:adjustRightInd w:val="0"/>
      <w:spacing w:after="0"/>
      <w:ind w:left="1170" w:hanging="450"/>
      <w:outlineLvl w:val="1"/>
    </w:pPr>
    <w:rPr>
      <w:rFonts w:ascii="Times New Roman" w:eastAsiaTheme="minorEastAsia" w:hAnsi="Times New Roman" w:cs="Times New Roman"/>
      <w:color w:val="000000"/>
      <w:kern w:val="24"/>
      <w:sz w:val="56"/>
      <w:szCs w:val="5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113F6"/>
    <w:pPr>
      <w:ind w:left="720"/>
      <w:contextualSpacing/>
    </w:pPr>
  </w:style>
  <w:style w:type="paragraph" w:styleId="Betarp">
    <w:name w:val="No Spacing"/>
    <w:uiPriority w:val="1"/>
    <w:qFormat/>
    <w:rsid w:val="001113F6"/>
    <w:pPr>
      <w:spacing w:after="0" w:line="240" w:lineRule="auto"/>
    </w:pPr>
    <w:rPr>
      <w:rFonts w:ascii="Times New Roman" w:eastAsia="Times New Roman" w:hAnsi="Times New Roman" w:cs="Times New Roman"/>
      <w:sz w:val="24"/>
      <w:szCs w:val="24"/>
      <w:lang w:eastAsia="lt-LT"/>
    </w:rPr>
  </w:style>
  <w:style w:type="table" w:styleId="Lentelstinklelis">
    <w:name w:val="Table Grid"/>
    <w:basedOn w:val="prastojilentel"/>
    <w:rsid w:val="00111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1113F6"/>
    <w:rPr>
      <w:b/>
      <w:bCs/>
    </w:rPr>
  </w:style>
  <w:style w:type="character" w:styleId="Hipersaitas">
    <w:name w:val="Hyperlink"/>
    <w:uiPriority w:val="99"/>
    <w:unhideWhenUsed/>
    <w:rsid w:val="001113F6"/>
    <w:rPr>
      <w:color w:val="0000FF"/>
      <w:u w:val="single"/>
    </w:rPr>
  </w:style>
  <w:style w:type="paragraph" w:styleId="Debesliotekstas">
    <w:name w:val="Balloon Text"/>
    <w:basedOn w:val="prastasis"/>
    <w:link w:val="DebesliotekstasDiagrama"/>
    <w:uiPriority w:val="99"/>
    <w:semiHidden/>
    <w:unhideWhenUsed/>
    <w:rsid w:val="00885A2E"/>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85A2E"/>
    <w:rPr>
      <w:rFonts w:ascii="Tahoma" w:hAnsi="Tahoma" w:cs="Tahoma"/>
      <w:sz w:val="16"/>
      <w:szCs w:val="16"/>
    </w:rPr>
  </w:style>
  <w:style w:type="character" w:customStyle="1" w:styleId="Antrat1Diagrama">
    <w:name w:val="Antraštė 1 Diagrama"/>
    <w:basedOn w:val="Numatytasispastraiposriftas"/>
    <w:link w:val="Antrat1"/>
    <w:uiPriority w:val="9"/>
    <w:rsid w:val="007D3985"/>
    <w:rPr>
      <w:rFonts w:ascii="Times New Roman" w:eastAsiaTheme="minorEastAsia" w:hAnsi="Times New Roman" w:cs="Times New Roman"/>
      <w:color w:val="000000"/>
      <w:kern w:val="24"/>
      <w:sz w:val="64"/>
      <w:szCs w:val="64"/>
      <w:lang w:eastAsia="lt-LT"/>
    </w:rPr>
  </w:style>
  <w:style w:type="character" w:customStyle="1" w:styleId="Antrat2Diagrama">
    <w:name w:val="Antraštė 2 Diagrama"/>
    <w:basedOn w:val="Numatytasispastraiposriftas"/>
    <w:link w:val="Antrat2"/>
    <w:uiPriority w:val="99"/>
    <w:rsid w:val="007D3985"/>
    <w:rPr>
      <w:rFonts w:ascii="Times New Roman" w:eastAsiaTheme="minorEastAsia" w:hAnsi="Times New Roman" w:cs="Times New Roman"/>
      <w:color w:val="000000"/>
      <w:kern w:val="24"/>
      <w:sz w:val="56"/>
      <w:szCs w:val="5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03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pc.sm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8908</Words>
  <Characters>5078</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Matkevičius Gintautas</cp:lastModifiedBy>
  <cp:revision>3</cp:revision>
  <dcterms:created xsi:type="dcterms:W3CDTF">2019-03-18T07:54:00Z</dcterms:created>
  <dcterms:modified xsi:type="dcterms:W3CDTF">2019-03-18T07:55:00Z</dcterms:modified>
</cp:coreProperties>
</file>