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1D" w:rsidRDefault="008A651D" w:rsidP="008A651D">
      <w:pPr>
        <w:ind w:left="1296" w:firstLine="1296"/>
      </w:pPr>
      <w:r>
        <w:t>AIŠKINAMASIS RAŠTAS</w:t>
      </w:r>
    </w:p>
    <w:p w:rsidR="008A651D" w:rsidRDefault="008A651D" w:rsidP="008A651D"/>
    <w:p w:rsidR="008A651D" w:rsidRDefault="008A651D" w:rsidP="008A65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  <w:t>Dėl pavedimo savivaldybės kontrolieriui parengti išvadą</w:t>
      </w:r>
    </w:p>
    <w:p w:rsidR="008A651D" w:rsidRDefault="008A651D" w:rsidP="008A651D"/>
    <w:p w:rsidR="008A651D" w:rsidRDefault="008A651D" w:rsidP="008A651D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294856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1C7CE7">
        <w:rPr>
          <w:b/>
          <w:lang w:val="pt-BR"/>
        </w:rPr>
        <w:t xml:space="preserve">  </w:t>
      </w:r>
      <w:r w:rsidR="001C7CE7" w:rsidRPr="001C7CE7">
        <w:rPr>
          <w:lang w:val="pt-BR"/>
        </w:rPr>
        <w:t>Lietuvos Respublikos vietos savivaldos įstatyme numatyta, kad savivaldybės taryba</w:t>
      </w:r>
      <w:r w:rsidR="005A25BB" w:rsidRPr="001C7CE7">
        <w:rPr>
          <w:lang w:val="pt-BR"/>
        </w:rPr>
        <w:t>,</w:t>
      </w:r>
      <w:r w:rsidR="005A25BB">
        <w:rPr>
          <w:lang w:val="pt-BR"/>
        </w:rPr>
        <w:t xml:space="preserve"> turėdama</w:t>
      </w:r>
      <w:r w:rsidR="00A90139">
        <w:rPr>
          <w:lang w:val="pt-BR"/>
        </w:rPr>
        <w:t xml:space="preserve"> savivaldybės kontrolieriaus  (</w:t>
      </w:r>
      <w:r w:rsidR="00AD4E68">
        <w:rPr>
          <w:lang w:val="pt-BR"/>
        </w:rPr>
        <w:t>K</w:t>
      </w:r>
      <w:r w:rsidR="005A25BB" w:rsidRPr="00A90139">
        <w:rPr>
          <w:lang w:val="pt-BR"/>
        </w:rPr>
        <w:t xml:space="preserve">ontrolės </w:t>
      </w:r>
      <w:r w:rsidR="00AD4E68">
        <w:rPr>
          <w:lang w:val="pt-BR"/>
        </w:rPr>
        <w:t xml:space="preserve">ir audito </w:t>
      </w:r>
      <w:r w:rsidR="005A25BB" w:rsidRPr="00A90139">
        <w:rPr>
          <w:lang w:val="pt-BR"/>
        </w:rPr>
        <w:t>tarnybos)</w:t>
      </w:r>
      <w:r w:rsidR="005A25BB">
        <w:rPr>
          <w:lang w:val="pt-BR"/>
        </w:rPr>
        <w:t xml:space="preserve"> išvadą, </w:t>
      </w:r>
      <w:r w:rsidR="001C7CE7">
        <w:rPr>
          <w:lang w:val="pt-BR"/>
        </w:rPr>
        <w:t>gali primt</w:t>
      </w:r>
      <w:r w:rsidR="00636907">
        <w:rPr>
          <w:lang w:val="pt-BR"/>
        </w:rPr>
        <w:t>i sprendimus dėl paskolų ėmimo</w:t>
      </w:r>
      <w:r w:rsidR="005A25BB">
        <w:rPr>
          <w:lang w:val="pt-BR"/>
        </w:rPr>
        <w:t xml:space="preserve">, </w:t>
      </w:r>
      <w:r w:rsidR="001C7CE7">
        <w:rPr>
          <w:lang w:val="pt-BR"/>
        </w:rPr>
        <w:t>laikantis įstatymu nustatytų skolinimosi limitų</w:t>
      </w:r>
      <w:r w:rsidR="005A25BB">
        <w:rPr>
          <w:lang w:val="pt-BR"/>
        </w:rPr>
        <w:t>.</w:t>
      </w:r>
    </w:p>
    <w:p w:rsidR="001D2786" w:rsidRDefault="00636907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2019</w:t>
      </w:r>
      <w:r w:rsidR="008A651D">
        <w:t xml:space="preserve"> m. valstybės biudžeto ir savivaldybių biudžetų finansinių rodiklių patvirtinimo įstatyme</w:t>
      </w:r>
      <w:r w:rsidR="00AD4E68">
        <w:t xml:space="preserve"> (toliau – įstatymas)</w:t>
      </w:r>
      <w:r w:rsidR="008A651D">
        <w:t xml:space="preserve"> yra </w:t>
      </w:r>
      <w:r w:rsidR="00513CE4">
        <w:t xml:space="preserve">nustatyta, kad </w:t>
      </w:r>
      <w:r w:rsidR="001D2786">
        <w:t xml:space="preserve"> </w:t>
      </w:r>
      <w:r w:rsidR="00513CE4">
        <w:t>savivaldybės skola negali</w:t>
      </w:r>
      <w:r w:rsidR="001D2786">
        <w:t xml:space="preserve"> </w:t>
      </w:r>
      <w:r w:rsidR="00513CE4">
        <w:t xml:space="preserve">viršyti 60 procentų šio įstatymo 6 priede nurodytų prognozuojamų savivaldybės biudžeto pajamų. </w:t>
      </w:r>
    </w:p>
    <w:p w:rsidR="00007CE4" w:rsidRPr="00513CE4" w:rsidRDefault="00EB603E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513CE4">
        <w:t xml:space="preserve">2019 m. savivaldybės duomenys (tūkst. </w:t>
      </w:r>
      <w:proofErr w:type="spellStart"/>
      <w:r w:rsidR="00513CE4">
        <w:t>Eur</w:t>
      </w:r>
      <w:proofErr w:type="spellEnd"/>
      <w:r w:rsidR="00513CE4">
        <w:t>) pateikiami lentelėje:</w:t>
      </w:r>
      <w:r w:rsidR="004D34C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6285"/>
        <w:gridCol w:w="1270"/>
        <w:gridCol w:w="1496"/>
      </w:tblGrid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Eil. Nr.</w:t>
            </w:r>
          </w:p>
        </w:tc>
        <w:tc>
          <w:tcPr>
            <w:tcW w:w="6364" w:type="dxa"/>
            <w:shd w:val="clear" w:color="auto" w:fill="auto"/>
          </w:tcPr>
          <w:p w:rsidR="00007CE4" w:rsidRDefault="00007CE4" w:rsidP="00B95BA4">
            <w:pPr>
              <w:tabs>
                <w:tab w:val="center" w:pos="4320"/>
                <w:tab w:val="right" w:pos="8640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R</w:t>
            </w:r>
            <w:r w:rsidR="00B95BA4">
              <w:rPr>
                <w:rFonts w:ascii="TimesLT" w:hAnsi="TimesLT"/>
              </w:rPr>
              <w:t>odikliai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07CE4" w:rsidRDefault="00513CE4" w:rsidP="00304A76">
            <w:pPr>
              <w:tabs>
                <w:tab w:val="center" w:pos="4320"/>
                <w:tab w:val="right" w:pos="8640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2019</w:t>
            </w:r>
            <w:r w:rsidR="00007CE4">
              <w:rPr>
                <w:rFonts w:ascii="TimesLT" w:hAnsi="TimesLT"/>
              </w:rPr>
              <w:t xml:space="preserve"> m.</w:t>
            </w:r>
          </w:p>
        </w:tc>
      </w:tr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007CE4" w:rsidRDefault="00636907" w:rsidP="00007CE4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2019</w:t>
            </w:r>
            <w:r w:rsidR="00007CE4">
              <w:rPr>
                <w:rFonts w:ascii="TimesLT" w:hAnsi="TimesLT"/>
              </w:rPr>
              <w:t xml:space="preserve"> m. savivaldybės biudžeto prognozuojamos pajamos 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07CE4" w:rsidRDefault="00007CE4" w:rsidP="00636907">
            <w:pPr>
              <w:tabs>
                <w:tab w:val="center" w:pos="4320"/>
                <w:tab w:val="right" w:pos="8640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10</w:t>
            </w:r>
            <w:r w:rsidR="00636907">
              <w:rPr>
                <w:rFonts w:ascii="TimesLT" w:hAnsi="TimesLT"/>
              </w:rPr>
              <w:t>329</w:t>
            </w:r>
          </w:p>
        </w:tc>
      </w:tr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2.</w:t>
            </w:r>
          </w:p>
        </w:tc>
        <w:tc>
          <w:tcPr>
            <w:tcW w:w="6364" w:type="dxa"/>
            <w:shd w:val="clear" w:color="auto" w:fill="auto"/>
          </w:tcPr>
          <w:p w:rsidR="00007CE4" w:rsidRDefault="00513CE4" w:rsidP="00513CE4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2019</w:t>
            </w:r>
            <w:r w:rsidR="00007CE4">
              <w:rPr>
                <w:rFonts w:ascii="TimesLT" w:hAnsi="TimesLT"/>
              </w:rPr>
              <w:t xml:space="preserve"> metų finansinių r</w:t>
            </w:r>
            <w:r>
              <w:rPr>
                <w:rFonts w:ascii="TimesLT" w:hAnsi="TimesLT"/>
              </w:rPr>
              <w:t>odiklių patvirtinimo įstatymo 12</w:t>
            </w:r>
            <w:r w:rsidR="00007CE4">
              <w:rPr>
                <w:rFonts w:ascii="TimesLT" w:hAnsi="TimesLT"/>
              </w:rPr>
              <w:t xml:space="preserve"> straipsnyje nustatyti savivaldybių skolinimosi limitai</w:t>
            </w:r>
            <w:r w:rsidR="00EB603E">
              <w:rPr>
                <w:rFonts w:ascii="TimesLT" w:hAnsi="TimesLT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07CE4" w:rsidRDefault="00AF5C32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L</w:t>
            </w:r>
            <w:r w:rsidR="00007CE4">
              <w:rPr>
                <w:rFonts w:ascii="TimesLT" w:hAnsi="TimesLT"/>
              </w:rPr>
              <w:t>imitas</w:t>
            </w:r>
          </w:p>
        </w:tc>
        <w:tc>
          <w:tcPr>
            <w:tcW w:w="1411" w:type="dxa"/>
            <w:shd w:val="clear" w:color="auto" w:fill="auto"/>
          </w:tcPr>
          <w:p w:rsidR="00007CE4" w:rsidRDefault="00513CE4" w:rsidP="00513CE4">
            <w:pPr>
              <w:tabs>
                <w:tab w:val="center" w:pos="4320"/>
                <w:tab w:val="right" w:pos="8640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Savivaldybės skola</w:t>
            </w:r>
          </w:p>
          <w:p w:rsidR="00007CE4" w:rsidRPr="00EB603E" w:rsidRDefault="00636907" w:rsidP="00513CE4">
            <w:pPr>
              <w:tabs>
                <w:tab w:val="center" w:pos="4320"/>
                <w:tab w:val="right" w:pos="8640"/>
              </w:tabs>
              <w:jc w:val="center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2018</w:t>
            </w:r>
            <w:r w:rsidR="00007CE4" w:rsidRPr="00EB603E">
              <w:rPr>
                <w:rFonts w:ascii="TimesLT" w:hAnsi="TimesLT"/>
              </w:rPr>
              <w:t>-12-31</w:t>
            </w:r>
          </w:p>
        </w:tc>
      </w:tr>
      <w:tr w:rsidR="00007CE4" w:rsidTr="00367CB8">
        <w:tc>
          <w:tcPr>
            <w:tcW w:w="577" w:type="dxa"/>
            <w:shd w:val="clear" w:color="auto" w:fill="auto"/>
          </w:tcPr>
          <w:p w:rsidR="00007CE4" w:rsidRDefault="00007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2.1.</w:t>
            </w:r>
          </w:p>
        </w:tc>
        <w:tc>
          <w:tcPr>
            <w:tcW w:w="6364" w:type="dxa"/>
            <w:shd w:val="clear" w:color="auto" w:fill="auto"/>
          </w:tcPr>
          <w:p w:rsidR="00007CE4" w:rsidRDefault="00EB603E" w:rsidP="00007CE4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s</w:t>
            </w:r>
            <w:r w:rsidR="00007CE4">
              <w:rPr>
                <w:rFonts w:ascii="TimesLT" w:hAnsi="TimesLT"/>
              </w:rPr>
              <w:t xml:space="preserve">avivaldybės skola negali viršyti 60 proc. prognozuojamų savivaldybės biudžeto pajamų </w:t>
            </w:r>
          </w:p>
        </w:tc>
        <w:tc>
          <w:tcPr>
            <w:tcW w:w="1276" w:type="dxa"/>
            <w:shd w:val="clear" w:color="auto" w:fill="auto"/>
          </w:tcPr>
          <w:p w:rsidR="00007CE4" w:rsidRDefault="00513CE4" w:rsidP="00304A76">
            <w:pPr>
              <w:tabs>
                <w:tab w:val="center" w:pos="4320"/>
                <w:tab w:val="right" w:pos="8640"/>
              </w:tabs>
              <w:jc w:val="right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6197,4</w:t>
            </w:r>
          </w:p>
        </w:tc>
        <w:tc>
          <w:tcPr>
            <w:tcW w:w="1411" w:type="dxa"/>
            <w:shd w:val="clear" w:color="auto" w:fill="auto"/>
          </w:tcPr>
          <w:p w:rsidR="00007CE4" w:rsidRDefault="00636907" w:rsidP="00304A76">
            <w:pPr>
              <w:tabs>
                <w:tab w:val="center" w:pos="4320"/>
                <w:tab w:val="right" w:pos="8640"/>
              </w:tabs>
              <w:jc w:val="right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3006,9</w:t>
            </w:r>
          </w:p>
        </w:tc>
      </w:tr>
      <w:tr w:rsidR="00513CE4" w:rsidTr="00367CB8">
        <w:tc>
          <w:tcPr>
            <w:tcW w:w="577" w:type="dxa"/>
            <w:shd w:val="clear" w:color="auto" w:fill="auto"/>
          </w:tcPr>
          <w:p w:rsidR="00513CE4" w:rsidRDefault="00513CE4" w:rsidP="00304A76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2.2.</w:t>
            </w:r>
          </w:p>
        </w:tc>
        <w:tc>
          <w:tcPr>
            <w:tcW w:w="6364" w:type="dxa"/>
            <w:shd w:val="clear" w:color="auto" w:fill="auto"/>
          </w:tcPr>
          <w:p w:rsidR="00513CE4" w:rsidRDefault="00513CE4" w:rsidP="00007CE4">
            <w:pPr>
              <w:tabs>
                <w:tab w:val="center" w:pos="4320"/>
                <w:tab w:val="right" w:pos="8640"/>
              </w:tabs>
              <w:jc w:val="both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Savivaldybės skola procentais</w:t>
            </w:r>
          </w:p>
        </w:tc>
        <w:tc>
          <w:tcPr>
            <w:tcW w:w="1276" w:type="dxa"/>
            <w:shd w:val="clear" w:color="auto" w:fill="auto"/>
          </w:tcPr>
          <w:p w:rsidR="00513CE4" w:rsidRDefault="00513CE4" w:rsidP="00304A76">
            <w:pPr>
              <w:tabs>
                <w:tab w:val="center" w:pos="4320"/>
                <w:tab w:val="right" w:pos="8640"/>
              </w:tabs>
              <w:jc w:val="right"/>
              <w:rPr>
                <w:rFonts w:ascii="TimesLT" w:hAnsi="TimesLT"/>
              </w:rPr>
            </w:pPr>
          </w:p>
        </w:tc>
        <w:tc>
          <w:tcPr>
            <w:tcW w:w="1411" w:type="dxa"/>
            <w:shd w:val="clear" w:color="auto" w:fill="auto"/>
          </w:tcPr>
          <w:p w:rsidR="00513CE4" w:rsidRDefault="00513CE4" w:rsidP="00304A76">
            <w:pPr>
              <w:tabs>
                <w:tab w:val="center" w:pos="4320"/>
                <w:tab w:val="right" w:pos="8640"/>
              </w:tabs>
              <w:jc w:val="right"/>
              <w:rPr>
                <w:rFonts w:ascii="TimesLT" w:hAnsi="TimesLT"/>
              </w:rPr>
            </w:pPr>
            <w:r>
              <w:rPr>
                <w:rFonts w:ascii="TimesLT" w:hAnsi="TimesLT"/>
              </w:rPr>
              <w:t>29,11</w:t>
            </w:r>
          </w:p>
        </w:tc>
      </w:tr>
    </w:tbl>
    <w:p w:rsidR="00513CE4" w:rsidRDefault="00AF5C32" w:rsidP="00227623">
      <w:pPr>
        <w:spacing w:line="360" w:lineRule="auto"/>
        <w:jc w:val="both"/>
      </w:pPr>
      <w:r w:rsidRPr="00AF5C32">
        <w:t xml:space="preserve">           </w:t>
      </w:r>
      <w:r w:rsidR="00C95F79">
        <w:t xml:space="preserve"> </w:t>
      </w:r>
    </w:p>
    <w:p w:rsidR="005C2765" w:rsidRDefault="00031C35" w:rsidP="005C2765">
      <w:pPr>
        <w:spacing w:line="360" w:lineRule="auto"/>
        <w:jc w:val="both"/>
      </w:pPr>
      <w:r>
        <w:t xml:space="preserve">             </w:t>
      </w:r>
      <w:r w:rsidR="005C2765">
        <w:t xml:space="preserve">Pagal 2018 m. </w:t>
      </w:r>
      <w:r>
        <w:t xml:space="preserve">gruodžio 31 d. duomenis savivaldybės skola sudaro 29,1 procentus nuo 2019 m. prognozuojamų pajamų. </w:t>
      </w:r>
    </w:p>
    <w:p w:rsidR="00007CE4" w:rsidRPr="00AF5C32" w:rsidRDefault="005C2765" w:rsidP="005C2765">
      <w:pPr>
        <w:spacing w:line="360" w:lineRule="auto"/>
        <w:jc w:val="both"/>
      </w:pPr>
      <w:r>
        <w:t xml:space="preserve">             </w:t>
      </w:r>
      <w:r w:rsidR="00AF5C32" w:rsidRPr="00AF5C32">
        <w:t>Savivaldybės grąžinama paskolų suma 201</w:t>
      </w:r>
      <w:r w:rsidR="00513CE4">
        <w:t>9</w:t>
      </w:r>
      <w:r w:rsidR="00AF5C32" w:rsidRPr="00AF5C32">
        <w:t xml:space="preserve"> m. yra </w:t>
      </w:r>
      <w:r w:rsidR="00513CE4">
        <w:t>514,9</w:t>
      </w:r>
      <w:r w:rsidR="00EB603E">
        <w:t xml:space="preserve"> tūkst. </w:t>
      </w:r>
      <w:proofErr w:type="spellStart"/>
      <w:r w:rsidR="00EB603E">
        <w:t>Eur</w:t>
      </w:r>
      <w:proofErr w:type="spellEnd"/>
      <w:r w:rsidR="00EB603E">
        <w:t>. P</w:t>
      </w:r>
      <w:r w:rsidR="00AF5C32" w:rsidRPr="00AF5C32">
        <w:t>lanuoja</w:t>
      </w:r>
      <w:r w:rsidR="00C95F79">
        <w:t xml:space="preserve">ma pasiskolinti </w:t>
      </w:r>
      <w:r w:rsidR="00513CE4">
        <w:t>500</w:t>
      </w:r>
      <w:r w:rsidR="00C95F79">
        <w:t xml:space="preserve"> tūkst. </w:t>
      </w:r>
      <w:proofErr w:type="spellStart"/>
      <w:r w:rsidR="00C95F79">
        <w:t>Eur</w:t>
      </w:r>
      <w:proofErr w:type="spellEnd"/>
      <w:r w:rsidR="00C95F79">
        <w:t xml:space="preserve">. </w:t>
      </w:r>
      <w:r w:rsidR="00007CE4" w:rsidRPr="00AF5C32">
        <w:t xml:space="preserve">Savivaldybė </w:t>
      </w:r>
      <w:r w:rsidR="00AF5C32" w:rsidRPr="00AF5C32">
        <w:t xml:space="preserve">planuoja </w:t>
      </w:r>
      <w:r w:rsidR="00B503CC">
        <w:t xml:space="preserve">pasiskolinti 14,9 </w:t>
      </w:r>
      <w:r w:rsidR="00007CE4" w:rsidRPr="00AF5C32">
        <w:t xml:space="preserve"> </w:t>
      </w:r>
      <w:r w:rsidR="00B503CC" w:rsidRPr="00AF5C32">
        <w:t xml:space="preserve">tūkst. eurų </w:t>
      </w:r>
      <w:r w:rsidR="00B503CC">
        <w:t xml:space="preserve">mažiau nei grąžina paskolų 2019 m. Tokiu būdu bus išlaikomas toks pats skolinimosi lygis, </w:t>
      </w:r>
      <w:proofErr w:type="spellStart"/>
      <w:r w:rsidR="00B503CC">
        <w:t>t.y</w:t>
      </w:r>
      <w:proofErr w:type="spellEnd"/>
      <w:r w:rsidR="00B503CC">
        <w:t xml:space="preserve">. skola nedidėja, bet ir įsipareigojimai nemažėja. </w:t>
      </w:r>
    </w:p>
    <w:p w:rsidR="0042621D" w:rsidRDefault="0042621D" w:rsidP="0042621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C95F79">
        <w:t xml:space="preserve">  </w:t>
      </w:r>
      <w:r w:rsidR="00EB603E">
        <w:t>Sa</w:t>
      </w:r>
      <w:r w:rsidR="00A252BE" w:rsidRPr="00C95F79">
        <w:t>vivaldybė paėmusi</w:t>
      </w:r>
      <w:r w:rsidR="005929FB" w:rsidRPr="00C95F79">
        <w:t xml:space="preserve"> </w:t>
      </w:r>
      <w:r w:rsidR="005C2765">
        <w:t>500</w:t>
      </w:r>
      <w:r w:rsidR="008A651D" w:rsidRPr="00C95F79">
        <w:t xml:space="preserve"> </w:t>
      </w:r>
      <w:r w:rsidR="00A252BE" w:rsidRPr="00C95F79">
        <w:t>tūkstanči</w:t>
      </w:r>
      <w:r w:rsidR="00AD4E68" w:rsidRPr="00C95F79">
        <w:t>ų</w:t>
      </w:r>
      <w:r w:rsidR="00A252BE" w:rsidRPr="00C95F79">
        <w:t xml:space="preserve"> eurų </w:t>
      </w:r>
      <w:r w:rsidR="00A90139" w:rsidRPr="00C95F79">
        <w:t xml:space="preserve">dydžio </w:t>
      </w:r>
      <w:r w:rsidR="00A252BE" w:rsidRPr="00C95F79">
        <w:t>paskolą</w:t>
      </w:r>
      <w:r w:rsidR="007075E2" w:rsidRPr="00C95F79">
        <w:t>,</w:t>
      </w:r>
      <w:r w:rsidR="00A252BE" w:rsidRPr="00C95F79">
        <w:t xml:space="preserve"> </w:t>
      </w:r>
      <w:r w:rsidR="00C95F79" w:rsidRPr="00C95F79">
        <w:t>planuoja</w:t>
      </w:r>
      <w:r w:rsidR="00C95F79">
        <w:rPr>
          <w:color w:val="FF0000"/>
        </w:rPr>
        <w:t xml:space="preserve"> </w:t>
      </w:r>
      <w:r w:rsidR="005C2765">
        <w:t xml:space="preserve">padengti </w:t>
      </w:r>
      <w:r w:rsidR="007075E2" w:rsidRPr="00C95F79">
        <w:t xml:space="preserve"> </w:t>
      </w:r>
      <w:r w:rsidR="005C2765">
        <w:t>2019 metų paskolų dalies grąžinimo sumas.</w:t>
      </w:r>
      <w:bookmarkStart w:id="0" w:name="_GoBack"/>
      <w:bookmarkEnd w:id="0"/>
    </w:p>
    <w:p w:rsidR="008A651D" w:rsidRDefault="008A651D" w:rsidP="00EB603E">
      <w:pPr>
        <w:spacing w:line="360" w:lineRule="auto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>Lietuvos Respubl</w:t>
      </w:r>
      <w:r w:rsidR="006F4C44">
        <w:t>ikos vietos savivaldos įstatymo 16 straipsnio 2 dalies 28 punktu</w:t>
      </w:r>
      <w:r>
        <w:t xml:space="preserve">; </w:t>
      </w:r>
      <w:r w:rsidR="006F4C44">
        <w:t>27 straipsnio 1 dalies 3 punktu;</w:t>
      </w:r>
    </w:p>
    <w:p w:rsidR="008A651D" w:rsidRDefault="00636907" w:rsidP="008A651D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2019</w:t>
      </w:r>
      <w:r w:rsidR="008A651D">
        <w:t xml:space="preserve"> metų valstybės biudžeto ir savivaldybių biudžetų finansinių r</w:t>
      </w:r>
      <w:r w:rsidR="00E773C2">
        <w:t>odiklių patvirtinimo įstatymo 12 straipsnio 1 dalies 1 punktas.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5C2765" w:rsidRDefault="0093651C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</w:t>
      </w:r>
      <w:r w:rsidR="008A651D">
        <w:t xml:space="preserve"> pasekmės </w:t>
      </w:r>
      <w:r>
        <w:t>–</w:t>
      </w:r>
      <w:r w:rsidR="008A651D">
        <w:t xml:space="preserve"> </w:t>
      </w:r>
      <w:r>
        <w:t>savivaldybės administracija gavusi teigiamą savivaldybės kontrolie</w:t>
      </w:r>
      <w:r w:rsidR="00D049CA">
        <w:t>riaus išvadą, galės rengti savi</w:t>
      </w:r>
      <w:r>
        <w:t>v</w:t>
      </w:r>
      <w:r w:rsidR="00D049CA">
        <w:t>a</w:t>
      </w:r>
      <w:r>
        <w:t>ldybės tarybos sprendimo projektą dėl paskolos ėmimo</w:t>
      </w:r>
      <w:r w:rsidR="005C2765">
        <w:t>.</w:t>
      </w:r>
      <w:r w:rsidR="00D373E5">
        <w:t xml:space="preserve"> 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  <w:t>Kredito ti</w:t>
      </w:r>
      <w:r w:rsidR="00AE33C0">
        <w:t xml:space="preserve">ekėjo </w:t>
      </w:r>
      <w:r w:rsidR="00A90139">
        <w:t xml:space="preserve">parinkimas </w:t>
      </w:r>
      <w:r w:rsidR="00AE33C0">
        <w:t>apklausos</w:t>
      </w:r>
      <w:r>
        <w:t xml:space="preserve"> būdu</w:t>
      </w:r>
      <w:r w:rsidR="00AE33C0">
        <w:t xml:space="preserve">, netaikant </w:t>
      </w:r>
      <w:r w:rsidR="00A90139">
        <w:t xml:space="preserve">LR </w:t>
      </w:r>
      <w:r w:rsidR="00AD4E68">
        <w:t>v</w:t>
      </w:r>
      <w:r w:rsidR="00AE33C0">
        <w:t>iešųjų pirkimų įstatymo nuostatų</w:t>
      </w:r>
      <w:r>
        <w:t>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5. Lėšų poreikis ir jų šaltiniai ( prireikus skaičiavimai ir išlaidų sąmatos)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8A651D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6.Vykdytojai, įvykdymo terminai </w:t>
      </w:r>
    </w:p>
    <w:p w:rsidR="008A651D" w:rsidRDefault="0093651C" w:rsidP="00AD4E68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kontrolierius</w:t>
      </w:r>
      <w:r w:rsidR="008A651D">
        <w:t>.</w:t>
      </w:r>
      <w:r>
        <w:t xml:space="preserve"> Išvadą paren</w:t>
      </w:r>
      <w:r w:rsidR="005929FB">
        <w:t>gti iki 201</w:t>
      </w:r>
      <w:r w:rsidR="00636907">
        <w:t xml:space="preserve">9 </w:t>
      </w:r>
      <w:r w:rsidR="005929FB">
        <w:t xml:space="preserve">m. </w:t>
      </w:r>
      <w:r w:rsidR="00636907">
        <w:t>balandžio 12</w:t>
      </w:r>
      <w:r w:rsidR="00D373E5">
        <w:t xml:space="preserve"> d. </w:t>
      </w:r>
    </w:p>
    <w:sectPr w:rsidR="008A651D" w:rsidSect="005C276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BD" w:rsidRDefault="000B5FBD" w:rsidP="00A90139">
      <w:r>
        <w:separator/>
      </w:r>
    </w:p>
  </w:endnote>
  <w:endnote w:type="continuationSeparator" w:id="0">
    <w:p w:rsidR="000B5FBD" w:rsidRDefault="000B5FBD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BD" w:rsidRDefault="000B5FBD" w:rsidP="00A90139">
      <w:r>
        <w:separator/>
      </w:r>
    </w:p>
  </w:footnote>
  <w:footnote w:type="continuationSeparator" w:id="0">
    <w:p w:rsidR="000B5FBD" w:rsidRDefault="000B5FBD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31873"/>
      <w:docPartObj>
        <w:docPartGallery w:val="Page Numbers (Top of Page)"/>
        <w:docPartUnique/>
      </w:docPartObj>
    </w:sdtPr>
    <w:sdtEndPr/>
    <w:sdtContent>
      <w:p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44">
          <w:rPr>
            <w:noProof/>
          </w:rPr>
          <w:t>2</w:t>
        </w:r>
        <w:r>
          <w:fldChar w:fldCharType="end"/>
        </w:r>
      </w:p>
    </w:sdtContent>
  </w:sdt>
  <w:p w:rsidR="00A90139" w:rsidRDefault="00A901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ADA"/>
    <w:multiLevelType w:val="hybridMultilevel"/>
    <w:tmpl w:val="89BEE124"/>
    <w:lvl w:ilvl="0" w:tplc="D7628D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1D"/>
    <w:rsid w:val="00007CE4"/>
    <w:rsid w:val="00031C35"/>
    <w:rsid w:val="000A29C2"/>
    <w:rsid w:val="000B5FBD"/>
    <w:rsid w:val="000B6302"/>
    <w:rsid w:val="000D7BC5"/>
    <w:rsid w:val="001C7CE7"/>
    <w:rsid w:val="001D2786"/>
    <w:rsid w:val="00227623"/>
    <w:rsid w:val="00294856"/>
    <w:rsid w:val="002A161C"/>
    <w:rsid w:val="0031122C"/>
    <w:rsid w:val="00367CB8"/>
    <w:rsid w:val="003A4E4B"/>
    <w:rsid w:val="003E6159"/>
    <w:rsid w:val="003F0D81"/>
    <w:rsid w:val="00404578"/>
    <w:rsid w:val="0042621D"/>
    <w:rsid w:val="0046677C"/>
    <w:rsid w:val="004C53C4"/>
    <w:rsid w:val="004D34C6"/>
    <w:rsid w:val="004D61A1"/>
    <w:rsid w:val="00513CE4"/>
    <w:rsid w:val="005929FB"/>
    <w:rsid w:val="005A25BB"/>
    <w:rsid w:val="005C2765"/>
    <w:rsid w:val="00636907"/>
    <w:rsid w:val="006E1ED6"/>
    <w:rsid w:val="006F4C44"/>
    <w:rsid w:val="007075E2"/>
    <w:rsid w:val="007B1254"/>
    <w:rsid w:val="007C4741"/>
    <w:rsid w:val="008A651D"/>
    <w:rsid w:val="00914CC6"/>
    <w:rsid w:val="0093651C"/>
    <w:rsid w:val="00A22669"/>
    <w:rsid w:val="00A252BE"/>
    <w:rsid w:val="00A90139"/>
    <w:rsid w:val="00AC3E00"/>
    <w:rsid w:val="00AD4E68"/>
    <w:rsid w:val="00AE33C0"/>
    <w:rsid w:val="00AF5C32"/>
    <w:rsid w:val="00B503CC"/>
    <w:rsid w:val="00B80645"/>
    <w:rsid w:val="00B95BA4"/>
    <w:rsid w:val="00C95F79"/>
    <w:rsid w:val="00D049CA"/>
    <w:rsid w:val="00D373E5"/>
    <w:rsid w:val="00D562E4"/>
    <w:rsid w:val="00E773C2"/>
    <w:rsid w:val="00EB603E"/>
    <w:rsid w:val="00F03269"/>
    <w:rsid w:val="00F608A7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7706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6</cp:revision>
  <dcterms:created xsi:type="dcterms:W3CDTF">2018-05-16T11:06:00Z</dcterms:created>
  <dcterms:modified xsi:type="dcterms:W3CDTF">2019-03-18T11:53:00Z</dcterms:modified>
</cp:coreProperties>
</file>