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BC04F5">
        <w:rPr>
          <w:b/>
          <w:caps/>
          <w:noProof/>
        </w:rPr>
        <w:t>VALSTYBĖS</w:t>
      </w:r>
      <w:r w:rsidR="003818DB" w:rsidRPr="003818DB">
        <w:rPr>
          <w:b/>
          <w:caps/>
          <w:noProof/>
        </w:rPr>
        <w:t xml:space="preserve"> TURTO PERDAVIMO PAGAL PANAUDOS SUTART</w:t>
      </w:r>
      <w:r w:rsidR="00E66D83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08DB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C1104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0C1104">
        <w:rPr>
          <w:noProof/>
        </w:rPr>
        <w:t>223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D30333" w:rsidRPr="00004280" w:rsidRDefault="00D30333" w:rsidP="00E66D8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</w:t>
      </w:r>
      <w:r w:rsidRPr="00D7745A">
        <w:t>asi</w:t>
      </w:r>
      <w:r>
        <w:t xml:space="preserve"> Lietuvos Respublikos vietos savivaldos įstatymo </w:t>
      </w:r>
      <w:r w:rsidRPr="00416B63">
        <w:t xml:space="preserve">6 straipsnio </w:t>
      </w:r>
      <w:r w:rsidR="0002376A">
        <w:t>17</w:t>
      </w:r>
      <w:r w:rsidR="0069266D" w:rsidRPr="00416B63">
        <w:t xml:space="preserve"> </w:t>
      </w:r>
      <w:r w:rsidRPr="00416B63">
        <w:t>punkt</w:t>
      </w:r>
      <w:r w:rsidR="0002376A">
        <w:t>u, 7 straipsnio 34 punktu</w:t>
      </w:r>
      <w:r w:rsidRPr="00416B63">
        <w:t>,</w:t>
      </w:r>
      <w:r w:rsidR="008E0848">
        <w:t xml:space="preserve"> 16 straipsnio 4 dalimi</w:t>
      </w:r>
      <w:r>
        <w:t xml:space="preserve">, Lietuvos Respublikos valstybės ir savivaldybių turto valdymo, naudojimo ir disponavimo juo įstatymo 14 straipsnio 1 dalies </w:t>
      </w:r>
      <w:r w:rsidR="0069266D">
        <w:t xml:space="preserve">2 </w:t>
      </w:r>
      <w:r>
        <w:t>punkt</w:t>
      </w:r>
      <w:r w:rsidR="00416B63">
        <w:t>u</w:t>
      </w:r>
      <w:r>
        <w:t>, 3, 4 dalimis, atsižvelgdama į Molėtų rajono savivaldybės admini</w:t>
      </w:r>
      <w:r w:rsidR="00F5437F">
        <w:t xml:space="preserve">stracijos </w:t>
      </w:r>
      <w:r w:rsidR="00F5437F" w:rsidRPr="00525F20">
        <w:t xml:space="preserve">direktoriaus 2018 m. </w:t>
      </w:r>
      <w:r w:rsidR="008E0848">
        <w:t>gegužės 24</w:t>
      </w:r>
      <w:r w:rsidR="00F5437F" w:rsidRPr="00525F20">
        <w:t xml:space="preserve"> d. įsakymą Nr. B6-</w:t>
      </w:r>
      <w:r w:rsidR="008E0848">
        <w:t>401</w:t>
      </w:r>
      <w:r w:rsidR="00525F20" w:rsidRPr="00525F20">
        <w:t xml:space="preserve"> </w:t>
      </w:r>
      <w:r w:rsidRPr="00525F20">
        <w:t xml:space="preserve">„Dėl </w:t>
      </w:r>
      <w:r w:rsidR="008E0848">
        <w:t>valstybės</w:t>
      </w:r>
      <w:r>
        <w:t xml:space="preserve"> turto pripažinimo nereikalingu </w:t>
      </w:r>
      <w:r w:rsidR="008E0848">
        <w:t>arba netinkamu (negalimu)</w:t>
      </w:r>
      <w:r w:rsidR="008E52B6">
        <w:t xml:space="preserve"> </w:t>
      </w:r>
      <w:r>
        <w:t xml:space="preserve">savivaldybės funkcijoms vykdyti“, </w:t>
      </w:r>
      <w:r w:rsidR="008E52B6" w:rsidRPr="00471E4C">
        <w:t>Lietuvos Respublikos konkurencijos tarybos 2018 m.</w:t>
      </w:r>
      <w:r w:rsidR="007D05C1">
        <w:t xml:space="preserve"> birželio 19</w:t>
      </w:r>
      <w:r w:rsidR="004C1977">
        <w:t xml:space="preserve"> d.</w:t>
      </w:r>
      <w:r w:rsidR="00FE0850">
        <w:t xml:space="preserve"> </w:t>
      </w:r>
      <w:r w:rsidR="008E52B6" w:rsidRPr="00471E4C">
        <w:t>raštą Nr.</w:t>
      </w:r>
      <w:r w:rsidR="007D05C1">
        <w:t xml:space="preserve"> (9.8-35) 6V-1565 „Dėl Molėtų rajono savivaldybės tarybos sprendimo projekto derinimo“</w:t>
      </w:r>
      <w:r w:rsidR="008E52B6" w:rsidRPr="00471E4C">
        <w:t>,</w:t>
      </w:r>
      <w:r w:rsidR="007D05C1">
        <w:t xml:space="preserve"> </w:t>
      </w:r>
      <w:r w:rsidR="00F5437F" w:rsidRPr="00471E4C">
        <w:t>viešosios įstaigos Molėtų ligoninė</w:t>
      </w:r>
      <w:r w:rsidR="001163FC" w:rsidRPr="00471E4C">
        <w:t>s</w:t>
      </w:r>
      <w:r w:rsidRPr="00471E4C">
        <w:t xml:space="preserve"> 2018 m. </w:t>
      </w:r>
      <w:r w:rsidR="008E52B6" w:rsidRPr="00471E4C">
        <w:t>balandžio 17 d. prašymą, viešosios įstaigos Molėtų r. pirminės</w:t>
      </w:r>
      <w:r w:rsidR="008E52B6">
        <w:t xml:space="preserve"> sveikatos priežiūros </w:t>
      </w:r>
      <w:r w:rsidR="008E52B6" w:rsidRPr="00004280">
        <w:t xml:space="preserve">centro 2018 m. balandžio 30 d. raštą Nr. S-2018 </w:t>
      </w:r>
      <w:r w:rsidR="00F5437F" w:rsidRPr="00004280">
        <w:t xml:space="preserve">„Dėl </w:t>
      </w:r>
      <w:r w:rsidR="008E52B6" w:rsidRPr="00004280">
        <w:t>turto perdavimo</w:t>
      </w:r>
      <w:r w:rsidR="00F5437F" w:rsidRPr="00004280">
        <w:t>“</w:t>
      </w:r>
      <w:r w:rsidRPr="00004280">
        <w:t>,</w:t>
      </w:r>
      <w:r w:rsidR="008E52B6" w:rsidRPr="00004280">
        <w:t xml:space="preserve"> </w:t>
      </w:r>
    </w:p>
    <w:p w:rsidR="00D30333" w:rsidRPr="00004280" w:rsidRDefault="00D30333" w:rsidP="0000428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04280">
        <w:t>Molėtų rajono savivaldybės taryba  n u s p r e n d ž i a:</w:t>
      </w:r>
    </w:p>
    <w:p w:rsidR="000579F7" w:rsidRPr="00D7745A" w:rsidRDefault="00E66D83" w:rsidP="00013561">
      <w:pPr>
        <w:pStyle w:val="Sraopastraip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D7745A">
        <w:t>P</w:t>
      </w:r>
      <w:r w:rsidR="00F25BA0" w:rsidRPr="00D7745A">
        <w:t xml:space="preserve">erduoti </w:t>
      </w:r>
      <w:r w:rsidR="00D7745A">
        <w:t>valstyb</w:t>
      </w:r>
      <w:r>
        <w:t>ei nuosavybės teise priklausantį ir šiuo metu Molėtų rajono savivaldybės administracijos patikėjimo teise valdomą</w:t>
      </w:r>
      <w:r w:rsidR="00D7745A">
        <w:t xml:space="preserve"> </w:t>
      </w:r>
      <w:r w:rsidR="00F25BA0" w:rsidRPr="00D7745A">
        <w:t xml:space="preserve">turtą </w:t>
      </w:r>
      <w:r w:rsidRPr="00D7745A">
        <w:rPr>
          <w:lang w:eastAsia="lt-LT"/>
        </w:rPr>
        <w:t>(1 priedas)</w:t>
      </w:r>
      <w:r>
        <w:rPr>
          <w:lang w:eastAsia="lt-LT"/>
        </w:rPr>
        <w:t xml:space="preserve"> </w:t>
      </w:r>
      <w:r w:rsidR="00F25BA0" w:rsidRPr="00D7745A">
        <w:t>viešajai įstaigai Molėtų ligoninei (kodas 267596470</w:t>
      </w:r>
      <w:r w:rsidR="00F25BA0" w:rsidRPr="00D7745A">
        <w:rPr>
          <w:color w:val="333333"/>
        </w:rPr>
        <w:t>)</w:t>
      </w:r>
      <w:r w:rsidR="00F25BA0" w:rsidRPr="00D7745A">
        <w:t xml:space="preserve"> pagal panaudos sutartį 10 (dešimčiai) metų neatlygintinai naudoti </w:t>
      </w:r>
      <w:r w:rsidR="000579F7" w:rsidRPr="00D7745A">
        <w:t>savarankišk</w:t>
      </w:r>
      <w:r>
        <w:t>osios</w:t>
      </w:r>
      <w:r w:rsidR="000579F7" w:rsidRPr="00D7745A">
        <w:t xml:space="preserve"> savivaldybės funkcij</w:t>
      </w:r>
      <w:r>
        <w:t>os</w:t>
      </w:r>
      <w:r w:rsidR="004022CE" w:rsidRPr="00D7745A">
        <w:t xml:space="preserve"> </w:t>
      </w:r>
      <w:r w:rsidR="000579F7" w:rsidRPr="00D7745A">
        <w:t>–</w:t>
      </w:r>
      <w:r w:rsidR="00013561" w:rsidRPr="00D7745A">
        <w:t xml:space="preserve"> </w:t>
      </w:r>
      <w:r w:rsidR="00004280" w:rsidRPr="00D7745A">
        <w:rPr>
          <w:lang w:eastAsia="lt-LT"/>
        </w:rPr>
        <w:t>antrin</w:t>
      </w:r>
      <w:r>
        <w:rPr>
          <w:lang w:eastAsia="lt-LT"/>
        </w:rPr>
        <w:t>ės</w:t>
      </w:r>
      <w:r w:rsidR="00004280" w:rsidRPr="00D7745A">
        <w:rPr>
          <w:lang w:eastAsia="lt-LT"/>
        </w:rPr>
        <w:t xml:space="preserve"> sveikatos priežiūr</w:t>
      </w:r>
      <w:r w:rsidR="004B3CB3">
        <w:rPr>
          <w:lang w:eastAsia="lt-LT"/>
        </w:rPr>
        <w:t>os</w:t>
      </w:r>
      <w:r w:rsidR="00004280" w:rsidRPr="00D7745A">
        <w:rPr>
          <w:lang w:eastAsia="lt-LT"/>
        </w:rPr>
        <w:t xml:space="preserve"> organiz</w:t>
      </w:r>
      <w:r w:rsidR="004B3CB3">
        <w:rPr>
          <w:lang w:eastAsia="lt-LT"/>
        </w:rPr>
        <w:t>avimo</w:t>
      </w:r>
      <w:r w:rsidR="00F25BA0" w:rsidRPr="00D7745A">
        <w:rPr>
          <w:lang w:eastAsia="lt-LT"/>
        </w:rPr>
        <w:t xml:space="preserve"> </w:t>
      </w:r>
      <w:r w:rsidR="00D7745A" w:rsidRPr="00D7745A">
        <w:t>–</w:t>
      </w:r>
      <w:r w:rsidR="00013561" w:rsidRPr="00D7745A">
        <w:rPr>
          <w:lang w:eastAsia="lt-LT"/>
        </w:rPr>
        <w:t xml:space="preserve"> įgyvendin</w:t>
      </w:r>
      <w:r w:rsidR="004B3CB3">
        <w:rPr>
          <w:lang w:eastAsia="lt-LT"/>
        </w:rPr>
        <w:t>imui.</w:t>
      </w:r>
    </w:p>
    <w:p w:rsidR="007E32C4" w:rsidRDefault="00013561" w:rsidP="00655328">
      <w:pPr>
        <w:tabs>
          <w:tab w:val="left" w:pos="993"/>
        </w:tabs>
        <w:spacing w:line="360" w:lineRule="auto"/>
        <w:ind w:firstLine="709"/>
        <w:jc w:val="both"/>
      </w:pPr>
      <w:r w:rsidRPr="00D7745A">
        <w:t xml:space="preserve">2. </w:t>
      </w:r>
      <w:r w:rsidR="00D7745A">
        <w:t>P</w:t>
      </w:r>
      <w:r w:rsidR="00655328" w:rsidRPr="00D7745A">
        <w:t xml:space="preserve">erduoti </w:t>
      </w:r>
      <w:r w:rsidR="00E66D83">
        <w:t>valstybei nuosavybės teise priklausantį ir šiuo metu Molėtų rajono savivaldybės administracijos patikėjimo teise valdomą</w:t>
      </w:r>
      <w:r w:rsidR="00E66D83" w:rsidRPr="00D7745A">
        <w:t xml:space="preserve"> </w:t>
      </w:r>
      <w:r w:rsidR="00655328" w:rsidRPr="00D7745A">
        <w:t xml:space="preserve">turtą </w:t>
      </w:r>
      <w:r w:rsidR="004B3CB3" w:rsidRPr="00D7745A">
        <w:t>(2 priedas)</w:t>
      </w:r>
      <w:r w:rsidR="004B3CB3">
        <w:t xml:space="preserve"> </w:t>
      </w:r>
      <w:r w:rsidR="007E32C4" w:rsidRPr="00D7745A">
        <w:t>viešajai įstaigai Molėtų rajono pirminės sveikatos priežiūros centrui (kodas 303134121</w:t>
      </w:r>
      <w:r w:rsidR="007E32C4" w:rsidRPr="00D7745A">
        <w:rPr>
          <w:color w:val="333333"/>
        </w:rPr>
        <w:t>)</w:t>
      </w:r>
      <w:r w:rsidR="00655328" w:rsidRPr="00D7745A">
        <w:rPr>
          <w:color w:val="333333"/>
        </w:rPr>
        <w:t xml:space="preserve"> </w:t>
      </w:r>
      <w:r w:rsidR="007E32C4" w:rsidRPr="00D7745A">
        <w:t>pagal panaudos sutartį 10 (dešimčiai) metų neatlygintinai naudoti</w:t>
      </w:r>
      <w:r w:rsidR="000579F7" w:rsidRPr="00D7745A">
        <w:t xml:space="preserve"> </w:t>
      </w:r>
      <w:r w:rsidR="004B3CB3" w:rsidRPr="00D7745A">
        <w:t>savarankišk</w:t>
      </w:r>
      <w:r w:rsidR="004B3CB3">
        <w:t>osios</w:t>
      </w:r>
      <w:r w:rsidR="004B3CB3" w:rsidRPr="00D7745A">
        <w:t xml:space="preserve"> savivaldybės funkcij</w:t>
      </w:r>
      <w:r w:rsidR="004B3CB3">
        <w:t>os</w:t>
      </w:r>
      <w:r w:rsidR="004B3CB3" w:rsidRPr="00D7745A">
        <w:t xml:space="preserve"> </w:t>
      </w:r>
      <w:r w:rsidR="00D7745A" w:rsidRPr="00D7745A">
        <w:t>–</w:t>
      </w:r>
      <w:r w:rsidR="004022CE" w:rsidRPr="00D7745A">
        <w:t xml:space="preserve"> pirmin</w:t>
      </w:r>
      <w:r w:rsidR="004B3CB3">
        <w:t>ės</w:t>
      </w:r>
      <w:r w:rsidR="004022CE" w:rsidRPr="00D7745A">
        <w:t xml:space="preserve"> asmens ir visuomenės sveikatos priežiūr</w:t>
      </w:r>
      <w:r w:rsidR="004B3CB3">
        <w:t>os</w:t>
      </w:r>
      <w:r w:rsidR="004022CE" w:rsidRPr="00D7745A">
        <w:t xml:space="preserve"> </w:t>
      </w:r>
      <w:r w:rsidR="00655328" w:rsidRPr="00D7745A">
        <w:t>–</w:t>
      </w:r>
      <w:r w:rsidR="004022CE" w:rsidRPr="00D7745A">
        <w:t xml:space="preserve"> </w:t>
      </w:r>
      <w:r w:rsidR="000579F7" w:rsidRPr="00D7745A">
        <w:t>įgyvendin</w:t>
      </w:r>
      <w:r w:rsidR="004B3CB3">
        <w:t>imui.</w:t>
      </w:r>
    </w:p>
    <w:p w:rsidR="00D30333" w:rsidRDefault="00A6631B" w:rsidP="00A6631B">
      <w:pPr>
        <w:pStyle w:val="Sraopastraipa"/>
        <w:tabs>
          <w:tab w:val="left" w:pos="709"/>
          <w:tab w:val="left" w:pos="1276"/>
        </w:tabs>
        <w:spacing w:line="360" w:lineRule="auto"/>
        <w:ind w:left="0" w:firstLine="709"/>
        <w:jc w:val="both"/>
      </w:pPr>
      <w:r>
        <w:t xml:space="preserve">3. </w:t>
      </w:r>
      <w:r w:rsidR="00D30333">
        <w:t>Įgalioti Molėtų rajono savivaldybės administracijos direktor</w:t>
      </w:r>
      <w:r>
        <w:t xml:space="preserve">ių, jo nesant – administracijos </w:t>
      </w:r>
      <w:r w:rsidR="00D30333">
        <w:t>direktoriaus pavaduotoją, pasirašyti 1</w:t>
      </w:r>
      <w:r w:rsidR="007E32C4">
        <w:t>, 2</w:t>
      </w:r>
      <w:r w:rsidR="00D30333">
        <w:t xml:space="preserve"> punkt</w:t>
      </w:r>
      <w:r w:rsidR="007E32C4">
        <w:t>uose</w:t>
      </w:r>
      <w:r w:rsidR="007F6E72">
        <w:t xml:space="preserve"> nurodyto turto panaudos suta</w:t>
      </w:r>
      <w:r w:rsidR="007F6E72" w:rsidRPr="00D7745A">
        <w:t>rt</w:t>
      </w:r>
      <w:r w:rsidR="00D7745A" w:rsidRPr="00D7745A">
        <w:t>is</w:t>
      </w:r>
      <w:r w:rsidR="00655328">
        <w:t xml:space="preserve"> </w:t>
      </w:r>
      <w:r w:rsidR="00D30333">
        <w:t>ir turto p</w:t>
      </w:r>
      <w:r w:rsidR="007F6E72">
        <w:t>erdavimo ir priėmimo akt</w:t>
      </w:r>
      <w:r w:rsidR="00655328" w:rsidRPr="00D7745A">
        <w:t>us</w:t>
      </w:r>
      <w:r w:rsidR="00D30333" w:rsidRPr="00D7745A">
        <w:t>.</w:t>
      </w:r>
    </w:p>
    <w:p w:rsidR="003975CE" w:rsidRPr="0090244D" w:rsidRDefault="00D30333" w:rsidP="005779B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  <w:r w:rsidR="0090244D">
        <w:t xml:space="preserve"> </w:t>
      </w:r>
    </w:p>
    <w:p w:rsidR="004F285B" w:rsidRDefault="004F285B">
      <w:pPr>
        <w:tabs>
          <w:tab w:val="left" w:pos="1674"/>
        </w:tabs>
        <w:sectPr w:rsidR="004F285B" w:rsidSect="004B3CB3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C1104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55328" w:rsidRDefault="00655328" w:rsidP="004B3CB3">
      <w:pPr>
        <w:jc w:val="both"/>
      </w:pPr>
    </w:p>
    <w:p w:rsidR="006C2C91" w:rsidRDefault="006C2C91" w:rsidP="00832B57">
      <w:pPr>
        <w:ind w:left="4760" w:firstLine="680"/>
        <w:jc w:val="both"/>
      </w:pPr>
      <w:r>
        <w:t xml:space="preserve">Molėtų rajono savivaldybės tarybos  </w:t>
      </w:r>
    </w:p>
    <w:p w:rsidR="000C1104" w:rsidRDefault="00832B57" w:rsidP="00832B57">
      <w:pPr>
        <w:ind w:left="4760" w:firstLine="680"/>
      </w:pPr>
      <w:r>
        <w:t xml:space="preserve">2018 m. </w:t>
      </w:r>
      <w:r w:rsidR="007D05C1">
        <w:t>rugpjūčio</w:t>
      </w:r>
      <w:r>
        <w:t xml:space="preserve"> </w:t>
      </w:r>
      <w:r w:rsidR="000C1104">
        <w:t xml:space="preserve">30 </w:t>
      </w:r>
      <w:r w:rsidR="006C2C91">
        <w:t xml:space="preserve">d. sprendimo </w:t>
      </w:r>
    </w:p>
    <w:p w:rsidR="006C2C91" w:rsidRDefault="006C2C91" w:rsidP="00832B57">
      <w:pPr>
        <w:ind w:left="4760" w:firstLine="680"/>
      </w:pPr>
      <w:r>
        <w:t>Nr. B1-</w:t>
      </w:r>
      <w:r w:rsidR="000C1104">
        <w:t>223</w:t>
      </w:r>
    </w:p>
    <w:p w:rsidR="006C2C91" w:rsidRDefault="00655328" w:rsidP="00832B57">
      <w:pPr>
        <w:ind w:left="4760" w:firstLine="680"/>
        <w:jc w:val="both"/>
      </w:pPr>
      <w:r>
        <w:t xml:space="preserve">1 </w:t>
      </w:r>
      <w:r w:rsidR="006C2C91">
        <w:t>priedas</w:t>
      </w:r>
    </w:p>
    <w:p w:rsidR="00832B57" w:rsidRDefault="00832B57" w:rsidP="00832B57">
      <w:pPr>
        <w:ind w:left="4760" w:firstLine="680"/>
        <w:jc w:val="both"/>
      </w:pPr>
    </w:p>
    <w:p w:rsidR="006C2C91" w:rsidRDefault="004B3CB3" w:rsidP="00832B57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VALSTYBĖS TURTO, PERDUODAMO </w:t>
      </w:r>
      <w:r w:rsidR="006C2C91">
        <w:rPr>
          <w:b/>
        </w:rPr>
        <w:t>VšĮ MOLĖTŲ LIGONINEI VALDYTI PANAUDOS TEISE</w:t>
      </w:r>
      <w:r>
        <w:rPr>
          <w:b/>
        </w:rPr>
        <w:t>,</w:t>
      </w:r>
      <w:r w:rsidR="006C2C91">
        <w:rPr>
          <w:b/>
        </w:rPr>
        <w:t xml:space="preserve"> SĄRAŠAS</w:t>
      </w:r>
    </w:p>
    <w:p w:rsidR="006C2C91" w:rsidRDefault="006C2C91" w:rsidP="006C2C91">
      <w:pPr>
        <w:ind w:firstLine="6663"/>
        <w:jc w:val="both"/>
      </w:pPr>
    </w:p>
    <w:p w:rsidR="006C2C91" w:rsidRDefault="006C2C91" w:rsidP="006C2C91">
      <w:pPr>
        <w:ind w:firstLine="6663"/>
        <w:jc w:val="both"/>
      </w:pPr>
    </w:p>
    <w:p w:rsidR="006C2C91" w:rsidRDefault="006C2C91" w:rsidP="00D7745A">
      <w:pPr>
        <w:jc w:val="both"/>
      </w:pP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1417"/>
        <w:gridCol w:w="1701"/>
      </w:tblGrid>
      <w:tr w:rsidR="00471E4C" w:rsidTr="004B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471E4C" w:rsidRDefault="00CE571E" w:rsidP="00FD334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2018-08</w:t>
            </w:r>
            <w:r w:rsidR="00471E4C">
              <w:rPr>
                <w:rFonts w:eastAsia="Calibri"/>
              </w:rPr>
              <w:t xml:space="preserve">-01, </w:t>
            </w:r>
            <w:proofErr w:type="spellStart"/>
            <w:r w:rsidR="00471E4C">
              <w:rPr>
                <w:rFonts w:eastAsia="Calibri"/>
              </w:rPr>
              <w:t>Eur</w:t>
            </w:r>
            <w:proofErr w:type="spellEnd"/>
          </w:p>
        </w:tc>
      </w:tr>
      <w:tr w:rsidR="00471E4C" w:rsidTr="004B3CB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C" w:rsidRDefault="00471E4C" w:rsidP="00D7745A">
            <w:pPr>
              <w:spacing w:line="252" w:lineRule="auto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 w:rsidP="00D7745A">
            <w:pPr>
              <w:spacing w:line="252" w:lineRule="auto"/>
            </w:pPr>
            <w:r>
              <w:t>Universalus aukštos klasės skaitmeninis diagnostikos aparatas „</w:t>
            </w:r>
            <w:proofErr w:type="spellStart"/>
            <w:r>
              <w:t>Aloka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</w:pPr>
            <w:r>
              <w:t>484899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</w:pPr>
            <w:r>
              <w:t>68822,93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</w:pPr>
            <w:r>
              <w:t>0,00</w:t>
            </w:r>
          </w:p>
        </w:tc>
      </w:tr>
    </w:tbl>
    <w:p w:rsidR="006C2C91" w:rsidRDefault="00FD334E" w:rsidP="006C2C91">
      <w:r>
        <w:t xml:space="preserve">                                     ______________________________</w:t>
      </w:r>
      <w:r w:rsidR="006C2C91">
        <w:br w:type="page"/>
      </w:r>
    </w:p>
    <w:p w:rsidR="00FD334E" w:rsidRDefault="00FD334E" w:rsidP="006C2C91"/>
    <w:p w:rsidR="006C2C91" w:rsidRDefault="006C2C91" w:rsidP="006C2C91">
      <w:pPr>
        <w:ind w:firstLine="6663"/>
        <w:jc w:val="both"/>
      </w:pPr>
    </w:p>
    <w:p w:rsidR="006C2C91" w:rsidRDefault="006C2C91" w:rsidP="005779B8">
      <w:pPr>
        <w:ind w:left="4594" w:firstLine="680"/>
        <w:jc w:val="both"/>
      </w:pPr>
      <w:r>
        <w:t xml:space="preserve">Molėtų rajono savivaldybės </w:t>
      </w:r>
      <w:r w:rsidR="005779B8">
        <w:t>tarybos</w:t>
      </w:r>
      <w:r>
        <w:t xml:space="preserve"> </w:t>
      </w:r>
    </w:p>
    <w:p w:rsidR="000C1104" w:rsidRDefault="006C2C91" w:rsidP="005779B8">
      <w:pPr>
        <w:ind w:left="5274"/>
      </w:pPr>
      <w:r>
        <w:t xml:space="preserve">2018 m. </w:t>
      </w:r>
      <w:r w:rsidR="007D05C1">
        <w:t>rugpjūčio</w:t>
      </w:r>
      <w:r w:rsidR="005779B8">
        <w:t xml:space="preserve"> </w:t>
      </w:r>
      <w:r w:rsidR="000C1104">
        <w:t>30</w:t>
      </w:r>
      <w:r w:rsidR="005779B8">
        <w:t xml:space="preserve"> d. sprendimo </w:t>
      </w:r>
    </w:p>
    <w:p w:rsidR="006C2C91" w:rsidRDefault="006C2C91" w:rsidP="005779B8">
      <w:pPr>
        <w:ind w:left="5274"/>
      </w:pPr>
      <w:r>
        <w:t>Nr. B</w:t>
      </w:r>
      <w:r w:rsidR="005779B8">
        <w:t>1</w:t>
      </w:r>
      <w:r>
        <w:t>-</w:t>
      </w:r>
      <w:r w:rsidR="000C1104">
        <w:t>223</w:t>
      </w:r>
      <w:bookmarkStart w:id="7" w:name="_GoBack"/>
      <w:bookmarkEnd w:id="7"/>
    </w:p>
    <w:p w:rsidR="006C2C91" w:rsidRDefault="006C2C91" w:rsidP="005779B8">
      <w:pPr>
        <w:ind w:left="4594" w:firstLine="680"/>
        <w:jc w:val="both"/>
      </w:pPr>
      <w:r>
        <w:t>2 priedas</w:t>
      </w:r>
    </w:p>
    <w:p w:rsidR="006C2C91" w:rsidRDefault="006C2C91" w:rsidP="006C2C91">
      <w:pPr>
        <w:ind w:firstLine="6663"/>
        <w:jc w:val="both"/>
      </w:pPr>
    </w:p>
    <w:p w:rsidR="006C2C91" w:rsidRDefault="004B3CB3" w:rsidP="006C2C91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VALSTYBĖS TURTO, PERDUODAMO </w:t>
      </w:r>
      <w:r w:rsidR="006C2C91">
        <w:rPr>
          <w:b/>
        </w:rPr>
        <w:t>VšĮ MOLĖTŲ PIRMINĖS SVEIKATOS PRIEŽIŪROS CENTRUI  VALDYTI PANAUDOS TEISE</w:t>
      </w:r>
      <w:r>
        <w:rPr>
          <w:b/>
        </w:rPr>
        <w:t>,</w:t>
      </w:r>
      <w:r w:rsidR="006C2C91">
        <w:rPr>
          <w:b/>
        </w:rPr>
        <w:t xml:space="preserve"> </w:t>
      </w:r>
    </w:p>
    <w:p w:rsidR="006C2C91" w:rsidRDefault="006C2C91" w:rsidP="006C2C91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SĄRAŠAS</w:t>
      </w:r>
    </w:p>
    <w:p w:rsidR="006C2C91" w:rsidRDefault="006C2C91" w:rsidP="006C2C91">
      <w:pPr>
        <w:tabs>
          <w:tab w:val="left" w:pos="1674"/>
        </w:tabs>
      </w:pPr>
    </w:p>
    <w:p w:rsidR="005779B8" w:rsidRDefault="005779B8" w:rsidP="005779B8">
      <w:pPr>
        <w:pStyle w:val="Sraopastraipa"/>
        <w:numPr>
          <w:ilvl w:val="0"/>
          <w:numId w:val="11"/>
        </w:numPr>
        <w:tabs>
          <w:tab w:val="left" w:pos="7513"/>
        </w:tabs>
      </w:pPr>
      <w:r>
        <w:t>Ilgalaiki</w:t>
      </w:r>
      <w:r w:rsidR="00655328">
        <w:t>s</w:t>
      </w:r>
      <w:r>
        <w:t xml:space="preserve"> material</w:t>
      </w:r>
      <w:r w:rsidR="00403097">
        <w:t>usis</w:t>
      </w:r>
      <w:r>
        <w:t xml:space="preserve"> turt</w:t>
      </w:r>
      <w:r w:rsidR="00403097">
        <w:t>as</w:t>
      </w:r>
      <w:r>
        <w:t>:</w:t>
      </w:r>
    </w:p>
    <w:p w:rsidR="005779B8" w:rsidRDefault="005779B8" w:rsidP="005779B8">
      <w:pPr>
        <w:pStyle w:val="Sraopastraipa"/>
        <w:tabs>
          <w:tab w:val="left" w:pos="7513"/>
        </w:tabs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1276"/>
        <w:gridCol w:w="1560"/>
      </w:tblGrid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5779B8" w:rsidRDefault="005779B8" w:rsidP="00CE571E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2018-0</w:t>
            </w:r>
            <w:r w:rsidR="00CE571E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kėdė, transformuojama į bendros paskirties paciento apžiūros kušetę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711,89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 su ištraukiama pamina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552,87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Kūdikių svarstyklės „</w:t>
            </w:r>
            <w:proofErr w:type="spellStart"/>
            <w:r w:rsidRPr="005779B8">
              <w:rPr>
                <w:rFonts w:eastAsia="Calibri"/>
              </w:rPr>
              <w:t>Seca</w:t>
            </w:r>
            <w:proofErr w:type="spellEnd"/>
            <w:r w:rsidRPr="005779B8">
              <w:rPr>
                <w:rFonts w:eastAsia="Calibri"/>
              </w:rPr>
              <w:t xml:space="preserve"> 366“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Chirurginė lempa „DR </w:t>
            </w:r>
            <w:proofErr w:type="spellStart"/>
            <w:r w:rsidRPr="005779B8">
              <w:rPr>
                <w:rFonts w:eastAsia="Calibri"/>
              </w:rPr>
              <w:t>Mach</w:t>
            </w:r>
            <w:proofErr w:type="spellEnd"/>
            <w:r w:rsidRPr="005779B8">
              <w:rPr>
                <w:rFonts w:eastAsia="Calibri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1821,75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Portatyvinis </w:t>
            </w:r>
            <w:proofErr w:type="spellStart"/>
            <w:r w:rsidRPr="005779B8">
              <w:rPr>
                <w:rFonts w:eastAsia="Calibri"/>
              </w:rPr>
              <w:t>elektrokardiografas</w:t>
            </w:r>
            <w:proofErr w:type="spellEnd"/>
            <w:r w:rsidRPr="005779B8">
              <w:rPr>
                <w:rFonts w:eastAsia="Calibri"/>
              </w:rPr>
              <w:t xml:space="preserve"> „</w:t>
            </w:r>
            <w:proofErr w:type="spellStart"/>
            <w:r w:rsidRPr="005779B8">
              <w:rPr>
                <w:rFonts w:eastAsia="Calibri"/>
              </w:rPr>
              <w:t>AsCard</w:t>
            </w:r>
            <w:proofErr w:type="spellEnd"/>
            <w:r w:rsidRPr="005779B8">
              <w:rPr>
                <w:rFonts w:eastAsia="Calibri"/>
              </w:rPr>
              <w:t xml:space="preserve"> A4“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912,30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proofErr w:type="spellStart"/>
            <w:r w:rsidRPr="005779B8">
              <w:rPr>
                <w:rFonts w:eastAsia="Calibri"/>
              </w:rPr>
              <w:t>Frakcionuoto</w:t>
            </w:r>
            <w:proofErr w:type="spellEnd"/>
            <w:r w:rsidRPr="005779B8">
              <w:rPr>
                <w:rFonts w:eastAsia="Calibri"/>
              </w:rPr>
              <w:t xml:space="preserve"> vakuumo garų sterilizatorius „Europa Bxp24“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Šaldytuvas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BPG krepšys su instrumentais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574,77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Mikroskopas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1756,18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Ant grindų statomos suaugusiųjų svarstyklės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kėdė, transformuojama į bendros paskirties paciento apžiūros kušetę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649,04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 su ištraukiama pamina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</w:t>
            </w:r>
            <w:r>
              <w:rPr>
                <w:rFonts w:eastAsia="Calibri"/>
              </w:rPr>
              <w:t>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403097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Automobilis „VW </w:t>
            </w:r>
            <w:proofErr w:type="spellStart"/>
            <w:r w:rsidRPr="005779B8">
              <w:rPr>
                <w:rFonts w:eastAsia="Calibri"/>
              </w:rPr>
              <w:t>Sharan</w:t>
            </w:r>
            <w:proofErr w:type="spellEnd"/>
            <w:r w:rsidRPr="005779B8">
              <w:rPr>
                <w:rFonts w:eastAsia="Calibri"/>
              </w:rPr>
              <w:t xml:space="preserve">“ </w:t>
            </w:r>
            <w:proofErr w:type="spellStart"/>
            <w:r w:rsidRPr="005779B8">
              <w:rPr>
                <w:rFonts w:eastAsia="Calibri"/>
              </w:rPr>
              <w:t>valst</w:t>
            </w:r>
            <w:proofErr w:type="spellEnd"/>
            <w:r w:rsidRPr="005779B8">
              <w:rPr>
                <w:rFonts w:eastAsia="Calibri"/>
              </w:rPr>
              <w:t>.</w:t>
            </w:r>
            <w:r w:rsidR="00403097">
              <w:rPr>
                <w:rFonts w:eastAsia="Calibri"/>
              </w:rPr>
              <w:t xml:space="preserve"> </w:t>
            </w:r>
            <w:r w:rsidRPr="005779B8">
              <w:rPr>
                <w:rFonts w:eastAsia="Calibri"/>
              </w:rPr>
              <w:t xml:space="preserve">Nr. TVM 528 </w:t>
            </w:r>
            <w:r w:rsidR="00403097">
              <w:rPr>
                <w:rFonts w:eastAsia="Calibri"/>
              </w:rPr>
              <w:t>i</w:t>
            </w:r>
            <w:r w:rsidRPr="005779B8">
              <w:rPr>
                <w:rFonts w:eastAsia="Calibri"/>
              </w:rPr>
              <w:t>dentifikavimo Nr. WVWZZZ7MZ3V029235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23852,00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Lentelė regėjimo aštrumui nustatyti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434,58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Mikroskopas AXIOSTAR 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1668,78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Naujagimių svarstyklės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325,17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Sukomplektuotas BPG krepšys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Nešiojamas </w:t>
            </w:r>
            <w:proofErr w:type="spellStart"/>
            <w:r w:rsidRPr="005779B8">
              <w:rPr>
                <w:rFonts w:eastAsia="Calibri"/>
              </w:rPr>
              <w:t>elektrokardiografas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1065,80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Šviesos šaltinis (chirurginis šviestuvas)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5212,87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Vakuuminis sterilizavimo garų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Šaldytuvas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E273BA">
            <w:pPr>
              <w:spacing w:line="254" w:lineRule="auto"/>
              <w:jc w:val="right"/>
              <w:rPr>
                <w:rFonts w:eastAsia="Calibri"/>
              </w:rPr>
            </w:pPr>
            <w:r w:rsidRPr="005779B8">
              <w:rPr>
                <w:rFonts w:eastAsia="Calibri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fldChar w:fldCharType="begin"/>
            </w:r>
            <w:r w:rsidRPr="005779B8">
              <w:rPr>
                <w:rFonts w:eastAsia="Calibri"/>
              </w:rPr>
              <w:instrText xml:space="preserve"> =SUM(ABOVE) \# "# ##0,00" </w:instrText>
            </w:r>
            <w:r w:rsidRPr="005779B8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=SUM(ABOVE) \# "# ##0,00"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48 578,43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</w:tbl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4B3CB3" w:rsidRDefault="004B3CB3" w:rsidP="00EC0BBF">
      <w:pPr>
        <w:jc w:val="both"/>
      </w:pPr>
    </w:p>
    <w:p w:rsidR="00BB04D7" w:rsidRPr="00D81756" w:rsidRDefault="005779B8" w:rsidP="00BB04D7">
      <w:pPr>
        <w:pStyle w:val="Sraopastraipa"/>
        <w:numPr>
          <w:ilvl w:val="0"/>
          <w:numId w:val="11"/>
        </w:numPr>
        <w:jc w:val="both"/>
      </w:pPr>
      <w:r>
        <w:t>Trumpalaiki</w:t>
      </w:r>
      <w:r w:rsidR="00403097">
        <w:t>s</w:t>
      </w:r>
      <w:r>
        <w:t xml:space="preserve"> </w:t>
      </w:r>
      <w:r w:rsidR="00403097" w:rsidRPr="00471E4C">
        <w:t xml:space="preserve">materialusis </w:t>
      </w:r>
      <w:r w:rsidRPr="00471E4C">
        <w:t>turt</w:t>
      </w:r>
      <w:r w:rsidR="00403097" w:rsidRPr="00471E4C">
        <w:t>as</w:t>
      </w:r>
      <w:r>
        <w:t>:</w:t>
      </w:r>
    </w:p>
    <w:p w:rsidR="00BB04D7" w:rsidRPr="00D81756" w:rsidRDefault="00BB04D7" w:rsidP="00BB04D7">
      <w:pPr>
        <w:tabs>
          <w:tab w:val="left" w:pos="1276"/>
          <w:tab w:val="left" w:pos="1418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538"/>
        <w:gridCol w:w="3282"/>
        <w:gridCol w:w="947"/>
        <w:gridCol w:w="1171"/>
        <w:gridCol w:w="1156"/>
      </w:tblGrid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Eil.</w:t>
            </w:r>
          </w:p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Nr.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Kodas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Turto pavadinimas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Kiekis,</w:t>
            </w:r>
          </w:p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vnt.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Kaina, </w:t>
            </w:r>
            <w:proofErr w:type="spellStart"/>
            <w:r w:rsidRPr="00403097">
              <w:rPr>
                <w:lang w:eastAsia="lt-LT"/>
              </w:rPr>
              <w:t>Eur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Suma, </w:t>
            </w:r>
            <w:proofErr w:type="spellStart"/>
            <w:r w:rsidRPr="00403097">
              <w:rPr>
                <w:lang w:eastAsia="lt-LT"/>
              </w:rPr>
              <w:t>Eur</w:t>
            </w:r>
            <w:proofErr w:type="spellEnd"/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2.1.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Automatinis šlapimo analizatorius „POCKETcHEMUapu-4210“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275,14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275,14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Bendros paskirties paciento apžiūros kušetė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147,78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147,78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Kūdikių apžiūros stalas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157,54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157,54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Lentelė regėjimo aštrumui nustatyti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169,05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169,05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Ginekologinių instrumentų rinkinys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166,80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166,80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lastRenderedPageBreak/>
              <w:t>2.6.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Kūdikių apžiūros stalas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190,05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190,05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Spirometras MIKRO su standartiniais priedais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220,56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220,56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Akušerinis </w:t>
            </w:r>
            <w:proofErr w:type="spellStart"/>
            <w:r w:rsidRPr="00403097">
              <w:rPr>
                <w:lang w:eastAsia="lt-LT"/>
              </w:rPr>
              <w:t>stetoskopas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9,30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9,30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Bendros paskirties paciento apžiūros kušetė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120,48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120,48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Knyga spalvų skyrimui nustatyti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76,69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76,69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proofErr w:type="spellStart"/>
            <w:r w:rsidRPr="00403097">
              <w:rPr>
                <w:lang w:eastAsia="lt-LT"/>
              </w:rPr>
              <w:t>Tonometras</w:t>
            </w:r>
            <w:proofErr w:type="spellEnd"/>
            <w:r w:rsidRPr="00403097">
              <w:rPr>
                <w:lang w:eastAsia="lt-LT"/>
              </w:rPr>
              <w:t xml:space="preserve"> akispūdžiui matuoti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64,85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64,85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LOR instrumentų rinkinys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96,55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96,55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</w:t>
            </w:r>
            <w:r w:rsidR="005A0A4B" w:rsidRPr="00403097">
              <w:rPr>
                <w:lang w:eastAsia="lt-LT"/>
              </w:rPr>
              <w:t>3</w:t>
            </w:r>
            <w:r w:rsidR="00403097" w:rsidRPr="00403097">
              <w:rPr>
                <w:lang w:eastAsia="lt-LT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E273BA">
            <w:pPr>
              <w:spacing w:line="256" w:lineRule="auto"/>
              <w:jc w:val="right"/>
              <w:rPr>
                <w:lang w:eastAsia="lt-LT"/>
              </w:rPr>
            </w:pPr>
            <w:r w:rsidRPr="00403097">
              <w:rPr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5A0A4B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fldChar w:fldCharType="begin"/>
            </w:r>
            <w:r w:rsidRPr="00403097">
              <w:rPr>
                <w:lang w:eastAsia="lt-LT"/>
              </w:rPr>
              <w:instrText xml:space="preserve"> =SUM(ABOVE) \# "# ##0,00" </w:instrText>
            </w:r>
            <w:r w:rsidRPr="00403097">
              <w:rPr>
                <w:lang w:eastAsia="lt-LT"/>
              </w:rPr>
              <w:fldChar w:fldCharType="separate"/>
            </w:r>
            <w:r w:rsidRPr="00403097">
              <w:rPr>
                <w:noProof/>
                <w:lang w:eastAsia="lt-LT"/>
              </w:rPr>
              <w:t>1 694,79</w:t>
            </w:r>
            <w:r w:rsidRPr="00403097">
              <w:rPr>
                <w:lang w:eastAsia="lt-LT"/>
              </w:rPr>
              <w:fldChar w:fldCharType="end"/>
            </w:r>
          </w:p>
        </w:tc>
      </w:tr>
    </w:tbl>
    <w:p w:rsidR="005779B8" w:rsidRDefault="005779B8" w:rsidP="00BB04D7">
      <w:pPr>
        <w:pStyle w:val="Pagrindinistekstas2"/>
        <w:spacing w:line="360" w:lineRule="auto"/>
        <w:ind w:left="2040" w:firstLine="680"/>
      </w:pPr>
      <w:r>
        <w:t>______________________</w:t>
      </w:r>
    </w:p>
    <w:p w:rsidR="005779B8" w:rsidRDefault="005779B8" w:rsidP="005779B8">
      <w:pPr>
        <w:jc w:val="both"/>
      </w:pPr>
    </w:p>
    <w:p w:rsidR="005779B8" w:rsidRDefault="005779B8" w:rsidP="005779B8">
      <w:pPr>
        <w:ind w:firstLine="6663"/>
        <w:jc w:val="both"/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0" w:rsidRDefault="00F45820">
      <w:r>
        <w:separator/>
      </w:r>
    </w:p>
  </w:endnote>
  <w:endnote w:type="continuationSeparator" w:id="0">
    <w:p w:rsidR="00F45820" w:rsidRDefault="00F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0" w:rsidRDefault="00F45820">
      <w:r>
        <w:separator/>
      </w:r>
    </w:p>
  </w:footnote>
  <w:footnote w:type="continuationSeparator" w:id="0">
    <w:p w:rsidR="00F45820" w:rsidRDefault="00F4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1104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AE3"/>
    <w:multiLevelType w:val="hybridMultilevel"/>
    <w:tmpl w:val="B1DA81F2"/>
    <w:lvl w:ilvl="0" w:tplc="148E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B32"/>
    <w:multiLevelType w:val="hybridMultilevel"/>
    <w:tmpl w:val="FAB21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8" w:hanging="360"/>
      </w:pPr>
    </w:lvl>
    <w:lvl w:ilvl="2" w:tplc="0427001B" w:tentative="1">
      <w:start w:val="1"/>
      <w:numFmt w:val="lowerRoman"/>
      <w:lvlText w:val="%3."/>
      <w:lvlJc w:val="right"/>
      <w:pPr>
        <w:ind w:left="11298" w:hanging="180"/>
      </w:pPr>
    </w:lvl>
    <w:lvl w:ilvl="3" w:tplc="0427000F" w:tentative="1">
      <w:start w:val="1"/>
      <w:numFmt w:val="decimal"/>
      <w:lvlText w:val="%4."/>
      <w:lvlJc w:val="left"/>
      <w:pPr>
        <w:ind w:left="12018" w:hanging="360"/>
      </w:pPr>
    </w:lvl>
    <w:lvl w:ilvl="4" w:tplc="04270019" w:tentative="1">
      <w:start w:val="1"/>
      <w:numFmt w:val="lowerLetter"/>
      <w:lvlText w:val="%5."/>
      <w:lvlJc w:val="left"/>
      <w:pPr>
        <w:ind w:left="12738" w:hanging="360"/>
      </w:pPr>
    </w:lvl>
    <w:lvl w:ilvl="5" w:tplc="0427001B" w:tentative="1">
      <w:start w:val="1"/>
      <w:numFmt w:val="lowerRoman"/>
      <w:lvlText w:val="%6."/>
      <w:lvlJc w:val="right"/>
      <w:pPr>
        <w:ind w:left="13458" w:hanging="180"/>
      </w:pPr>
    </w:lvl>
    <w:lvl w:ilvl="6" w:tplc="0427000F" w:tentative="1">
      <w:start w:val="1"/>
      <w:numFmt w:val="decimal"/>
      <w:lvlText w:val="%7."/>
      <w:lvlJc w:val="left"/>
      <w:pPr>
        <w:ind w:left="14178" w:hanging="360"/>
      </w:pPr>
    </w:lvl>
    <w:lvl w:ilvl="7" w:tplc="04270019" w:tentative="1">
      <w:start w:val="1"/>
      <w:numFmt w:val="lowerLetter"/>
      <w:lvlText w:val="%8."/>
      <w:lvlJc w:val="left"/>
      <w:pPr>
        <w:ind w:left="14898" w:hanging="360"/>
      </w:pPr>
    </w:lvl>
    <w:lvl w:ilvl="8" w:tplc="0427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AA59C2"/>
    <w:multiLevelType w:val="hybridMultilevel"/>
    <w:tmpl w:val="FAB80BC4"/>
    <w:lvl w:ilvl="0" w:tplc="356CD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4280"/>
    <w:rsid w:val="00013561"/>
    <w:rsid w:val="0001545A"/>
    <w:rsid w:val="00021DC2"/>
    <w:rsid w:val="0002376A"/>
    <w:rsid w:val="00024774"/>
    <w:rsid w:val="00025376"/>
    <w:rsid w:val="000579F7"/>
    <w:rsid w:val="000862AB"/>
    <w:rsid w:val="000C1104"/>
    <w:rsid w:val="000C6D78"/>
    <w:rsid w:val="000F1F35"/>
    <w:rsid w:val="0010175E"/>
    <w:rsid w:val="001156B7"/>
    <w:rsid w:val="001163FC"/>
    <w:rsid w:val="0012091C"/>
    <w:rsid w:val="00126B58"/>
    <w:rsid w:val="00132437"/>
    <w:rsid w:val="00135C8C"/>
    <w:rsid w:val="001370E6"/>
    <w:rsid w:val="0015156B"/>
    <w:rsid w:val="00172167"/>
    <w:rsid w:val="001B2343"/>
    <w:rsid w:val="001E26FA"/>
    <w:rsid w:val="001F1617"/>
    <w:rsid w:val="00203B3A"/>
    <w:rsid w:val="002050E5"/>
    <w:rsid w:val="00211F14"/>
    <w:rsid w:val="002208DB"/>
    <w:rsid w:val="002342A4"/>
    <w:rsid w:val="00234D75"/>
    <w:rsid w:val="00237DAC"/>
    <w:rsid w:val="00241232"/>
    <w:rsid w:val="00253870"/>
    <w:rsid w:val="00256E49"/>
    <w:rsid w:val="00264837"/>
    <w:rsid w:val="0026491C"/>
    <w:rsid w:val="00280278"/>
    <w:rsid w:val="002837F7"/>
    <w:rsid w:val="002D4E84"/>
    <w:rsid w:val="002F1477"/>
    <w:rsid w:val="002F2AC3"/>
    <w:rsid w:val="00304CE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0991"/>
    <w:rsid w:val="004022CE"/>
    <w:rsid w:val="00403097"/>
    <w:rsid w:val="0040421E"/>
    <w:rsid w:val="004052E0"/>
    <w:rsid w:val="00405E56"/>
    <w:rsid w:val="00416B63"/>
    <w:rsid w:val="0041761B"/>
    <w:rsid w:val="004218E8"/>
    <w:rsid w:val="00423E59"/>
    <w:rsid w:val="00433FBC"/>
    <w:rsid w:val="00454D71"/>
    <w:rsid w:val="00471E4C"/>
    <w:rsid w:val="004968FC"/>
    <w:rsid w:val="004A24FD"/>
    <w:rsid w:val="004B3CB3"/>
    <w:rsid w:val="004B7F2A"/>
    <w:rsid w:val="004C1977"/>
    <w:rsid w:val="004C7506"/>
    <w:rsid w:val="004D17CE"/>
    <w:rsid w:val="004D647A"/>
    <w:rsid w:val="004F285B"/>
    <w:rsid w:val="00503359"/>
    <w:rsid w:val="00503B36"/>
    <w:rsid w:val="00504780"/>
    <w:rsid w:val="00516FAA"/>
    <w:rsid w:val="00524921"/>
    <w:rsid w:val="00525F20"/>
    <w:rsid w:val="0053183D"/>
    <w:rsid w:val="0055481F"/>
    <w:rsid w:val="00561916"/>
    <w:rsid w:val="005779B8"/>
    <w:rsid w:val="00594D4A"/>
    <w:rsid w:val="005A0A4B"/>
    <w:rsid w:val="005A4424"/>
    <w:rsid w:val="005E71A0"/>
    <w:rsid w:val="005F38B6"/>
    <w:rsid w:val="006213AE"/>
    <w:rsid w:val="00621EC8"/>
    <w:rsid w:val="006234B0"/>
    <w:rsid w:val="00655328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B7FD5"/>
    <w:rsid w:val="006C2C91"/>
    <w:rsid w:val="006D78AF"/>
    <w:rsid w:val="006D7908"/>
    <w:rsid w:val="006E016D"/>
    <w:rsid w:val="006F59E4"/>
    <w:rsid w:val="00743573"/>
    <w:rsid w:val="00754D17"/>
    <w:rsid w:val="00773174"/>
    <w:rsid w:val="00776F64"/>
    <w:rsid w:val="00794407"/>
    <w:rsid w:val="00794C2F"/>
    <w:rsid w:val="007951EA"/>
    <w:rsid w:val="00796C66"/>
    <w:rsid w:val="007A3F5C"/>
    <w:rsid w:val="007B3C08"/>
    <w:rsid w:val="007D05C1"/>
    <w:rsid w:val="007D3999"/>
    <w:rsid w:val="007E0F89"/>
    <w:rsid w:val="007E32C4"/>
    <w:rsid w:val="007E4516"/>
    <w:rsid w:val="007E6BB2"/>
    <w:rsid w:val="007F3B1D"/>
    <w:rsid w:val="007F47F5"/>
    <w:rsid w:val="007F6E72"/>
    <w:rsid w:val="00810C7B"/>
    <w:rsid w:val="0081443A"/>
    <w:rsid w:val="00821337"/>
    <w:rsid w:val="00826B84"/>
    <w:rsid w:val="0083125A"/>
    <w:rsid w:val="00832B57"/>
    <w:rsid w:val="00844B01"/>
    <w:rsid w:val="00846A1A"/>
    <w:rsid w:val="00864D0B"/>
    <w:rsid w:val="0086790E"/>
    <w:rsid w:val="00872337"/>
    <w:rsid w:val="008947C0"/>
    <w:rsid w:val="00896B60"/>
    <w:rsid w:val="008A401C"/>
    <w:rsid w:val="008B6D12"/>
    <w:rsid w:val="008E0494"/>
    <w:rsid w:val="008E0848"/>
    <w:rsid w:val="008E52B6"/>
    <w:rsid w:val="0090244D"/>
    <w:rsid w:val="00927508"/>
    <w:rsid w:val="0093412A"/>
    <w:rsid w:val="00940155"/>
    <w:rsid w:val="00946C41"/>
    <w:rsid w:val="00954554"/>
    <w:rsid w:val="0096302F"/>
    <w:rsid w:val="0097161C"/>
    <w:rsid w:val="00984884"/>
    <w:rsid w:val="009933F9"/>
    <w:rsid w:val="009B4614"/>
    <w:rsid w:val="009D39F7"/>
    <w:rsid w:val="009E5DC4"/>
    <w:rsid w:val="009E70D9"/>
    <w:rsid w:val="009E7912"/>
    <w:rsid w:val="009F5324"/>
    <w:rsid w:val="00A014F8"/>
    <w:rsid w:val="00A27B89"/>
    <w:rsid w:val="00A27FF5"/>
    <w:rsid w:val="00A300BC"/>
    <w:rsid w:val="00A467B3"/>
    <w:rsid w:val="00A52199"/>
    <w:rsid w:val="00A6631B"/>
    <w:rsid w:val="00AA06CA"/>
    <w:rsid w:val="00AA5FB0"/>
    <w:rsid w:val="00AC617C"/>
    <w:rsid w:val="00AD085C"/>
    <w:rsid w:val="00AD6363"/>
    <w:rsid w:val="00AE087E"/>
    <w:rsid w:val="00AE0A14"/>
    <w:rsid w:val="00AE325A"/>
    <w:rsid w:val="00AF00D2"/>
    <w:rsid w:val="00B30190"/>
    <w:rsid w:val="00B412E5"/>
    <w:rsid w:val="00B52578"/>
    <w:rsid w:val="00B605B7"/>
    <w:rsid w:val="00B752AB"/>
    <w:rsid w:val="00B93410"/>
    <w:rsid w:val="00B95640"/>
    <w:rsid w:val="00B96D0A"/>
    <w:rsid w:val="00BA65BB"/>
    <w:rsid w:val="00BB04D7"/>
    <w:rsid w:val="00BB70B1"/>
    <w:rsid w:val="00BC04F5"/>
    <w:rsid w:val="00BC322C"/>
    <w:rsid w:val="00BC606F"/>
    <w:rsid w:val="00BD203F"/>
    <w:rsid w:val="00BE0269"/>
    <w:rsid w:val="00BE7677"/>
    <w:rsid w:val="00BF08ED"/>
    <w:rsid w:val="00C03B75"/>
    <w:rsid w:val="00C16EA1"/>
    <w:rsid w:val="00C25438"/>
    <w:rsid w:val="00C3569C"/>
    <w:rsid w:val="00C83188"/>
    <w:rsid w:val="00C86B3A"/>
    <w:rsid w:val="00C91E80"/>
    <w:rsid w:val="00CA22F0"/>
    <w:rsid w:val="00CC1DF9"/>
    <w:rsid w:val="00CC20E7"/>
    <w:rsid w:val="00CE571E"/>
    <w:rsid w:val="00D02F67"/>
    <w:rsid w:val="00D03D5A"/>
    <w:rsid w:val="00D30333"/>
    <w:rsid w:val="00D74773"/>
    <w:rsid w:val="00D7745A"/>
    <w:rsid w:val="00D8136A"/>
    <w:rsid w:val="00D8310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273BA"/>
    <w:rsid w:val="00E63899"/>
    <w:rsid w:val="00E66D83"/>
    <w:rsid w:val="00E81006"/>
    <w:rsid w:val="00EC0BBF"/>
    <w:rsid w:val="00EE16D6"/>
    <w:rsid w:val="00EE645F"/>
    <w:rsid w:val="00EE664B"/>
    <w:rsid w:val="00EF6A79"/>
    <w:rsid w:val="00F10E4C"/>
    <w:rsid w:val="00F25BA0"/>
    <w:rsid w:val="00F448E4"/>
    <w:rsid w:val="00F45820"/>
    <w:rsid w:val="00F54307"/>
    <w:rsid w:val="00F5437F"/>
    <w:rsid w:val="00F67472"/>
    <w:rsid w:val="00F762A9"/>
    <w:rsid w:val="00F873BB"/>
    <w:rsid w:val="00F90C10"/>
    <w:rsid w:val="00FA1BDA"/>
    <w:rsid w:val="00FA32CA"/>
    <w:rsid w:val="00FA4AAF"/>
    <w:rsid w:val="00FA5E07"/>
    <w:rsid w:val="00FA5FD2"/>
    <w:rsid w:val="00FB3580"/>
    <w:rsid w:val="00FB77DF"/>
    <w:rsid w:val="00FC6F50"/>
    <w:rsid w:val="00FD334E"/>
    <w:rsid w:val="00FE08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71E59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6C2C9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C2C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A047B"/>
    <w:rsid w:val="000B2A22"/>
    <w:rsid w:val="000C06E9"/>
    <w:rsid w:val="000F3539"/>
    <w:rsid w:val="00115CA4"/>
    <w:rsid w:val="00120EA3"/>
    <w:rsid w:val="00180E71"/>
    <w:rsid w:val="00193804"/>
    <w:rsid w:val="001A51F7"/>
    <w:rsid w:val="001B1DD6"/>
    <w:rsid w:val="0024435C"/>
    <w:rsid w:val="00260095"/>
    <w:rsid w:val="0028601A"/>
    <w:rsid w:val="002D3395"/>
    <w:rsid w:val="002D69EA"/>
    <w:rsid w:val="002F004E"/>
    <w:rsid w:val="00307BF1"/>
    <w:rsid w:val="0035576C"/>
    <w:rsid w:val="00374C29"/>
    <w:rsid w:val="003A06D4"/>
    <w:rsid w:val="00417A9E"/>
    <w:rsid w:val="00434E44"/>
    <w:rsid w:val="004726FE"/>
    <w:rsid w:val="004D7FC3"/>
    <w:rsid w:val="004E7B64"/>
    <w:rsid w:val="004F43FC"/>
    <w:rsid w:val="00500441"/>
    <w:rsid w:val="005445FA"/>
    <w:rsid w:val="005F177C"/>
    <w:rsid w:val="00622D5E"/>
    <w:rsid w:val="006736BF"/>
    <w:rsid w:val="006A5FC4"/>
    <w:rsid w:val="006D61F8"/>
    <w:rsid w:val="007648D7"/>
    <w:rsid w:val="007668B8"/>
    <w:rsid w:val="007D5B5C"/>
    <w:rsid w:val="007E58F5"/>
    <w:rsid w:val="007E7ACB"/>
    <w:rsid w:val="0083317F"/>
    <w:rsid w:val="0089393F"/>
    <w:rsid w:val="008E5366"/>
    <w:rsid w:val="00934FFB"/>
    <w:rsid w:val="00964825"/>
    <w:rsid w:val="00965896"/>
    <w:rsid w:val="009A420F"/>
    <w:rsid w:val="00A70D6F"/>
    <w:rsid w:val="00A7467A"/>
    <w:rsid w:val="00A77D76"/>
    <w:rsid w:val="00AD17B1"/>
    <w:rsid w:val="00AD194A"/>
    <w:rsid w:val="00B12A45"/>
    <w:rsid w:val="00B325EF"/>
    <w:rsid w:val="00B50993"/>
    <w:rsid w:val="00B64312"/>
    <w:rsid w:val="00B703E2"/>
    <w:rsid w:val="00B825A6"/>
    <w:rsid w:val="00BB2547"/>
    <w:rsid w:val="00BC38EE"/>
    <w:rsid w:val="00BF5B64"/>
    <w:rsid w:val="00C122D5"/>
    <w:rsid w:val="00CB25AA"/>
    <w:rsid w:val="00CD0DC6"/>
    <w:rsid w:val="00CD23D3"/>
    <w:rsid w:val="00CD55B8"/>
    <w:rsid w:val="00CF6ADC"/>
    <w:rsid w:val="00CF72C0"/>
    <w:rsid w:val="00D464B6"/>
    <w:rsid w:val="00D6408B"/>
    <w:rsid w:val="00DB5DAF"/>
    <w:rsid w:val="00DC3F49"/>
    <w:rsid w:val="00DE433B"/>
    <w:rsid w:val="00E05753"/>
    <w:rsid w:val="00E25DC9"/>
    <w:rsid w:val="00E321A6"/>
    <w:rsid w:val="00E74F41"/>
    <w:rsid w:val="00E8760C"/>
    <w:rsid w:val="00ED7F5A"/>
    <w:rsid w:val="00F136DC"/>
    <w:rsid w:val="00F17374"/>
    <w:rsid w:val="00F55E4F"/>
    <w:rsid w:val="00F56034"/>
    <w:rsid w:val="00F832E9"/>
    <w:rsid w:val="00F851E0"/>
    <w:rsid w:val="00F91CE4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28</TotalTime>
  <Pages>4</Pages>
  <Words>678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2018-06-05T11:27:00Z</cp:lastPrinted>
  <dcterms:created xsi:type="dcterms:W3CDTF">2018-08-13T05:19:00Z</dcterms:created>
  <dcterms:modified xsi:type="dcterms:W3CDTF">2018-09-03T13:10:00Z</dcterms:modified>
</cp:coreProperties>
</file>