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A9" w:rsidRDefault="00E92BA9" w:rsidP="00950466">
      <w:pPr>
        <w:tabs>
          <w:tab w:val="left" w:pos="0"/>
          <w:tab w:val="left" w:pos="720"/>
        </w:tabs>
        <w:spacing w:line="360" w:lineRule="auto"/>
        <w:outlineLvl w:val="0"/>
      </w:pPr>
    </w:p>
    <w:p w:rsidR="00086D1D" w:rsidRDefault="00086D1D" w:rsidP="00086D1D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650080" w:rsidRDefault="00086D1D" w:rsidP="00E92BA9">
      <w:pPr>
        <w:tabs>
          <w:tab w:val="left" w:pos="360"/>
        </w:tabs>
        <w:jc w:val="center"/>
      </w:pPr>
      <w:r>
        <w:t xml:space="preserve">Dėl </w:t>
      </w:r>
      <w:r w:rsidR="001B3AAF" w:rsidRPr="00983B7F">
        <w:t>Molėtų rajono savivaldybės</w:t>
      </w:r>
      <w:r w:rsidR="001B3AAF">
        <w:t xml:space="preserve"> </w:t>
      </w:r>
      <w:r w:rsidR="000A2E9A">
        <w:t xml:space="preserve">viešame aukcione parduodamo </w:t>
      </w:r>
      <w:r>
        <w:t>nekilnojamojo turto ir kitų nekilno</w:t>
      </w:r>
      <w:r w:rsidR="000A2E9A">
        <w:t xml:space="preserve">jamųjų daiktų sąrašo </w:t>
      </w:r>
      <w:r w:rsidR="001B3AAF" w:rsidRPr="00983B7F">
        <w:t>pa</w:t>
      </w:r>
      <w:r w:rsidR="00E92BA9">
        <w:t>tvirtinimo</w:t>
      </w:r>
    </w:p>
    <w:p w:rsidR="00E92BA9" w:rsidRPr="00650080" w:rsidRDefault="00E92BA9" w:rsidP="00E92BA9">
      <w:pPr>
        <w:tabs>
          <w:tab w:val="left" w:pos="360"/>
        </w:tabs>
        <w:jc w:val="center"/>
      </w:pPr>
    </w:p>
    <w:p w:rsidR="00086D1D" w:rsidRPr="00187E03" w:rsidRDefault="00086D1D" w:rsidP="00187E03">
      <w:pPr>
        <w:pStyle w:val="Sraopastraipa"/>
        <w:numPr>
          <w:ilvl w:val="0"/>
          <w:numId w:val="4"/>
        </w:numPr>
        <w:tabs>
          <w:tab w:val="left" w:pos="360"/>
        </w:tabs>
        <w:spacing w:line="360" w:lineRule="auto"/>
        <w:rPr>
          <w:b/>
        </w:rPr>
      </w:pPr>
      <w:r w:rsidRPr="00187E03">
        <w:rPr>
          <w:b/>
        </w:rPr>
        <w:t>Parengto tarybos sprendimo projekto tikslai ir uždaviniai</w:t>
      </w:r>
    </w:p>
    <w:p w:rsidR="00E92BA9" w:rsidRDefault="00983B7F" w:rsidP="00650080">
      <w:pPr>
        <w:pStyle w:val="Pagrindinistekstas"/>
        <w:tabs>
          <w:tab w:val="left" w:pos="993"/>
        </w:tabs>
        <w:spacing w:line="360" w:lineRule="auto"/>
      </w:pPr>
      <w:r>
        <w:t xml:space="preserve">           </w:t>
      </w:r>
      <w:r w:rsidR="00650080">
        <w:t xml:space="preserve">Molėtų rajono savivaldybės administracija keičia </w:t>
      </w:r>
      <w:r w:rsidR="001B3AAF" w:rsidRPr="001B3AAF">
        <w:t>Molėtų rajono savivaldybės</w:t>
      </w:r>
      <w:r w:rsidR="001B3AAF">
        <w:t xml:space="preserve"> viešame aukcione parduodamo nekilnojamojo turto ir kitų nekilnojamųjų daiktų sąraš</w:t>
      </w:r>
      <w:r>
        <w:t>ą (toliau – sąrašas)</w:t>
      </w:r>
      <w:r w:rsidR="00650080">
        <w:t>, kadangi dalis sąraš</w:t>
      </w:r>
      <w:r w:rsidR="00130754">
        <w:t xml:space="preserve">e </w:t>
      </w:r>
      <w:r w:rsidR="007E5CD4">
        <w:t xml:space="preserve">esančių </w:t>
      </w:r>
      <w:r w:rsidR="00A97CA1">
        <w:t>pastatų</w:t>
      </w:r>
      <w:r w:rsidR="007E5CD4">
        <w:t xml:space="preserve"> yra parduota</w:t>
      </w:r>
      <w:r w:rsidR="00151725">
        <w:t>.</w:t>
      </w:r>
      <w:r w:rsidR="007E5CD4">
        <w:t xml:space="preserve"> </w:t>
      </w:r>
      <w:r w:rsidR="00151725">
        <w:t>Ū</w:t>
      </w:r>
      <w:r w:rsidR="00A224AD">
        <w:t>kinio pastato</w:t>
      </w:r>
      <w:r w:rsidR="006E109E">
        <w:t>,</w:t>
      </w:r>
      <w:r w:rsidR="00A224AD">
        <w:t xml:space="preserve"> </w:t>
      </w:r>
      <w:r w:rsidR="00151725">
        <w:t xml:space="preserve">esančio </w:t>
      </w:r>
      <w:r w:rsidR="00A224AD">
        <w:t>Inturkės g. 49B, Molėtų m.</w:t>
      </w:r>
      <w:r w:rsidR="006E109E">
        <w:t>,</w:t>
      </w:r>
      <w:r w:rsidR="00115B2B">
        <w:t xml:space="preserve"> dalis </w:t>
      </w:r>
      <w:r w:rsidR="00A224AD">
        <w:t xml:space="preserve">B4, B5, B6, </w:t>
      </w:r>
      <w:r w:rsidR="00151725">
        <w:t xml:space="preserve">ir </w:t>
      </w:r>
      <w:r w:rsidR="00A224AD">
        <w:t>ūkinio pastato</w:t>
      </w:r>
      <w:r w:rsidR="006E109E">
        <w:t>,</w:t>
      </w:r>
      <w:r w:rsidR="00A224AD">
        <w:t xml:space="preserve"> </w:t>
      </w:r>
      <w:r w:rsidR="00151725">
        <w:t xml:space="preserve">esančio </w:t>
      </w:r>
      <w:r w:rsidR="00A224AD">
        <w:t>J. Janonio g. 8A, Molėtų m.</w:t>
      </w:r>
      <w:r w:rsidR="006E109E">
        <w:t>,</w:t>
      </w:r>
      <w:r w:rsidR="00A224AD">
        <w:t xml:space="preserve"> dalis B1, B2, B3, B4 </w:t>
      </w:r>
      <w:r w:rsidR="007E5CD4">
        <w:t xml:space="preserve">nuspręsta </w:t>
      </w:r>
      <w:r w:rsidR="00151725">
        <w:t>išbraukti</w:t>
      </w:r>
      <w:r w:rsidR="007E5CD4">
        <w:t xml:space="preserve"> iš sąrašo</w:t>
      </w:r>
      <w:r w:rsidR="00151725">
        <w:t>.</w:t>
      </w:r>
      <w:r w:rsidR="007E5CD4">
        <w:t xml:space="preserve"> </w:t>
      </w:r>
      <w:r w:rsidR="00151725">
        <w:t>Sąrašas papildomas</w:t>
      </w:r>
      <w:r w:rsidRPr="00A97CA1">
        <w:t xml:space="preserve"> </w:t>
      </w:r>
      <w:r w:rsidR="00115B2B">
        <w:t>5</w:t>
      </w:r>
      <w:r w:rsidR="007E5CD4" w:rsidRPr="00A97CA1">
        <w:t xml:space="preserve"> </w:t>
      </w:r>
      <w:r w:rsidR="00151725">
        <w:t xml:space="preserve">naujais </w:t>
      </w:r>
      <w:r w:rsidR="00583BB5">
        <w:t>objektais</w:t>
      </w:r>
      <w:r w:rsidR="00151725">
        <w:t>.</w:t>
      </w:r>
      <w:r w:rsidR="00650080">
        <w:t xml:space="preserve"> </w:t>
      </w:r>
    </w:p>
    <w:p w:rsidR="00650080" w:rsidRDefault="00E92BA9" w:rsidP="00E92BA9">
      <w:pPr>
        <w:pStyle w:val="Pagrindinistekstas"/>
        <w:tabs>
          <w:tab w:val="left" w:pos="993"/>
        </w:tabs>
        <w:spacing w:line="360" w:lineRule="auto"/>
        <w:ind w:firstLine="709"/>
      </w:pPr>
      <w:r>
        <w:t>S</w:t>
      </w:r>
      <w:r w:rsidR="00650080">
        <w:t>ąraš</w:t>
      </w:r>
      <w:r>
        <w:t>o pakeitimai</w:t>
      </w:r>
      <w:r w:rsidR="00650080">
        <w:t>:</w:t>
      </w:r>
    </w:p>
    <w:p w:rsidR="000A2E9A" w:rsidRDefault="00E6039C" w:rsidP="00E6039C">
      <w:pPr>
        <w:pStyle w:val="Pagrindinistekstas"/>
        <w:numPr>
          <w:ilvl w:val="1"/>
          <w:numId w:val="3"/>
        </w:numPr>
        <w:tabs>
          <w:tab w:val="left" w:pos="993"/>
        </w:tabs>
        <w:spacing w:line="360" w:lineRule="auto"/>
      </w:pPr>
      <w:r>
        <w:t xml:space="preserve"> </w:t>
      </w:r>
      <w:r w:rsidR="00650080">
        <w:t>I</w:t>
      </w:r>
      <w:r w:rsidR="000A2E9A">
        <w:t>šbrauk</w:t>
      </w:r>
      <w:r w:rsidR="00983B7F">
        <w:t>tas</w:t>
      </w:r>
      <w:r w:rsidR="000A2E9A">
        <w:t xml:space="preserve"> </w:t>
      </w:r>
      <w:r w:rsidR="00650080">
        <w:t>n</w:t>
      </w:r>
      <w:r w:rsidR="000A2E9A">
        <w:t>ekilnojam</w:t>
      </w:r>
      <w:r w:rsidR="00983B7F">
        <w:t>asis</w:t>
      </w:r>
      <w:r w:rsidR="000A2E9A">
        <w:t xml:space="preserve"> turt</w:t>
      </w:r>
      <w:r w:rsidR="00983B7F">
        <w:t>as</w:t>
      </w:r>
      <w:r w:rsidR="000A2E9A">
        <w:t>, parduot</w:t>
      </w:r>
      <w:r w:rsidR="00983B7F">
        <w:t>as</w:t>
      </w:r>
      <w:r w:rsidR="000A2E9A">
        <w:t xml:space="preserve"> viešame aukcione:</w:t>
      </w:r>
    </w:p>
    <w:tbl>
      <w:tblPr>
        <w:tblW w:w="964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843"/>
        <w:gridCol w:w="1134"/>
        <w:gridCol w:w="1276"/>
        <w:gridCol w:w="2126"/>
      </w:tblGrid>
      <w:tr w:rsidR="0025282E" w:rsidTr="00E92986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82E" w:rsidRDefault="0025282E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82E" w:rsidRDefault="0025282E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82E" w:rsidRDefault="0025282E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E" w:rsidRDefault="0025282E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E" w:rsidRDefault="0025282E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>
              <w:rPr>
                <w:bCs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2E" w:rsidRDefault="0025282E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981478" w:rsidTr="00E9298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1478" w:rsidRDefault="00981478" w:rsidP="00981478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1.1.1</w:t>
            </w:r>
            <w:r w:rsidR="00E92986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78" w:rsidRPr="00383EA1" w:rsidRDefault="00981478" w:rsidP="00981478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Pastatas – mokykla</w:t>
            </w:r>
          </w:p>
          <w:p w:rsidR="00981478" w:rsidRPr="00383EA1" w:rsidRDefault="00981478" w:rsidP="00981478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Kiti statiniai – tualetas</w:t>
            </w:r>
          </w:p>
          <w:p w:rsidR="00981478" w:rsidRPr="00383EA1" w:rsidRDefault="00981478" w:rsidP="00981478">
            <w:pPr>
              <w:ind w:right="-108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Žemės sklypas – 1,2304 ha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78" w:rsidRPr="00383EA1" w:rsidRDefault="00981478" w:rsidP="00981478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6296-7001-9016</w:t>
            </w:r>
          </w:p>
          <w:p w:rsidR="00981478" w:rsidRPr="00383EA1" w:rsidRDefault="00981478" w:rsidP="00981478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6296-7001-9027</w:t>
            </w:r>
          </w:p>
          <w:p w:rsidR="00981478" w:rsidRPr="00383EA1" w:rsidRDefault="00981478" w:rsidP="00981478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4400-2118-9266</w:t>
            </w:r>
          </w:p>
          <w:p w:rsidR="00981478" w:rsidRPr="00383EA1" w:rsidRDefault="00981478" w:rsidP="0098147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78" w:rsidRPr="00383EA1" w:rsidRDefault="00981478" w:rsidP="00981478">
            <w:pPr>
              <w:ind w:right="176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700,63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8" w:rsidRPr="00383EA1" w:rsidRDefault="00981478" w:rsidP="00981478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16402,17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478" w:rsidRPr="00383EA1" w:rsidRDefault="00981478" w:rsidP="00981478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Balninkų sen., Dapkūniškių k., Dvaro g. 3</w:t>
            </w:r>
          </w:p>
        </w:tc>
      </w:tr>
      <w:tr w:rsidR="005F1CAD" w:rsidTr="00E9298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CAD" w:rsidRDefault="005F1CAD" w:rsidP="005F1CAD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1.1.2</w:t>
            </w:r>
            <w:r w:rsidR="00E92986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1CAD" w:rsidRPr="00383EA1" w:rsidRDefault="005F1CAD" w:rsidP="005F1CAD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Pastatas - skerdykla </w:t>
            </w:r>
          </w:p>
          <w:p w:rsidR="005F1CAD" w:rsidRPr="00383EA1" w:rsidRDefault="005F1CAD" w:rsidP="005F1CAD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Žemės sklypas - </w:t>
            </w:r>
            <w:smartTag w:uri="urn:schemas-microsoft-com:office:smarttags" w:element="metricconverter">
              <w:smartTagPr>
                <w:attr w:name="ProductID" w:val="0,0116 ha"/>
              </w:smartTagPr>
              <w:r w:rsidRPr="00383EA1">
                <w:rPr>
                  <w:bCs/>
                  <w:color w:val="000000"/>
                  <w:lang w:eastAsia="lt-LT"/>
                </w:rPr>
                <w:t>0,0116 ha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1CAD" w:rsidRPr="00383EA1" w:rsidRDefault="005F1CAD" w:rsidP="005F1CAD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4400-2621-9570</w:t>
            </w:r>
          </w:p>
          <w:p w:rsidR="005F1CAD" w:rsidRPr="00383EA1" w:rsidRDefault="005F1CAD" w:rsidP="005F1CAD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4400-2965-7970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1CAD" w:rsidRPr="00383EA1" w:rsidRDefault="005F1CAD" w:rsidP="005F1CAD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CAD" w:rsidRPr="00383EA1" w:rsidRDefault="005F1CAD" w:rsidP="005F1CAD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377,89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1CAD" w:rsidRPr="00383EA1" w:rsidRDefault="005F1CAD" w:rsidP="005F1CAD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Balninkų sen., Balninkų mstl., Beržyno g. 6A</w:t>
            </w:r>
          </w:p>
        </w:tc>
      </w:tr>
      <w:tr w:rsidR="00743DE9" w:rsidTr="00E9298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DE9" w:rsidRDefault="00743DE9" w:rsidP="00743DE9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1.1.3</w:t>
            </w:r>
            <w:r w:rsidR="00E92986">
              <w:rPr>
                <w:bCs/>
                <w:lang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DE9" w:rsidRPr="00383EA1" w:rsidRDefault="00743DE9" w:rsidP="00743DE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 mokomosios dirbtuvės</w:t>
            </w:r>
          </w:p>
          <w:p w:rsidR="00743DE9" w:rsidRPr="00383EA1" w:rsidRDefault="00743DE9" w:rsidP="00743DE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Pastatas-  sandėlis</w:t>
            </w:r>
          </w:p>
          <w:p w:rsidR="00743DE9" w:rsidRPr="00383EA1" w:rsidRDefault="00743DE9" w:rsidP="00743DE9">
            <w:pPr>
              <w:rPr>
                <w:color w:val="000000"/>
                <w:lang w:eastAsia="lt-LT"/>
              </w:rPr>
            </w:pPr>
            <w:r>
              <w:t>Žemės sklypas – 0,1141 ha</w:t>
            </w:r>
            <w:r w:rsidRPr="00383EA1">
              <w:t xml:space="preserve">  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DE9" w:rsidRPr="00383EA1" w:rsidRDefault="00743DE9" w:rsidP="00743DE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6295-4005-4028</w:t>
            </w:r>
          </w:p>
          <w:p w:rsidR="00743DE9" w:rsidRPr="00383EA1" w:rsidRDefault="00743DE9" w:rsidP="00743DE9">
            <w:pPr>
              <w:rPr>
                <w:color w:val="000000"/>
                <w:lang w:eastAsia="lt-LT"/>
              </w:rPr>
            </w:pPr>
          </w:p>
          <w:p w:rsidR="00743DE9" w:rsidRPr="00383EA1" w:rsidRDefault="00743DE9" w:rsidP="00743DE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6295-4005-4052</w:t>
            </w:r>
          </w:p>
          <w:p w:rsidR="00743DE9" w:rsidRPr="00383EA1" w:rsidRDefault="00743DE9" w:rsidP="00743DE9">
            <w:r w:rsidRPr="00383EA1">
              <w:t>4400-4512-9886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DE9" w:rsidRPr="00383EA1" w:rsidRDefault="00743DE9" w:rsidP="00743DE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97,61</w:t>
            </w:r>
          </w:p>
          <w:p w:rsidR="00743DE9" w:rsidRPr="00383EA1" w:rsidRDefault="00743DE9" w:rsidP="00743DE9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743DE9" w:rsidRPr="00383EA1" w:rsidRDefault="00743DE9" w:rsidP="00743DE9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743DE9" w:rsidRPr="00383EA1" w:rsidRDefault="00743DE9" w:rsidP="00743DE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Pr="00383EA1" w:rsidRDefault="00743DE9" w:rsidP="00743DE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</w:t>
            </w:r>
            <w:r w:rsidR="00056483">
              <w:rPr>
                <w:color w:val="000000"/>
                <w:lang w:eastAsia="lt-LT"/>
              </w:rPr>
              <w:t>,00</w:t>
            </w:r>
          </w:p>
          <w:p w:rsidR="00743DE9" w:rsidRPr="00383EA1" w:rsidRDefault="00743DE9" w:rsidP="00743DE9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743DE9" w:rsidRPr="00383EA1" w:rsidRDefault="00743DE9" w:rsidP="00743DE9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743DE9" w:rsidRPr="00383EA1" w:rsidRDefault="00743DE9" w:rsidP="00743DE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</w:t>
            </w:r>
            <w:r w:rsidR="00056483">
              <w:rPr>
                <w:color w:val="000000"/>
                <w:lang w:eastAsia="lt-LT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DE9" w:rsidRPr="00383EA1" w:rsidRDefault="00743DE9" w:rsidP="00743DE9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Inturkės sen., Inturkės k., Bažnyčios g. 12B</w:t>
            </w:r>
          </w:p>
        </w:tc>
      </w:tr>
      <w:tr w:rsidR="00107EA6" w:rsidTr="00E9298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EA6" w:rsidRDefault="00E92986" w:rsidP="00107EA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A6" w:rsidRPr="00383EA1" w:rsidRDefault="00107EA6" w:rsidP="00107EA6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Pastatas – gyvenamasis namas</w:t>
            </w:r>
          </w:p>
          <w:p w:rsidR="00107EA6" w:rsidRPr="00383EA1" w:rsidRDefault="00107EA6" w:rsidP="00107EA6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Sandėlis</w:t>
            </w:r>
          </w:p>
          <w:p w:rsidR="00107EA6" w:rsidRPr="00383EA1" w:rsidRDefault="00107EA6" w:rsidP="00107EA6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1/1 kiemo statinių (tualetas, šulinys)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A6" w:rsidRPr="00383EA1" w:rsidRDefault="00107EA6" w:rsidP="00107EA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6294-0013-7014</w:t>
            </w:r>
          </w:p>
          <w:p w:rsidR="00107EA6" w:rsidRPr="00383EA1" w:rsidRDefault="00107EA6" w:rsidP="00107EA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107EA6" w:rsidRPr="00383EA1" w:rsidRDefault="00107EA6" w:rsidP="0095046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6294-0013-7025</w:t>
            </w:r>
          </w:p>
          <w:p w:rsidR="00107EA6" w:rsidRPr="00383EA1" w:rsidRDefault="00107EA6" w:rsidP="00107EA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6294-0013-7036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A6" w:rsidRPr="00383EA1" w:rsidRDefault="00107EA6" w:rsidP="00107EA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55,23</w:t>
            </w:r>
          </w:p>
          <w:p w:rsidR="00107EA6" w:rsidRPr="00383EA1" w:rsidRDefault="00107EA6" w:rsidP="00107EA6">
            <w:pPr>
              <w:spacing w:line="252" w:lineRule="auto"/>
              <w:jc w:val="center"/>
              <w:rPr>
                <w:lang w:eastAsia="lt-LT"/>
              </w:rPr>
            </w:pPr>
          </w:p>
          <w:p w:rsidR="00107EA6" w:rsidRPr="00383EA1" w:rsidRDefault="00107EA6" w:rsidP="00107EA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8,17</w:t>
            </w:r>
          </w:p>
          <w:p w:rsidR="00107EA6" w:rsidRPr="00383EA1" w:rsidRDefault="00107EA6" w:rsidP="00107EA6">
            <w:pPr>
              <w:spacing w:line="252" w:lineRule="auto"/>
              <w:jc w:val="center"/>
              <w:rPr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6" w:rsidRPr="00383EA1" w:rsidRDefault="00107EA6" w:rsidP="00107EA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0,00</w:t>
            </w:r>
          </w:p>
          <w:p w:rsidR="00107EA6" w:rsidRPr="00383EA1" w:rsidRDefault="00107EA6" w:rsidP="00107EA6">
            <w:pPr>
              <w:spacing w:line="252" w:lineRule="auto"/>
              <w:jc w:val="center"/>
              <w:rPr>
                <w:lang w:eastAsia="lt-LT"/>
              </w:rPr>
            </w:pPr>
          </w:p>
          <w:p w:rsidR="00107EA6" w:rsidRPr="00383EA1" w:rsidRDefault="00107EA6" w:rsidP="00107EA6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0,00</w:t>
            </w:r>
          </w:p>
          <w:p w:rsidR="00107EA6" w:rsidRPr="00383EA1" w:rsidRDefault="00107EA6" w:rsidP="00107EA6">
            <w:pPr>
              <w:spacing w:line="252" w:lineRule="auto"/>
              <w:jc w:val="center"/>
              <w:rPr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EA6" w:rsidRPr="00383EA1" w:rsidRDefault="00107EA6" w:rsidP="00107EA6">
            <w:pPr>
              <w:spacing w:line="252" w:lineRule="auto"/>
              <w:rPr>
                <w:bCs/>
                <w:lang w:eastAsia="lt-LT"/>
              </w:rPr>
            </w:pPr>
            <w:r w:rsidRPr="00383EA1">
              <w:t xml:space="preserve">Molėtų r. sav., Alantos sen., </w:t>
            </w:r>
            <w:proofErr w:type="spellStart"/>
            <w:r w:rsidRPr="00383EA1">
              <w:t>Pasuojės</w:t>
            </w:r>
            <w:proofErr w:type="spellEnd"/>
            <w:r w:rsidRPr="00383EA1">
              <w:t xml:space="preserve"> k. 2</w:t>
            </w:r>
          </w:p>
        </w:tc>
      </w:tr>
      <w:tr w:rsidR="0089225B" w:rsidTr="00E9298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25B" w:rsidRDefault="0089225B" w:rsidP="0089225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5B" w:rsidRPr="00383EA1" w:rsidRDefault="0089225B" w:rsidP="0089225B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– gyvenamasis namas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5B" w:rsidRPr="00383EA1" w:rsidRDefault="0089225B" w:rsidP="0089225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6299-5003-3016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5B" w:rsidRPr="00383EA1" w:rsidRDefault="0089225B" w:rsidP="0089225B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115,35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5B" w:rsidRPr="00383EA1" w:rsidRDefault="0089225B" w:rsidP="0089225B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25B" w:rsidRPr="00383EA1" w:rsidRDefault="0089225B" w:rsidP="0089225B">
            <w:pPr>
              <w:spacing w:line="252" w:lineRule="auto"/>
            </w:pPr>
            <w:r>
              <w:t>Molėtų r. sav., Balninkų sen., Balninkų mstl., Beržyno g. 20</w:t>
            </w:r>
          </w:p>
        </w:tc>
      </w:tr>
    </w:tbl>
    <w:p w:rsidR="00650080" w:rsidRDefault="00650080" w:rsidP="000A2E9A">
      <w:pPr>
        <w:pStyle w:val="Pagrindinistekstas"/>
        <w:tabs>
          <w:tab w:val="left" w:pos="720"/>
          <w:tab w:val="left" w:pos="1134"/>
        </w:tabs>
        <w:spacing w:line="360" w:lineRule="auto"/>
      </w:pPr>
    </w:p>
    <w:p w:rsidR="007E5CD4" w:rsidRDefault="000A016D" w:rsidP="000A016D">
      <w:pPr>
        <w:pStyle w:val="Pagrindinistekstas"/>
        <w:numPr>
          <w:ilvl w:val="1"/>
          <w:numId w:val="3"/>
        </w:numPr>
        <w:tabs>
          <w:tab w:val="left" w:pos="993"/>
        </w:tabs>
        <w:spacing w:line="360" w:lineRule="auto"/>
      </w:pPr>
      <w:r>
        <w:t xml:space="preserve"> </w:t>
      </w:r>
      <w:r w:rsidR="00A224AD">
        <w:t>Ū</w:t>
      </w:r>
      <w:r w:rsidR="007E5CD4">
        <w:t>kini</w:t>
      </w:r>
      <w:r w:rsidR="00A224AD">
        <w:t>o</w:t>
      </w:r>
      <w:r w:rsidR="007E5CD4">
        <w:t xml:space="preserve"> pastat</w:t>
      </w:r>
      <w:r w:rsidR="00A224AD">
        <w:t xml:space="preserve">o </w:t>
      </w:r>
      <w:r w:rsidR="006E109E">
        <w:t>dalys</w:t>
      </w:r>
      <w:r w:rsidR="007E5CD4">
        <w:t>, kuriems ruošiami mainų sandoriai:</w:t>
      </w:r>
    </w:p>
    <w:tbl>
      <w:tblPr>
        <w:tblW w:w="968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845"/>
        <w:gridCol w:w="1133"/>
        <w:gridCol w:w="1179"/>
        <w:gridCol w:w="2270"/>
      </w:tblGrid>
      <w:tr w:rsidR="007E5CD4" w:rsidTr="007E5CD4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D4" w:rsidRDefault="007E5CD4" w:rsidP="00F109E2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CD4" w:rsidRDefault="007E5CD4" w:rsidP="00F109E2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D4" w:rsidRDefault="007E5CD4" w:rsidP="00F109E2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CD4" w:rsidRDefault="007E5CD4" w:rsidP="00F109E2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D4" w:rsidRDefault="007E5CD4" w:rsidP="00F109E2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>
              <w:rPr>
                <w:bCs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CD4" w:rsidRDefault="007E5CD4" w:rsidP="00F109E2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950466" w:rsidRPr="0065623F" w:rsidTr="007E5CD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466" w:rsidRPr="0065623F" w:rsidRDefault="00950466" w:rsidP="0095046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 ūkinis pastatas B4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4400-2691-1440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13,87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Inturkės g. 49</w:t>
            </w:r>
            <w:r>
              <w:rPr>
                <w:bCs/>
                <w:color w:val="000000"/>
                <w:lang w:eastAsia="lt-LT"/>
              </w:rPr>
              <w:t>B</w:t>
            </w:r>
          </w:p>
        </w:tc>
      </w:tr>
      <w:tr w:rsidR="00950466" w:rsidRPr="0065623F" w:rsidTr="007E5CD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466" w:rsidRPr="0065623F" w:rsidRDefault="00950466" w:rsidP="0095046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 ūkinis pastatas B5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4400-2691-1440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6,45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Inturkės g. 49</w:t>
            </w:r>
            <w:r>
              <w:rPr>
                <w:bCs/>
                <w:color w:val="000000"/>
                <w:lang w:eastAsia="lt-LT"/>
              </w:rPr>
              <w:t>B</w:t>
            </w:r>
          </w:p>
        </w:tc>
      </w:tr>
      <w:tr w:rsidR="00950466" w:rsidRPr="0065623F" w:rsidTr="007E5CD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466" w:rsidRPr="0065623F" w:rsidRDefault="00950466" w:rsidP="0095046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1.2.3.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 ūkinis pastatas B6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4400-2691-1440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6,45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Inturkės g. 49</w:t>
            </w:r>
            <w:r>
              <w:rPr>
                <w:bCs/>
                <w:color w:val="000000"/>
                <w:lang w:eastAsia="lt-LT"/>
              </w:rPr>
              <w:t>B</w:t>
            </w:r>
          </w:p>
        </w:tc>
      </w:tr>
      <w:tr w:rsidR="00950466" w:rsidRPr="0065623F" w:rsidTr="007E5CD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466" w:rsidRPr="0065623F" w:rsidRDefault="00950466" w:rsidP="0095046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 ūkinis pastatas B1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6,63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J. Janonio g. 8</w:t>
            </w:r>
            <w:r>
              <w:rPr>
                <w:bCs/>
                <w:color w:val="000000"/>
                <w:lang w:eastAsia="lt-LT"/>
              </w:rPr>
              <w:t>A</w:t>
            </w:r>
          </w:p>
        </w:tc>
      </w:tr>
      <w:tr w:rsidR="00950466" w:rsidRPr="0065623F" w:rsidTr="007E5CD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466" w:rsidRPr="0065623F" w:rsidRDefault="00950466" w:rsidP="0095046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 ūkinis pastatas B2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6,37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J. Janonio g. 8</w:t>
            </w:r>
            <w:r>
              <w:rPr>
                <w:bCs/>
                <w:color w:val="000000"/>
                <w:lang w:eastAsia="lt-LT"/>
              </w:rPr>
              <w:t>A</w:t>
            </w:r>
          </w:p>
        </w:tc>
      </w:tr>
      <w:tr w:rsidR="00950466" w:rsidRPr="0065623F" w:rsidTr="007E5CD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466" w:rsidRDefault="00950466" w:rsidP="0095046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 ūkinis pastatas B3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6,60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J. Janonio g. 8</w:t>
            </w:r>
            <w:r>
              <w:rPr>
                <w:bCs/>
                <w:color w:val="000000"/>
                <w:lang w:eastAsia="lt-LT"/>
              </w:rPr>
              <w:t>A</w:t>
            </w:r>
          </w:p>
        </w:tc>
      </w:tr>
      <w:tr w:rsidR="00950466" w:rsidRPr="0065623F" w:rsidTr="007E5CD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466" w:rsidRDefault="00950466" w:rsidP="00950466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 ūkinis pastatas B4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6,45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0,98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466" w:rsidRPr="00383EA1" w:rsidRDefault="00950466" w:rsidP="00950466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J. Janonio g. 8</w:t>
            </w:r>
            <w:r>
              <w:rPr>
                <w:bCs/>
                <w:color w:val="000000"/>
                <w:lang w:eastAsia="lt-LT"/>
              </w:rPr>
              <w:t>A</w:t>
            </w:r>
          </w:p>
        </w:tc>
      </w:tr>
    </w:tbl>
    <w:p w:rsidR="00115B2B" w:rsidRDefault="00115B2B" w:rsidP="00950466">
      <w:pPr>
        <w:pStyle w:val="Pagrindinistekstas"/>
        <w:tabs>
          <w:tab w:val="left" w:pos="993"/>
        </w:tabs>
        <w:spacing w:line="360" w:lineRule="auto"/>
      </w:pPr>
    </w:p>
    <w:p w:rsidR="0093437E" w:rsidRDefault="0093437E" w:rsidP="00115B2B">
      <w:pPr>
        <w:pStyle w:val="Pagrindinistekstas"/>
        <w:tabs>
          <w:tab w:val="left" w:pos="993"/>
        </w:tabs>
        <w:spacing w:line="360" w:lineRule="auto"/>
        <w:ind w:firstLine="709"/>
      </w:pPr>
      <w:bookmarkStart w:id="0" w:name="_GoBack"/>
      <w:bookmarkEnd w:id="0"/>
      <w:r>
        <w:t>Ūkiniai pastatai</w:t>
      </w:r>
      <w:r w:rsidR="00146A4E">
        <w:t xml:space="preserve"> išbraukiami, nes jie nereikalingi savivaldybės veiklai ir </w:t>
      </w:r>
      <w:r w:rsidR="005E6376">
        <w:t>A</w:t>
      </w:r>
      <w:r w:rsidR="00146A4E">
        <w:t>dministracija</w:t>
      </w:r>
      <w:r>
        <w:t xml:space="preserve"> kreipiasi į Molėtų rajono savivaldybės tarybą </w:t>
      </w:r>
      <w:r w:rsidR="00146A4E">
        <w:t>dėl nurodytų ūkinių</w:t>
      </w:r>
      <w:r w:rsidR="0072453E">
        <w:t xml:space="preserve"> pastat</w:t>
      </w:r>
      <w:r w:rsidR="00146A4E">
        <w:t>ų mainų sandorių sudarymo</w:t>
      </w:r>
      <w:r>
        <w:t xml:space="preserve"> su Molėtų miesto gyventojais. Priežastis – tuose pačiuose ū</w:t>
      </w:r>
      <w:r w:rsidR="006E109E">
        <w:t>kinių pastatų blok</w:t>
      </w:r>
      <w:r>
        <w:t>uose</w:t>
      </w:r>
      <w:r w:rsidR="006E109E">
        <w:t>, adresu Inturkės g. 49B, Molėtų m. ir J. Janonio g. 8A, Molėtų m., atskiros dalys</w:t>
      </w:r>
      <w:r>
        <w:t xml:space="preserve"> (7 ūkiniai pastatai) priklauso Molėtų miesto gyventojams, tačiau </w:t>
      </w:r>
      <w:r w:rsidR="006E109E">
        <w:t>dėl suirusių arba pradėtų ardyti konstrukcijų</w:t>
      </w:r>
      <w:r>
        <w:t xml:space="preserve"> ūkinių pastatų dalys</w:t>
      </w:r>
      <w:r w:rsidR="006E109E">
        <w:t xml:space="preserve"> kelią grėsmę aplinkai, statinių naudotojams</w:t>
      </w:r>
      <w:r>
        <w:t>, kurie neturi galimybių jų atstatyti</w:t>
      </w:r>
      <w:r w:rsidR="006E109E">
        <w:t xml:space="preserve">. </w:t>
      </w:r>
      <w:r w:rsidR="005E6376">
        <w:t>Statinių konstrukcijos nesaugios</w:t>
      </w:r>
      <w:r w:rsidR="006E109E">
        <w:t xml:space="preserve"> ir greta esančių daugiabučių gyventojams, </w:t>
      </w:r>
      <w:r>
        <w:t xml:space="preserve">darko miesto </w:t>
      </w:r>
      <w:r w:rsidR="00115B2B">
        <w:t>aplinką</w:t>
      </w:r>
      <w:r w:rsidR="006E109E">
        <w:t>.</w:t>
      </w:r>
      <w:r>
        <w:t xml:space="preserve"> </w:t>
      </w:r>
      <w:r w:rsidR="006E109E">
        <w:t xml:space="preserve"> </w:t>
      </w:r>
    </w:p>
    <w:p w:rsidR="000A2E9A" w:rsidRDefault="007E5CD4" w:rsidP="000A016D">
      <w:pPr>
        <w:pStyle w:val="Pagrindinistekstas"/>
        <w:numPr>
          <w:ilvl w:val="1"/>
          <w:numId w:val="3"/>
        </w:numPr>
        <w:tabs>
          <w:tab w:val="left" w:pos="993"/>
        </w:tabs>
        <w:spacing w:line="360" w:lineRule="auto"/>
      </w:pPr>
      <w:r>
        <w:t>N</w:t>
      </w:r>
      <w:r w:rsidR="00E92BA9">
        <w:t xml:space="preserve">aujai įrašyti nekilnojamieji daiktai: </w:t>
      </w:r>
    </w:p>
    <w:tbl>
      <w:tblPr>
        <w:tblW w:w="968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845"/>
        <w:gridCol w:w="1133"/>
        <w:gridCol w:w="1179"/>
        <w:gridCol w:w="2270"/>
      </w:tblGrid>
      <w:tr w:rsidR="000A2E9A" w:rsidTr="001D7D23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>
              <w:rPr>
                <w:bCs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1D7D23" w:rsidTr="001D7D23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D23" w:rsidRPr="0065623F" w:rsidRDefault="001D7D23" w:rsidP="001D7D23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1.3.1.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valgykla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4400-0434-4681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174,09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3" w:rsidRDefault="00DD4EC2" w:rsidP="001D7D23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7093,10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2" w:lineRule="auto"/>
            </w:pPr>
            <w:r>
              <w:t xml:space="preserve">Molėtų r. sav., Inturkės sen., </w:t>
            </w:r>
            <w:proofErr w:type="spellStart"/>
            <w:r>
              <w:t>Kuolakasių</w:t>
            </w:r>
            <w:proofErr w:type="spellEnd"/>
            <w:r>
              <w:t xml:space="preserve"> k. 1A</w:t>
            </w:r>
          </w:p>
        </w:tc>
      </w:tr>
      <w:tr w:rsidR="001D7D23" w:rsidTr="001D7D23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D23" w:rsidRPr="0065623F" w:rsidRDefault="001D7D23" w:rsidP="001D7D23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1.3.2.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EC2EA3" w:rsidP="00EC2EA3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56/100 dalis p</w:t>
            </w:r>
            <w:r w:rsidR="001D7D23">
              <w:rPr>
                <w:bCs/>
                <w:lang w:eastAsia="lt-LT"/>
              </w:rPr>
              <w:t>astat</w:t>
            </w:r>
            <w:r>
              <w:rPr>
                <w:bCs/>
                <w:lang w:eastAsia="lt-LT"/>
              </w:rPr>
              <w:t>o- bendrabučio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CC2565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6293-00</w:t>
            </w:r>
            <w:r w:rsidR="00CC2565">
              <w:rPr>
                <w:bCs/>
                <w:lang w:eastAsia="lt-LT"/>
              </w:rPr>
              <w:t>0</w:t>
            </w:r>
            <w:r>
              <w:rPr>
                <w:bCs/>
                <w:lang w:eastAsia="lt-LT"/>
              </w:rPr>
              <w:t>8-8016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EC2EA3" w:rsidP="00DD4EC2">
            <w:pPr>
              <w:spacing w:line="252" w:lineRule="auto"/>
              <w:jc w:val="center"/>
              <w:rPr>
                <w:color w:val="FF0000"/>
                <w:lang w:val="en-US" w:eastAsia="lt-LT"/>
              </w:rPr>
            </w:pPr>
            <w:r w:rsidRPr="00DD4EC2">
              <w:rPr>
                <w:lang w:eastAsia="lt-LT"/>
              </w:rPr>
              <w:t>177,</w:t>
            </w:r>
            <w:r w:rsidR="00DD4EC2" w:rsidRPr="00DD4EC2">
              <w:rPr>
                <w:lang w:eastAsia="lt-LT"/>
              </w:rPr>
              <w:t>27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3" w:rsidRDefault="00DD4EC2" w:rsidP="001D7D23">
            <w:pPr>
              <w:spacing w:line="252" w:lineRule="auto"/>
              <w:jc w:val="center"/>
              <w:rPr>
                <w:color w:val="FF0000"/>
                <w:lang w:eastAsia="lt-LT"/>
              </w:rPr>
            </w:pPr>
            <w:r w:rsidRPr="00D83A5A">
              <w:rPr>
                <w:lang w:eastAsia="lt-LT"/>
              </w:rP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2" w:lineRule="auto"/>
            </w:pPr>
            <w:r>
              <w:t xml:space="preserve">Molėtų r. sav., Dubingių sen., </w:t>
            </w:r>
            <w:proofErr w:type="spellStart"/>
            <w:r>
              <w:t>Bijutiškio</w:t>
            </w:r>
            <w:proofErr w:type="spellEnd"/>
            <w:r>
              <w:t xml:space="preserve"> k., Liepų g. 11</w:t>
            </w:r>
          </w:p>
        </w:tc>
      </w:tr>
      <w:tr w:rsidR="001D7D23" w:rsidTr="001D7D23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D23" w:rsidRPr="0065623F" w:rsidRDefault="001D7D23" w:rsidP="001D7D23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1.3.3.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– sandėlis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4400-4929-5645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6" w:lineRule="auto"/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114,00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3" w:rsidRDefault="00DD4EC2" w:rsidP="001D7D23">
            <w:pPr>
              <w:spacing w:line="256" w:lineRule="auto"/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437,51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056483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Balninkai, Beržyno g. 13</w:t>
            </w:r>
          </w:p>
        </w:tc>
      </w:tr>
      <w:tr w:rsidR="001D7D23" w:rsidTr="00825B5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D23" w:rsidRPr="0065623F" w:rsidRDefault="001D7D23" w:rsidP="001D7D23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1.3.4.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23" w:rsidRPr="00825B5D" w:rsidRDefault="00DD4EC2" w:rsidP="001D7D23">
            <w:pPr>
              <w:spacing w:line="252" w:lineRule="auto"/>
              <w:rPr>
                <w:bCs/>
                <w:lang w:eastAsia="lt-LT"/>
              </w:rPr>
            </w:pPr>
            <w:r w:rsidRPr="00825B5D">
              <w:rPr>
                <w:bCs/>
                <w:lang w:eastAsia="lt-LT"/>
              </w:rPr>
              <w:t>Pastatas</w:t>
            </w:r>
            <w:r w:rsidR="001D7D23" w:rsidRPr="00825B5D">
              <w:rPr>
                <w:bCs/>
                <w:lang w:eastAsia="lt-LT"/>
              </w:rPr>
              <w:t xml:space="preserve"> </w:t>
            </w:r>
            <w:r w:rsidRPr="00825B5D">
              <w:rPr>
                <w:bCs/>
                <w:lang w:eastAsia="lt-LT"/>
              </w:rPr>
              <w:t>–</w:t>
            </w:r>
            <w:r w:rsidR="001D7D23" w:rsidRPr="00825B5D">
              <w:rPr>
                <w:bCs/>
                <w:lang w:eastAsia="lt-LT"/>
              </w:rPr>
              <w:t xml:space="preserve"> katilinė</w:t>
            </w:r>
          </w:p>
          <w:p w:rsidR="00DD4EC2" w:rsidRPr="00825B5D" w:rsidRDefault="00DD4EC2" w:rsidP="001D7D23">
            <w:pPr>
              <w:spacing w:line="252" w:lineRule="auto"/>
              <w:rPr>
                <w:bCs/>
                <w:lang w:eastAsia="lt-LT"/>
              </w:rPr>
            </w:pPr>
            <w:r w:rsidRPr="00825B5D">
              <w:rPr>
                <w:bCs/>
                <w:lang w:eastAsia="lt-LT"/>
              </w:rPr>
              <w:t xml:space="preserve">rezervuaras </w:t>
            </w:r>
            <w:r w:rsidR="00524093" w:rsidRPr="00825B5D">
              <w:rPr>
                <w:bCs/>
                <w:lang w:eastAsia="lt-LT"/>
              </w:rPr>
              <w:t>c</w:t>
            </w:r>
            <w:r w:rsidRPr="00825B5D">
              <w:rPr>
                <w:bCs/>
                <w:lang w:eastAsia="lt-LT"/>
              </w:rPr>
              <w:t>1</w:t>
            </w:r>
          </w:p>
          <w:p w:rsidR="00DD4EC2" w:rsidRPr="00DD4EC2" w:rsidRDefault="00DD4EC2" w:rsidP="00524093">
            <w:pPr>
              <w:spacing w:line="252" w:lineRule="auto"/>
              <w:rPr>
                <w:bCs/>
                <w:highlight w:val="yellow"/>
                <w:lang w:eastAsia="lt-LT"/>
              </w:rPr>
            </w:pPr>
            <w:r w:rsidRPr="00825B5D">
              <w:rPr>
                <w:bCs/>
                <w:lang w:eastAsia="lt-LT"/>
              </w:rPr>
              <w:t xml:space="preserve">rezervuaras </w:t>
            </w:r>
            <w:r w:rsidR="00524093" w:rsidRPr="00825B5D">
              <w:rPr>
                <w:bCs/>
                <w:lang w:eastAsia="lt-LT"/>
              </w:rPr>
              <w:t>c</w:t>
            </w:r>
            <w:r w:rsidRPr="00825B5D">
              <w:rPr>
                <w:bCs/>
                <w:lang w:eastAsia="lt-L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23" w:rsidRDefault="001D7D23" w:rsidP="001D7D23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6298-8021-1030</w:t>
            </w:r>
          </w:p>
          <w:p w:rsidR="00524093" w:rsidRDefault="00524093" w:rsidP="001D7D23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4400-5069-8632</w:t>
            </w:r>
          </w:p>
          <w:p w:rsidR="00524093" w:rsidRDefault="00524093" w:rsidP="001D7D23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4400-5069-8650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2" w:lineRule="auto"/>
              <w:jc w:val="center"/>
              <w:rPr>
                <w:lang w:eastAsia="lt-LT"/>
              </w:rPr>
            </w:pPr>
            <w:r w:rsidRPr="00825B5D">
              <w:rPr>
                <w:lang w:eastAsia="lt-LT"/>
              </w:rPr>
              <w:t>102,00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3" w:rsidRDefault="005E6376" w:rsidP="001D7D23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9674,64</w:t>
            </w:r>
          </w:p>
          <w:p w:rsidR="005E6376" w:rsidRDefault="005E6376" w:rsidP="001D7D23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1333,93</w:t>
            </w:r>
          </w:p>
          <w:p w:rsidR="005E6376" w:rsidRDefault="005E6376" w:rsidP="001D7D23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1333,93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Mindūnų sen., Mindūnų k., Muziejaus g. 8</w:t>
            </w:r>
          </w:p>
        </w:tc>
      </w:tr>
      <w:tr w:rsidR="001D7D23" w:rsidTr="001D7D23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D23" w:rsidRDefault="00DD4EC2" w:rsidP="00115B2B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1.3.</w:t>
            </w:r>
            <w:r w:rsidR="00115B2B">
              <w:rPr>
                <w:bCs/>
                <w:lang w:eastAsia="lt-LT"/>
              </w:rPr>
              <w:t>5</w:t>
            </w:r>
            <w:r>
              <w:rPr>
                <w:bCs/>
                <w:lang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Gyvenamasis namas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t>6294-0084-6014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111,19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3" w:rsidRDefault="00DD4EC2" w:rsidP="001D7D23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D23" w:rsidRDefault="001D7D23" w:rsidP="001D7D23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Dubingių sen., Dubingių mstl., Ąžuolyno g. 1</w:t>
            </w:r>
          </w:p>
        </w:tc>
      </w:tr>
    </w:tbl>
    <w:p w:rsidR="00115B2B" w:rsidRDefault="00115B2B" w:rsidP="00115B2B">
      <w:pPr>
        <w:spacing w:line="360" w:lineRule="auto"/>
        <w:ind w:firstLine="709"/>
        <w:jc w:val="both"/>
      </w:pPr>
    </w:p>
    <w:p w:rsidR="00086D1D" w:rsidRDefault="00086D1D" w:rsidP="00115B2B">
      <w:pPr>
        <w:spacing w:line="360" w:lineRule="auto"/>
        <w:ind w:firstLine="709"/>
        <w:jc w:val="both"/>
      </w:pPr>
      <w:r>
        <w:lastRenderedPageBreak/>
        <w:t xml:space="preserve">Parengto sprendimo projekto tikslas – </w:t>
      </w:r>
      <w:r w:rsidR="00E92BA9">
        <w:t>patvirtinti</w:t>
      </w:r>
      <w:r>
        <w:t xml:space="preserve"> </w:t>
      </w:r>
      <w:r w:rsidR="001B3AAF" w:rsidRPr="001B3AAF">
        <w:t>Molėtų rajono savivaldybės</w:t>
      </w:r>
      <w:r w:rsidR="001B3AAF">
        <w:t xml:space="preserve"> viešame aukcione parduodamo nekilnojamojo turto ir k</w:t>
      </w:r>
      <w:r w:rsidR="00E92BA9">
        <w:t>itų nekilnojamųjų daiktų sąrašą (toliau – Sąrašas)</w:t>
      </w:r>
      <w:r w:rsidR="00146A4E">
        <w:t>, išbraukiant parduotus ir įrašant naujus objektus, nereikaling</w:t>
      </w:r>
      <w:r w:rsidR="00115B2B">
        <w:t>us</w:t>
      </w:r>
      <w:r w:rsidR="00146A4E">
        <w:t xml:space="preserve"> savivaldybės </w:t>
      </w:r>
      <w:r w:rsidR="00115B2B">
        <w:t>funkcijoms vykdyti</w:t>
      </w:r>
      <w:r>
        <w:t>.</w:t>
      </w:r>
      <w:r w:rsidR="008B5131">
        <w:t xml:space="preserve"> </w:t>
      </w:r>
    </w:p>
    <w:p w:rsidR="00086D1D" w:rsidRPr="00D43E84" w:rsidRDefault="00086D1D" w:rsidP="00086D1D">
      <w:pPr>
        <w:spacing w:line="360" w:lineRule="auto"/>
        <w:ind w:firstLine="680"/>
        <w:jc w:val="both"/>
        <w:rPr>
          <w:b/>
        </w:rPr>
      </w:pPr>
      <w:r>
        <w:rPr>
          <w:b/>
        </w:rPr>
        <w:t>2.</w:t>
      </w:r>
      <w:r w:rsidR="00983B7F">
        <w:rPr>
          <w:b/>
        </w:rPr>
        <w:t xml:space="preserve"> </w:t>
      </w:r>
      <w:r w:rsidRPr="00D43E84">
        <w:rPr>
          <w:b/>
        </w:rPr>
        <w:t>Šiuo metu esantis teisinis reglamentavimas</w:t>
      </w:r>
    </w:p>
    <w:p w:rsidR="00086D1D" w:rsidRDefault="00086D1D" w:rsidP="00086D1D">
      <w:pPr>
        <w:spacing w:line="360" w:lineRule="auto"/>
        <w:ind w:firstLine="720"/>
        <w:jc w:val="both"/>
      </w:pPr>
      <w:r>
        <w:t xml:space="preserve">Lietuvos Respublikos vietos savivaldos įstatymo 16 straipsnio 2 dalies 26 punktas, 18 straipsnio 1 dalis; </w:t>
      </w:r>
    </w:p>
    <w:p w:rsidR="00086D1D" w:rsidRDefault="00086D1D" w:rsidP="00086D1D">
      <w:pPr>
        <w:spacing w:line="360" w:lineRule="auto"/>
        <w:ind w:firstLine="720"/>
        <w:jc w:val="both"/>
      </w:pPr>
      <w:r>
        <w:t>Lietuvos Respublikos valstybės ir savivaldybių turto valdymo, naudojimo ir disponavimo juo įstatymo 12 straipsnio 1 dalis, 21 straipsnio 4 dalis;</w:t>
      </w:r>
    </w:p>
    <w:p w:rsidR="00086D1D" w:rsidRDefault="00086D1D" w:rsidP="00187E03">
      <w:pPr>
        <w:spacing w:line="360" w:lineRule="auto"/>
        <w:ind w:firstLine="720"/>
        <w:jc w:val="both"/>
      </w:pPr>
      <w:r>
        <w:t>Lietuvos Respublikos Vyriausybės 2014 m. spalio 28 d. nutarimas Nr. 1179 „ Dėl Viešame aukcione parduodamo valstybės ir savivaldybių nekilnojamojo turto ir kitų nekilnojamųjų daiktų sąrašo sudarymo tvarkos aprašo patvirtinimo“ 3.2, papunktis, 5, 21 punktas.</w:t>
      </w:r>
    </w:p>
    <w:p w:rsidR="00086D1D" w:rsidRPr="00583137" w:rsidRDefault="00583137" w:rsidP="00583137">
      <w:pPr>
        <w:tabs>
          <w:tab w:val="left" w:pos="720"/>
          <w:tab w:val="left" w:pos="993"/>
        </w:tabs>
        <w:spacing w:line="360" w:lineRule="auto"/>
        <w:ind w:left="660"/>
        <w:jc w:val="both"/>
        <w:rPr>
          <w:b/>
        </w:rPr>
      </w:pPr>
      <w:r>
        <w:rPr>
          <w:b/>
        </w:rPr>
        <w:t>3.</w:t>
      </w:r>
      <w:r w:rsidRPr="00583137">
        <w:rPr>
          <w:b/>
        </w:rPr>
        <w:t xml:space="preserve"> </w:t>
      </w:r>
      <w:r w:rsidR="00086D1D" w:rsidRPr="00583137">
        <w:rPr>
          <w:b/>
        </w:rPr>
        <w:t xml:space="preserve">Galimos teigiamos ir neigiamos pasekmės priėmus siūlomą tarybos sprendimo projektą </w:t>
      </w:r>
    </w:p>
    <w:p w:rsidR="00086D1D" w:rsidRDefault="00983B7F" w:rsidP="00983B7F">
      <w:pPr>
        <w:tabs>
          <w:tab w:val="num" w:pos="0"/>
          <w:tab w:val="left" w:pos="720"/>
        </w:tabs>
        <w:spacing w:line="360" w:lineRule="auto"/>
        <w:jc w:val="both"/>
      </w:pPr>
      <w:r>
        <w:t xml:space="preserve">            </w:t>
      </w:r>
      <w:r w:rsidR="00086D1D">
        <w:t xml:space="preserve">Teigiamos pasekmės </w:t>
      </w:r>
      <w:r w:rsidR="00E92BA9">
        <w:t>–</w:t>
      </w:r>
      <w:r w:rsidR="00086D1D">
        <w:t xml:space="preserve"> </w:t>
      </w:r>
      <w:r w:rsidR="00E92BA9">
        <w:t xml:space="preserve">patikslintas Sąrašas: išbraukti parduoti pastatai ir įrašyti nauji nekilnojamieji daiktai. </w:t>
      </w:r>
    </w:p>
    <w:p w:rsidR="00086D1D" w:rsidRDefault="00086D1D" w:rsidP="00086D1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 xml:space="preserve">Neigiamos pasekmės – </w:t>
      </w:r>
      <w:r w:rsidR="00E92BA9">
        <w:t>nenumatoma</w:t>
      </w:r>
      <w:r>
        <w:t xml:space="preserve">. </w:t>
      </w:r>
    </w:p>
    <w:p w:rsidR="00086D1D" w:rsidRPr="00187E03" w:rsidRDefault="00086D1D" w:rsidP="00187E03">
      <w:pPr>
        <w:pStyle w:val="Sraopastraipa"/>
        <w:numPr>
          <w:ilvl w:val="0"/>
          <w:numId w:val="5"/>
        </w:numPr>
        <w:tabs>
          <w:tab w:val="num" w:pos="0"/>
          <w:tab w:val="left" w:pos="720"/>
          <w:tab w:val="left" w:pos="1134"/>
        </w:tabs>
        <w:spacing w:line="360" w:lineRule="auto"/>
        <w:ind w:hanging="11"/>
        <w:rPr>
          <w:b/>
        </w:rPr>
      </w:pPr>
      <w:r w:rsidRPr="00187E03">
        <w:rPr>
          <w:b/>
        </w:rPr>
        <w:t xml:space="preserve">Priemonės sprendimui įgyvendinti </w:t>
      </w:r>
    </w:p>
    <w:p w:rsidR="00086D1D" w:rsidRDefault="00086D1D" w:rsidP="00086D1D">
      <w:pPr>
        <w:tabs>
          <w:tab w:val="num" w:pos="0"/>
          <w:tab w:val="left" w:pos="720"/>
        </w:tabs>
        <w:spacing w:line="360" w:lineRule="auto"/>
      </w:pPr>
      <w:r>
        <w:tab/>
        <w:t>Priimto sprendimo vykdymas.</w:t>
      </w:r>
    </w:p>
    <w:p w:rsidR="00086D1D" w:rsidRPr="00187E03" w:rsidRDefault="00086D1D" w:rsidP="00187E03">
      <w:pPr>
        <w:pStyle w:val="Sraopastraipa"/>
        <w:numPr>
          <w:ilvl w:val="0"/>
          <w:numId w:val="5"/>
        </w:numPr>
        <w:tabs>
          <w:tab w:val="left" w:pos="720"/>
          <w:tab w:val="num" w:pos="1134"/>
        </w:tabs>
        <w:spacing w:line="360" w:lineRule="auto"/>
        <w:ind w:hanging="11"/>
        <w:rPr>
          <w:b/>
        </w:rPr>
      </w:pPr>
      <w:r w:rsidRPr="00187E03">
        <w:rPr>
          <w:b/>
        </w:rPr>
        <w:t>Lėšų poreikis ir jų šaltiniai (prireikus skaičiavimai ir išlaidų sąmatos)</w:t>
      </w:r>
      <w:r>
        <w:t xml:space="preserve"> </w:t>
      </w:r>
    </w:p>
    <w:p w:rsidR="00086D1D" w:rsidRDefault="00086D1D" w:rsidP="00086D1D">
      <w:pPr>
        <w:pStyle w:val="HTMLiankstoformatuota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Lėšos bus </w:t>
      </w:r>
      <w:r w:rsidRPr="000A016D">
        <w:rPr>
          <w:rFonts w:ascii="Times New Roman" w:hAnsi="Times New Roman" w:cs="Times New Roman"/>
          <w:sz w:val="24"/>
          <w:szCs w:val="24"/>
        </w:rPr>
        <w:t xml:space="preserve">reikalingos </w:t>
      </w:r>
      <w:r w:rsidR="001A75F1" w:rsidRPr="000A016D">
        <w:rPr>
          <w:rFonts w:ascii="Times New Roman" w:hAnsi="Times New Roman" w:cs="Times New Roman"/>
          <w:sz w:val="24"/>
          <w:szCs w:val="24"/>
        </w:rPr>
        <w:t xml:space="preserve">parengimui </w:t>
      </w:r>
      <w:r w:rsidRPr="000A016D">
        <w:rPr>
          <w:rFonts w:ascii="Times New Roman" w:hAnsi="Times New Roman" w:cs="Times New Roman"/>
          <w:sz w:val="24"/>
          <w:szCs w:val="24"/>
        </w:rPr>
        <w:t>žemės sklyp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prie parduodam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pastat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, </w:t>
      </w:r>
      <w:r w:rsidR="001A75F1">
        <w:rPr>
          <w:rFonts w:ascii="Times New Roman" w:hAnsi="Times New Roman" w:cs="Times New Roman"/>
          <w:sz w:val="24"/>
          <w:szCs w:val="24"/>
        </w:rPr>
        <w:t xml:space="preserve">jų registravimui NTR, </w:t>
      </w:r>
      <w:r w:rsidRPr="000A016D">
        <w:rPr>
          <w:rFonts w:ascii="Times New Roman" w:hAnsi="Times New Roman" w:cs="Times New Roman"/>
          <w:sz w:val="24"/>
          <w:szCs w:val="24"/>
        </w:rPr>
        <w:t>pastat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ir žemės sklyp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vertinimui. </w:t>
      </w:r>
      <w:r w:rsidR="001A75F1">
        <w:rPr>
          <w:rFonts w:ascii="Times New Roman" w:hAnsi="Times New Roman" w:cs="Times New Roman"/>
          <w:sz w:val="24"/>
          <w:szCs w:val="24"/>
        </w:rPr>
        <w:t>Finansavimo šaltinis – savivaldybės biudžeto lėšos.</w:t>
      </w:r>
    </w:p>
    <w:p w:rsidR="00086D1D" w:rsidRDefault="00086D1D" w:rsidP="00086D1D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 xml:space="preserve">6. </w:t>
      </w:r>
      <w:r w:rsidR="00187E03">
        <w:rPr>
          <w:b/>
        </w:rPr>
        <w:t xml:space="preserve"> </w:t>
      </w:r>
      <w:r>
        <w:rPr>
          <w:b/>
        </w:rPr>
        <w:t xml:space="preserve">Vykdytojai, įvykdymo terminai </w:t>
      </w:r>
    </w:p>
    <w:p w:rsidR="00086D1D" w:rsidRDefault="00086D1D" w:rsidP="00086D1D">
      <w:pPr>
        <w:tabs>
          <w:tab w:val="left" w:pos="1674"/>
        </w:tabs>
        <w:ind w:firstLine="720"/>
      </w:pPr>
      <w:r>
        <w:t xml:space="preserve">Molėtų rajono savivaldybės administracija </w:t>
      </w:r>
    </w:p>
    <w:p w:rsidR="00B837BF" w:rsidRDefault="00B837BF"/>
    <w:sectPr w:rsidR="00B837BF" w:rsidSect="00115B2B">
      <w:headerReference w:type="default" r:id="rId7"/>
      <w:pgSz w:w="11906" w:h="16838"/>
      <w:pgMar w:top="567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5A" w:rsidRDefault="00892B5A" w:rsidP="00187E03">
      <w:r>
        <w:separator/>
      </w:r>
    </w:p>
  </w:endnote>
  <w:endnote w:type="continuationSeparator" w:id="0">
    <w:p w:rsidR="00892B5A" w:rsidRDefault="00892B5A" w:rsidP="001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5A" w:rsidRDefault="00892B5A" w:rsidP="00187E03">
      <w:r>
        <w:separator/>
      </w:r>
    </w:p>
  </w:footnote>
  <w:footnote w:type="continuationSeparator" w:id="0">
    <w:p w:rsidR="00892B5A" w:rsidRDefault="00892B5A" w:rsidP="0018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614697"/>
      <w:docPartObj>
        <w:docPartGallery w:val="Page Numbers (Top of Page)"/>
        <w:docPartUnique/>
      </w:docPartObj>
    </w:sdtPr>
    <w:sdtEndPr/>
    <w:sdtContent>
      <w:p w:rsidR="00187E03" w:rsidRDefault="00187E0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2B">
          <w:rPr>
            <w:noProof/>
          </w:rPr>
          <w:t>3</w:t>
        </w:r>
        <w:r>
          <w:fldChar w:fldCharType="end"/>
        </w:r>
      </w:p>
    </w:sdtContent>
  </w:sdt>
  <w:p w:rsidR="00187E03" w:rsidRDefault="00187E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254"/>
    <w:multiLevelType w:val="hybridMultilevel"/>
    <w:tmpl w:val="F2486268"/>
    <w:lvl w:ilvl="0" w:tplc="703AF0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09F3520"/>
    <w:multiLevelType w:val="multilevel"/>
    <w:tmpl w:val="AEFA27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3F6C55AB"/>
    <w:multiLevelType w:val="multilevel"/>
    <w:tmpl w:val="A2844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527C4A"/>
    <w:multiLevelType w:val="hybridMultilevel"/>
    <w:tmpl w:val="58E0FE4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45D0"/>
    <w:multiLevelType w:val="multilevel"/>
    <w:tmpl w:val="B96866D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1D"/>
    <w:rsid w:val="000100AB"/>
    <w:rsid w:val="0002627B"/>
    <w:rsid w:val="00056483"/>
    <w:rsid w:val="0007605C"/>
    <w:rsid w:val="00086D1D"/>
    <w:rsid w:val="000A016D"/>
    <w:rsid w:val="000A2E9A"/>
    <w:rsid w:val="000D530C"/>
    <w:rsid w:val="000E259E"/>
    <w:rsid w:val="00107EA6"/>
    <w:rsid w:val="00115B2B"/>
    <w:rsid w:val="00130754"/>
    <w:rsid w:val="00143D8F"/>
    <w:rsid w:val="00146A4E"/>
    <w:rsid w:val="00151725"/>
    <w:rsid w:val="00151BBD"/>
    <w:rsid w:val="00173510"/>
    <w:rsid w:val="00187E03"/>
    <w:rsid w:val="001A75F1"/>
    <w:rsid w:val="001B3AAF"/>
    <w:rsid w:val="001D7D23"/>
    <w:rsid w:val="00221C78"/>
    <w:rsid w:val="0025282E"/>
    <w:rsid w:val="00297362"/>
    <w:rsid w:val="00316F35"/>
    <w:rsid w:val="00335489"/>
    <w:rsid w:val="0040739D"/>
    <w:rsid w:val="00413CB2"/>
    <w:rsid w:val="004412FB"/>
    <w:rsid w:val="00524093"/>
    <w:rsid w:val="00526629"/>
    <w:rsid w:val="00576AA8"/>
    <w:rsid w:val="00583137"/>
    <w:rsid w:val="00583BB5"/>
    <w:rsid w:val="005D589A"/>
    <w:rsid w:val="005E6376"/>
    <w:rsid w:val="005F1CAD"/>
    <w:rsid w:val="0062179E"/>
    <w:rsid w:val="00650080"/>
    <w:rsid w:val="0065623F"/>
    <w:rsid w:val="006E109E"/>
    <w:rsid w:val="0072453E"/>
    <w:rsid w:val="00743DE9"/>
    <w:rsid w:val="00794623"/>
    <w:rsid w:val="007C5786"/>
    <w:rsid w:val="007D2735"/>
    <w:rsid w:val="007E5CD4"/>
    <w:rsid w:val="0080322F"/>
    <w:rsid w:val="00825B5D"/>
    <w:rsid w:val="008608A6"/>
    <w:rsid w:val="0089225B"/>
    <w:rsid w:val="00892B5A"/>
    <w:rsid w:val="008B5131"/>
    <w:rsid w:val="0093437E"/>
    <w:rsid w:val="00950466"/>
    <w:rsid w:val="00981478"/>
    <w:rsid w:val="00983B7F"/>
    <w:rsid w:val="0098405A"/>
    <w:rsid w:val="00A224AD"/>
    <w:rsid w:val="00A62444"/>
    <w:rsid w:val="00A84E84"/>
    <w:rsid w:val="00A97CA1"/>
    <w:rsid w:val="00B837BF"/>
    <w:rsid w:val="00BD78BA"/>
    <w:rsid w:val="00C733F7"/>
    <w:rsid w:val="00CB4103"/>
    <w:rsid w:val="00CC2565"/>
    <w:rsid w:val="00D1159F"/>
    <w:rsid w:val="00D83A5A"/>
    <w:rsid w:val="00DD4EC2"/>
    <w:rsid w:val="00DE2E46"/>
    <w:rsid w:val="00E57E0F"/>
    <w:rsid w:val="00E6039C"/>
    <w:rsid w:val="00E82A33"/>
    <w:rsid w:val="00E92986"/>
    <w:rsid w:val="00E92BA9"/>
    <w:rsid w:val="00EC0569"/>
    <w:rsid w:val="00EC2EA3"/>
    <w:rsid w:val="00EE0E89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FF12C4"/>
  <w15:chartTrackingRefBased/>
  <w15:docId w15:val="{7208D662-C179-43D4-90DD-EECEC3D6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86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86D1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A2E9A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A2E9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raopastraipa">
    <w:name w:val="List Paragraph"/>
    <w:basedOn w:val="prastasis"/>
    <w:uiPriority w:val="34"/>
    <w:qFormat/>
    <w:rsid w:val="00983B7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7E0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87E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3562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8</cp:revision>
  <dcterms:created xsi:type="dcterms:W3CDTF">2018-08-13T05:12:00Z</dcterms:created>
  <dcterms:modified xsi:type="dcterms:W3CDTF">2018-08-21T10:37:00Z</dcterms:modified>
</cp:coreProperties>
</file>