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8B" w:rsidRDefault="00575C8B"/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  <w:r w:rsidRPr="00575C8B">
        <w:t>PATVIRTINTA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 w:rsidRPr="00575C8B">
        <w:t xml:space="preserve">Molėtų rajono savivaldybės tarybos </w:t>
      </w:r>
    </w:p>
    <w:p w:rsidR="00575C8B" w:rsidRPr="00575C8B" w:rsidRDefault="00EB69BF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>
        <w:t xml:space="preserve">2018 m. vasario    </w:t>
      </w:r>
      <w:r w:rsidR="00C41D28">
        <w:t xml:space="preserve"> </w:t>
      </w:r>
      <w:r w:rsidR="00575C8B" w:rsidRPr="00575C8B">
        <w:t>d. sprendimu Nr.B1</w:t>
      </w:r>
      <w:r>
        <w:t>-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 xml:space="preserve">MOLĖTŲ RAJONO SAVIVALDYBĖS </w:t>
      </w: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>APLINKOS APSAUGOS RĖM</w:t>
      </w:r>
      <w:r w:rsidR="00CF46F3" w:rsidRPr="0064765D">
        <w:rPr>
          <w:b/>
        </w:rPr>
        <w:t xml:space="preserve">IMO SPECIALIOSIOS PROGRAMOS </w:t>
      </w:r>
      <w:r w:rsidR="00EB69BF">
        <w:rPr>
          <w:b/>
        </w:rPr>
        <w:t>2017</w:t>
      </w:r>
      <w:r w:rsidRPr="0064765D">
        <w:rPr>
          <w:b/>
        </w:rPr>
        <w:t xml:space="preserve"> METŲ  PRIEMONIŲ VYKDYMO ATASKAITA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1. Informacija apie Savivaldybės aplinkos apsaugos rėmimo specialiosios programos (toliau – Programa) lėšas</w:t>
      </w:r>
      <w:r w:rsidR="0064765D">
        <w:t>:</w:t>
      </w:r>
    </w:p>
    <w:p w:rsidR="00575C8B" w:rsidRPr="00575C8B" w:rsidRDefault="00575C8B" w:rsidP="00575C8B">
      <w:pPr>
        <w:autoSpaceDE w:val="0"/>
        <w:autoSpaceDN w:val="0"/>
        <w:adjustRightInd w:val="0"/>
        <w:ind w:firstLine="3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449"/>
        <w:gridCol w:w="1370"/>
      </w:tblGrid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(1) Programos finansavimo šaltiniai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Surinkta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teršalų išmetimą į aplinką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17546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1.2.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valstybinius gamtos išteklius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13993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1.3.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Lėšos, gautos kaip želdinių atkuriamosios vertės kompensacija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1.4.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1.5.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 + 1.2 + 1.3 + 1.4):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31539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1.6.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>Mokesčiai, sumokėti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22503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1.7.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1288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1.8.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(1.6 + 1.7):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23791</w:t>
            </w:r>
          </w:p>
        </w:tc>
      </w:tr>
      <w:tr w:rsidR="00575C8B" w:rsidRPr="00575C8B" w:rsidTr="00AF532D">
        <w:trPr>
          <w:trHeight w:val="107"/>
        </w:trPr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1.9.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Faktinės ataskaitinio laikotarpio Programos lėšos (1.5 + 1.8)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55330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68"/>
        <w:gridCol w:w="1364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rPr>
                <w:color w:val="000000"/>
              </w:rPr>
              <w:t xml:space="preserve">(2) 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specialiajai programai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Lėšos,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1.10.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20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6308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1228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(1.10 + 1.11):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7536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68"/>
        <w:gridCol w:w="1364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(3) Kitoms Programos priemonėms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Lėšos,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80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25231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1.14.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14928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1.15.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(1.13 + 1.14):</w:t>
            </w:r>
          </w:p>
        </w:tc>
        <w:tc>
          <w:tcPr>
            <w:tcW w:w="1382" w:type="dxa"/>
          </w:tcPr>
          <w:p w:rsidR="00575C8B" w:rsidRPr="00575C8B" w:rsidRDefault="00B41F31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40159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  <w:r w:rsidRPr="00575C8B">
        <w:rPr>
          <w:b/>
        </w:rPr>
        <w:br w:type="page"/>
      </w: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6038BD">
      <w:pPr>
        <w:spacing w:after="120"/>
        <w:ind w:firstLine="851"/>
      </w:pPr>
      <w:r w:rsidRPr="00575C8B">
        <w:t>2. Priemonės, kurioms finansuoti naudojamos lėšos, surinktos už medžiojamųjų gyvūnų išteklių naudojimą: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3"/>
        <w:gridCol w:w="4716"/>
        <w:gridCol w:w="1373"/>
      </w:tblGrid>
      <w:tr w:rsidR="00575C8B" w:rsidRPr="00575C8B" w:rsidTr="006614A6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8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471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7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Panaudota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E0312C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</w:t>
            </w:r>
          </w:p>
        </w:tc>
        <w:tc>
          <w:tcPr>
            <w:tcW w:w="7499" w:type="dxa"/>
            <w:gridSpan w:val="2"/>
          </w:tcPr>
          <w:p w:rsidR="00575C8B" w:rsidRPr="00575C8B" w:rsidRDefault="003C5E2A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>Žemės</w:t>
            </w:r>
            <w:r w:rsidR="00575C8B" w:rsidRPr="00575C8B">
              <w:t xml:space="preserve"> sklypų, kuriuose medžioklė nėra uždrausta, savininkų, valdytojų ir naudotojų įgyvendinamos žalos prevencijos priemonės, kuriomis jie siekia išvengti medžiojamųjų gyvūnų daromos žalos miškui:</w:t>
            </w:r>
          </w:p>
        </w:tc>
        <w:tc>
          <w:tcPr>
            <w:tcW w:w="137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0312C" w:rsidRPr="00575C8B" w:rsidTr="006614A6">
        <w:trPr>
          <w:trHeight w:val="1515"/>
        </w:trPr>
        <w:tc>
          <w:tcPr>
            <w:tcW w:w="756" w:type="dxa"/>
            <w:vMerge w:val="restart"/>
          </w:tcPr>
          <w:p w:rsidR="00E0312C" w:rsidRPr="00575C8B" w:rsidRDefault="00E0312C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2.1.1.</w:t>
            </w:r>
          </w:p>
        </w:tc>
        <w:tc>
          <w:tcPr>
            <w:tcW w:w="2783" w:type="dxa"/>
            <w:vMerge w:val="restart"/>
          </w:tcPr>
          <w:p w:rsidR="00E0312C" w:rsidRPr="00575C8B" w:rsidRDefault="00E0312C" w:rsidP="003C5E2A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proofErr w:type="spellStart"/>
            <w:r w:rsidRPr="00575C8B">
              <w:t>Repelentų</w:t>
            </w:r>
            <w:proofErr w:type="spellEnd"/>
            <w:r w:rsidRPr="00575C8B">
              <w:t xml:space="preserve"> pirkimas, želdinių ir </w:t>
            </w:r>
            <w:proofErr w:type="spellStart"/>
            <w:r w:rsidRPr="00575C8B">
              <w:t>žėlinių</w:t>
            </w:r>
            <w:proofErr w:type="spellEnd"/>
            <w:r w:rsidRPr="00575C8B">
              <w:t xml:space="preserve"> apdorojimo </w:t>
            </w:r>
            <w:proofErr w:type="spellStart"/>
            <w:r w:rsidRPr="00575C8B">
              <w:t>repelentais</w:t>
            </w:r>
            <w:proofErr w:type="spellEnd"/>
            <w:r w:rsidRPr="00575C8B">
              <w:t xml:space="preserve"> darbai,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4716" w:type="dxa"/>
          </w:tcPr>
          <w:p w:rsidR="00E0312C" w:rsidRPr="00575C8B" w:rsidRDefault="00E0312C" w:rsidP="000F18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VĮ Utenos urėdija, 2017</w:t>
            </w:r>
            <w:r w:rsidRPr="00575C8B">
              <w:t xml:space="preserve"> m. </w:t>
            </w:r>
            <w:r w:rsidR="000F188D">
              <w:t>birželio</w:t>
            </w:r>
            <w:r w:rsidRPr="00575C8B">
              <w:t xml:space="preserve"> mėn. skirtas lėšas panaudojo </w:t>
            </w:r>
            <w:r w:rsidR="000F188D">
              <w:t>Dubingių girininkijos miškų</w:t>
            </w:r>
            <w:r w:rsidRPr="00575C8B">
              <w:t xml:space="preserve"> </w:t>
            </w:r>
            <w:r w:rsidR="000F188D">
              <w:t>( Kv</w:t>
            </w:r>
            <w:r w:rsidR="0067153F">
              <w:t xml:space="preserve">. </w:t>
            </w:r>
            <w:r w:rsidR="000F188D">
              <w:t xml:space="preserve">20 </w:t>
            </w:r>
            <w:proofErr w:type="spellStart"/>
            <w:r w:rsidR="000F188D">
              <w:t>skl</w:t>
            </w:r>
            <w:proofErr w:type="spellEnd"/>
            <w:r w:rsidR="0067153F">
              <w:t>.</w:t>
            </w:r>
            <w:r w:rsidR="000F188D">
              <w:t xml:space="preserve"> 9;19;21.).</w:t>
            </w:r>
            <w:r w:rsidRPr="00575C8B">
              <w:t xml:space="preserve">želdynų ir želdinių apsaugai nuo medžiojamųjų gyvūnų daromos žalos </w:t>
            </w:r>
            <w:r w:rsidR="000F188D">
              <w:t>aptveriant tvora (aptvertas plotas 7,1 ha).</w:t>
            </w:r>
          </w:p>
        </w:tc>
        <w:tc>
          <w:tcPr>
            <w:tcW w:w="1373" w:type="dxa"/>
          </w:tcPr>
          <w:p w:rsidR="00E0312C" w:rsidRPr="00575C8B" w:rsidRDefault="000F188D" w:rsidP="00575C8B">
            <w:r>
              <w:t>7091</w:t>
            </w:r>
          </w:p>
        </w:tc>
      </w:tr>
      <w:tr w:rsidR="00E0312C" w:rsidRPr="00575C8B" w:rsidTr="006614A6">
        <w:trPr>
          <w:trHeight w:val="1515"/>
        </w:trPr>
        <w:tc>
          <w:tcPr>
            <w:tcW w:w="756" w:type="dxa"/>
            <w:vMerge/>
          </w:tcPr>
          <w:p w:rsidR="00E0312C" w:rsidRPr="00575C8B" w:rsidRDefault="00E0312C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vMerge/>
          </w:tcPr>
          <w:p w:rsidR="00E0312C" w:rsidRPr="00575C8B" w:rsidRDefault="00E0312C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</w:p>
        </w:tc>
        <w:tc>
          <w:tcPr>
            <w:tcW w:w="4716" w:type="dxa"/>
          </w:tcPr>
          <w:p w:rsidR="00E0312C" w:rsidRPr="00575C8B" w:rsidRDefault="00E0312C" w:rsidP="0067153F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VĮ Ukmergės urėdija, 2017</w:t>
            </w:r>
            <w:r w:rsidRPr="00575C8B">
              <w:t xml:space="preserve"> m </w:t>
            </w:r>
            <w:r w:rsidR="0067153F">
              <w:t>rugsėjo -lapkričio</w:t>
            </w:r>
            <w:r w:rsidRPr="00575C8B">
              <w:t xml:space="preserve"> mėn. skirtas lėšas panaudojo</w:t>
            </w:r>
            <w:r w:rsidR="000F188D">
              <w:t xml:space="preserve"> Giedraičių girininkijos miškų</w:t>
            </w:r>
            <w:r w:rsidRPr="00575C8B">
              <w:t xml:space="preserve"> želdynų ir želdinių apsaugai nuo medžiojamųjų gyvūnų daromos žalos aptepant juos </w:t>
            </w:r>
            <w:proofErr w:type="spellStart"/>
            <w:r w:rsidRPr="00575C8B">
              <w:t>repelentais</w:t>
            </w:r>
            <w:proofErr w:type="spellEnd"/>
            <w:r w:rsidR="000F188D">
              <w:t xml:space="preserve"> (plotas 12,6 ha) ir aptveriant tvora (ilgis 0,882 km).</w:t>
            </w:r>
          </w:p>
        </w:tc>
        <w:tc>
          <w:tcPr>
            <w:tcW w:w="1373" w:type="dxa"/>
          </w:tcPr>
          <w:p w:rsidR="00E0312C" w:rsidRPr="00575C8B" w:rsidRDefault="000F188D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1597</w:t>
            </w:r>
          </w:p>
        </w:tc>
      </w:tr>
      <w:tr w:rsidR="00E0312C" w:rsidRPr="00575C8B" w:rsidTr="006614A6">
        <w:tc>
          <w:tcPr>
            <w:tcW w:w="756" w:type="dxa"/>
            <w:vMerge/>
          </w:tcPr>
          <w:p w:rsidR="00E0312C" w:rsidRPr="00575C8B" w:rsidRDefault="00E0312C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83" w:type="dxa"/>
            <w:vMerge/>
          </w:tcPr>
          <w:p w:rsidR="00E0312C" w:rsidRPr="00575C8B" w:rsidRDefault="00E0312C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</w:p>
        </w:tc>
        <w:tc>
          <w:tcPr>
            <w:tcW w:w="4716" w:type="dxa"/>
          </w:tcPr>
          <w:p w:rsidR="00E0312C" w:rsidRPr="00C76474" w:rsidRDefault="0067153F" w:rsidP="0067153F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Stefa </w:t>
            </w:r>
            <w:proofErr w:type="spellStart"/>
            <w:r>
              <w:t>Džiaukienė</w:t>
            </w:r>
            <w:proofErr w:type="spellEnd"/>
            <w:r>
              <w:t xml:space="preserve">, </w:t>
            </w:r>
            <w:r w:rsidR="00A3624E">
              <w:t>2017-03-27</w:t>
            </w:r>
            <w:r>
              <w:t xml:space="preserve"> skirtas lėšas panaudojo trijų eilių elektriniam piemeniui įrengti</w:t>
            </w:r>
            <w:r w:rsidR="00A3624E">
              <w:t xml:space="preserve"> </w:t>
            </w:r>
            <w:r>
              <w:t xml:space="preserve">žemės sklype (kadastrinis Nr. 6224/0002:245) esančiame </w:t>
            </w:r>
            <w:proofErr w:type="spellStart"/>
            <w:r w:rsidR="00A3624E">
              <w:t>Šiupienių</w:t>
            </w:r>
            <w:proofErr w:type="spellEnd"/>
            <w:r w:rsidR="00A3624E">
              <w:t xml:space="preserve"> k., Giedraičių </w:t>
            </w:r>
            <w:proofErr w:type="spellStart"/>
            <w:r w:rsidR="00A3624E">
              <w:t>sen</w:t>
            </w:r>
            <w:proofErr w:type="spellEnd"/>
            <w:r w:rsidR="00A3624E">
              <w:t xml:space="preserve"> Molėtų r.</w:t>
            </w:r>
            <w:r>
              <w:t>.</w:t>
            </w:r>
          </w:p>
        </w:tc>
        <w:tc>
          <w:tcPr>
            <w:tcW w:w="1373" w:type="dxa"/>
          </w:tcPr>
          <w:p w:rsidR="00E0312C" w:rsidRDefault="00E0312C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168</w:t>
            </w:r>
          </w:p>
        </w:tc>
      </w:tr>
      <w:tr w:rsidR="00575C8B" w:rsidRPr="00575C8B" w:rsidTr="006614A6">
        <w:tc>
          <w:tcPr>
            <w:tcW w:w="756" w:type="dxa"/>
          </w:tcPr>
          <w:p w:rsidR="00575C8B" w:rsidRPr="00575C8B" w:rsidRDefault="003C6B96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2.1.2</w:t>
            </w:r>
            <w:r w:rsidR="00575C8B" w:rsidRPr="00575C8B">
              <w:t>.</w:t>
            </w:r>
          </w:p>
        </w:tc>
        <w:tc>
          <w:tcPr>
            <w:tcW w:w="278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575C8B">
              <w:t>Vilkų ūkiniams gyvūnams padarytos žalos atlyginimas</w:t>
            </w:r>
          </w:p>
        </w:tc>
        <w:tc>
          <w:tcPr>
            <w:tcW w:w="4716" w:type="dxa"/>
          </w:tcPr>
          <w:p w:rsidR="00575C8B" w:rsidRPr="00575C8B" w:rsidRDefault="00575C8B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C76474">
              <w:t xml:space="preserve">Molėtų rajono savivaldybės administracija </w:t>
            </w:r>
            <w:r w:rsidR="00B41F31">
              <w:t>2017</w:t>
            </w:r>
            <w:r w:rsidR="00C76474" w:rsidRPr="00C76474">
              <w:t xml:space="preserve"> m. ūkinių gyvūnų savininkams </w:t>
            </w:r>
            <w:r w:rsidRPr="00C76474">
              <w:t>atlygino vilkų pada</w:t>
            </w:r>
            <w:r w:rsidR="00C76474" w:rsidRPr="00C76474">
              <w:t>rytą žalą ūkiniams gy</w:t>
            </w:r>
            <w:r w:rsidR="00875E6E">
              <w:t>vūnams</w:t>
            </w:r>
            <w:r w:rsidR="0064765D">
              <w:t>,</w:t>
            </w:r>
            <w:r w:rsidR="00875E6E">
              <w:t xml:space="preserve"> t.</w:t>
            </w:r>
            <w:r w:rsidR="0064765D">
              <w:t xml:space="preserve"> </w:t>
            </w:r>
            <w:r w:rsidR="00875E6E">
              <w:t xml:space="preserve">y. už vilkų papjautas </w:t>
            </w:r>
            <w:r w:rsidR="00B41F31">
              <w:t>36</w:t>
            </w:r>
            <w:r w:rsidR="00875E6E">
              <w:t xml:space="preserve"> avis</w:t>
            </w:r>
            <w:r w:rsidR="00C76474" w:rsidRPr="00C76474">
              <w:t>, 2</w:t>
            </w:r>
            <w:r w:rsidR="00B41F31">
              <w:t xml:space="preserve"> veršelius ir 3 ožkos</w:t>
            </w:r>
            <w:r w:rsidR="00C76474">
              <w:t xml:space="preserve"> </w:t>
            </w:r>
          </w:p>
        </w:tc>
        <w:tc>
          <w:tcPr>
            <w:tcW w:w="1373" w:type="dxa"/>
          </w:tcPr>
          <w:p w:rsidR="00575C8B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1856</w:t>
            </w:r>
          </w:p>
        </w:tc>
      </w:tr>
      <w:tr w:rsidR="003E5B20" w:rsidRPr="00575C8B" w:rsidTr="006614A6">
        <w:tc>
          <w:tcPr>
            <w:tcW w:w="756" w:type="dxa"/>
          </w:tcPr>
          <w:p w:rsidR="003E5B20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2.1.</w:t>
            </w:r>
            <w:r w:rsidR="003C6B96">
              <w:t>3</w:t>
            </w:r>
            <w:bookmarkStart w:id="0" w:name="_GoBack"/>
            <w:bookmarkEnd w:id="0"/>
          </w:p>
        </w:tc>
        <w:tc>
          <w:tcPr>
            <w:tcW w:w="2783" w:type="dxa"/>
          </w:tcPr>
          <w:p w:rsidR="003E5B20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>
              <w:t xml:space="preserve">Bebraviečių ardymo darbai </w:t>
            </w:r>
          </w:p>
        </w:tc>
        <w:tc>
          <w:tcPr>
            <w:tcW w:w="4716" w:type="dxa"/>
          </w:tcPr>
          <w:p w:rsidR="003E5B20" w:rsidRPr="00C76474" w:rsidRDefault="0067153F" w:rsidP="0067153F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Irena Semėnienė </w:t>
            </w:r>
            <w:r w:rsidR="00A3624E">
              <w:t xml:space="preserve">2017-07-12 </w:t>
            </w:r>
            <w:r>
              <w:t xml:space="preserve">skirtas lėšas panaudojo bebravietės ardymo darbams žemės sklype (kadastrinis Nr. 6244-0004-0024) esančiame </w:t>
            </w:r>
            <w:proofErr w:type="spellStart"/>
            <w:r w:rsidR="00A3624E">
              <w:t>Luokesos</w:t>
            </w:r>
            <w:proofErr w:type="spellEnd"/>
            <w:r>
              <w:t xml:space="preserve"> k., </w:t>
            </w:r>
            <w:proofErr w:type="spellStart"/>
            <w:r>
              <w:t>Luokesos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, Molėtų r. </w:t>
            </w:r>
          </w:p>
        </w:tc>
        <w:tc>
          <w:tcPr>
            <w:tcW w:w="1373" w:type="dxa"/>
          </w:tcPr>
          <w:p w:rsidR="003E5B20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1815</w:t>
            </w:r>
          </w:p>
          <w:p w:rsidR="003E5B20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614A6" w:rsidRPr="00575C8B" w:rsidTr="006614A6">
        <w:tc>
          <w:tcPr>
            <w:tcW w:w="756" w:type="dxa"/>
          </w:tcPr>
          <w:p w:rsidR="006614A6" w:rsidRPr="00575C8B" w:rsidRDefault="006614A6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2.2.</w:t>
            </w:r>
          </w:p>
        </w:tc>
        <w:tc>
          <w:tcPr>
            <w:tcW w:w="2783" w:type="dxa"/>
          </w:tcPr>
          <w:p w:rsidR="006614A6" w:rsidRPr="00575C8B" w:rsidRDefault="006614A6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 xml:space="preserve">Kartografinės ir kitos medžiagos, reikalingos pagal Lietuvos Respublikos medžioklės įstatymo reikalavimus rengiamiems medžioklės plotų vienetų sudarymo ar jų ribų pakeitimo projektų parengimo priemonės </w:t>
            </w:r>
          </w:p>
        </w:tc>
        <w:tc>
          <w:tcPr>
            <w:tcW w:w="4716" w:type="dxa"/>
          </w:tcPr>
          <w:p w:rsidR="006614A6" w:rsidRPr="00575C8B" w:rsidRDefault="0007015D" w:rsidP="00D2522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 xml:space="preserve">2017 m. lapkričio mėn. Molėtų rajono savivaldybės administracija </w:t>
            </w:r>
            <w:r w:rsidR="00D25228">
              <w:t>skirtas lėšas panaudojo</w:t>
            </w:r>
            <w:r>
              <w:t xml:space="preserve"> Molėtų rajono teritorijoje esančių medžiotojų būr</w:t>
            </w:r>
            <w:r w:rsidR="00D25228">
              <w:t>elių (22 vnt.) ribų kartografinei medžiagai parengti.</w:t>
            </w:r>
            <w:r>
              <w:t xml:space="preserve"> </w:t>
            </w:r>
          </w:p>
        </w:tc>
        <w:tc>
          <w:tcPr>
            <w:tcW w:w="1373" w:type="dxa"/>
          </w:tcPr>
          <w:p w:rsidR="006614A6" w:rsidRPr="00575C8B" w:rsidRDefault="006614A6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1210</w:t>
            </w:r>
          </w:p>
        </w:tc>
      </w:tr>
      <w:tr w:rsidR="00575C8B" w:rsidRPr="00575C8B" w:rsidTr="00E0312C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499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73" w:type="dxa"/>
          </w:tcPr>
          <w:p w:rsidR="00575C8B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13737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color w:val="000000"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rPr>
          <w:color w:val="000000"/>
        </w:rPr>
        <w:t>3. Programos lėšos, skirtos Savivaldybės visuomenės sveikatos rėmimo specialiajai programai: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575C8B" w:rsidRPr="00575C8B" w:rsidTr="00AF532D">
        <w:tc>
          <w:tcPr>
            <w:tcW w:w="7621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Programos pavadinimas</w:t>
            </w:r>
          </w:p>
        </w:tc>
        <w:tc>
          <w:tcPr>
            <w:tcW w:w="226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Panaudota lėšų, </w:t>
            </w:r>
            <w:proofErr w:type="spellStart"/>
            <w:r w:rsidRPr="00575C8B">
              <w:rPr>
                <w:color w:val="000000"/>
              </w:rPr>
              <w:t>Eur</w:t>
            </w:r>
            <w:proofErr w:type="spellEnd"/>
          </w:p>
        </w:tc>
      </w:tr>
      <w:tr w:rsidR="00575C8B" w:rsidRPr="00575C8B" w:rsidTr="00AF532D">
        <w:tc>
          <w:tcPr>
            <w:tcW w:w="82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3.1. </w:t>
            </w:r>
          </w:p>
        </w:tc>
        <w:tc>
          <w:tcPr>
            <w:tcW w:w="679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specialioji programa</w:t>
            </w:r>
          </w:p>
        </w:tc>
        <w:tc>
          <w:tcPr>
            <w:tcW w:w="2268" w:type="dxa"/>
          </w:tcPr>
          <w:p w:rsidR="00575C8B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5553</w:t>
            </w:r>
          </w:p>
        </w:tc>
      </w:tr>
    </w:tbl>
    <w:p w:rsidR="006614A6" w:rsidRDefault="006614A6" w:rsidP="00575C8B">
      <w:pPr>
        <w:autoSpaceDE w:val="0"/>
        <w:autoSpaceDN w:val="0"/>
        <w:adjustRightInd w:val="0"/>
        <w:jc w:val="both"/>
      </w:pPr>
    </w:p>
    <w:p w:rsidR="00C76474" w:rsidRPr="00575C8B" w:rsidRDefault="00C76474" w:rsidP="002E035B"/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t>4.</w:t>
      </w:r>
      <w:r w:rsidRPr="00575C8B">
        <w:rPr>
          <w:color w:val="000000"/>
        </w:rPr>
        <w:t xml:space="preserve"> Kitos aplinkosaugos priemonės, kurioms įgyvendinti panaudotos Programos lėšos: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71"/>
        <w:gridCol w:w="5125"/>
        <w:gridCol w:w="1381"/>
      </w:tblGrid>
      <w:tr w:rsidR="00575C8B" w:rsidRPr="00575C8B" w:rsidTr="00AF532D">
        <w:trPr>
          <w:tblHeader/>
        </w:trPr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Panaudota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Aplinkos kokybės gerinimo ir apsaugos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4.1.1.</w:t>
            </w:r>
          </w:p>
        </w:tc>
        <w:tc>
          <w:tcPr>
            <w:tcW w:w="2771" w:type="dxa"/>
          </w:tcPr>
          <w:p w:rsidR="00575C8B" w:rsidRDefault="004E0A9D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Valstybei ar savivaldybei priklausančių užtvankų remonto ir rekonstravimo darbai, tvenkinių naudojimo ir priežiūros taisyklių parengimas</w:t>
            </w: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3C5E2A" w:rsidRPr="00575C8B" w:rsidRDefault="003C5E2A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5125" w:type="dxa"/>
          </w:tcPr>
          <w:p w:rsidR="00575C8B" w:rsidRPr="00575C8B" w:rsidRDefault="003D4612" w:rsidP="00D2522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2017 m. kovo mėn. Molėtų rajono savivaldybės administracija </w:t>
            </w:r>
            <w:r w:rsidR="00D25228">
              <w:t>skirtas lėšas panaudojo</w:t>
            </w:r>
            <w:r>
              <w:t xml:space="preserve"> </w:t>
            </w:r>
            <w:proofErr w:type="spellStart"/>
            <w:r>
              <w:t>Krakav</w:t>
            </w:r>
            <w:r w:rsidR="00D25228">
              <w:t>o</w:t>
            </w:r>
            <w:proofErr w:type="spellEnd"/>
            <w:r w:rsidR="00D25228">
              <w:t xml:space="preserve"> ežero užtvankos remonto darbams.</w:t>
            </w:r>
          </w:p>
        </w:tc>
        <w:tc>
          <w:tcPr>
            <w:tcW w:w="1381" w:type="dxa"/>
          </w:tcPr>
          <w:p w:rsid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3990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4.1.2.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Savivaldybės teritorijoje esančių valstybės saugomų teritorijų apsaugos ir tvarkymo darbai</w:t>
            </w:r>
          </w:p>
        </w:tc>
        <w:tc>
          <w:tcPr>
            <w:tcW w:w="5125" w:type="dxa"/>
          </w:tcPr>
          <w:p w:rsidR="00D83B47" w:rsidRPr="00575C8B" w:rsidRDefault="00D83B47" w:rsidP="0063663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3663C">
              <w:t xml:space="preserve">Aukštaitijos nacionalinio parko ir Labanoro regioninio parko direkcija </w:t>
            </w:r>
            <w:r w:rsidR="001F6704" w:rsidRPr="0063663C">
              <w:t>2017</w:t>
            </w:r>
            <w:r w:rsidR="00230146" w:rsidRPr="0063663C">
              <w:t xml:space="preserve"> m. skirtas lėšas panaudojo rekr</w:t>
            </w:r>
            <w:r w:rsidR="0063663C" w:rsidRPr="0063663C">
              <w:t>eacinės infrastruktūros remonto</w:t>
            </w:r>
            <w:r w:rsidR="00B60099" w:rsidRPr="0063663C">
              <w:t xml:space="preserve"> </w:t>
            </w:r>
            <w:r w:rsidR="00230146" w:rsidRPr="0063663C">
              <w:t>darbams</w:t>
            </w:r>
            <w:r w:rsidR="0063663C" w:rsidRPr="0063663C">
              <w:t xml:space="preserve"> - liepto į </w:t>
            </w:r>
            <w:proofErr w:type="spellStart"/>
            <w:r w:rsidR="0063663C" w:rsidRPr="0063663C">
              <w:t>Kulionių</w:t>
            </w:r>
            <w:proofErr w:type="spellEnd"/>
            <w:r w:rsidR="0063663C" w:rsidRPr="0063663C">
              <w:t xml:space="preserve"> piliakalnį remontui.</w:t>
            </w:r>
          </w:p>
        </w:tc>
        <w:tc>
          <w:tcPr>
            <w:tcW w:w="1381" w:type="dxa"/>
          </w:tcPr>
          <w:p w:rsid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1000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infrastruktūros plėtros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planų ir kitų dokumentų rengimas</w:t>
            </w:r>
          </w:p>
        </w:tc>
        <w:tc>
          <w:tcPr>
            <w:tcW w:w="5125" w:type="dxa"/>
          </w:tcPr>
          <w:p w:rsidR="00575C8B" w:rsidRPr="00575C8B" w:rsidRDefault="003222F5" w:rsidP="00D2522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 xml:space="preserve">2017 m. </w:t>
            </w:r>
            <w:r w:rsidR="00D25228">
              <w:t>birželio</w:t>
            </w:r>
            <w:r>
              <w:t xml:space="preserve"> mėn. </w:t>
            </w:r>
            <w:r w:rsidR="00D25228">
              <w:t>Molėtų rajono savivaldybės administracija skirtas lėšas panaudojo</w:t>
            </w:r>
            <w:r w:rsidR="002E035B">
              <w:t xml:space="preserve"> </w:t>
            </w:r>
            <w:r>
              <w:rPr>
                <w:color w:val="000000"/>
                <w:szCs w:val="20"/>
              </w:rPr>
              <w:t>k</w:t>
            </w:r>
            <w:r w:rsidRPr="003222F5">
              <w:rPr>
                <w:color w:val="000000"/>
                <w:szCs w:val="20"/>
              </w:rPr>
              <w:t>omunalinių atliekų kontei</w:t>
            </w:r>
            <w:r w:rsidR="00D25228">
              <w:rPr>
                <w:color w:val="000000"/>
                <w:szCs w:val="20"/>
              </w:rPr>
              <w:t>nerių aikštelių išdėstymo schemų</w:t>
            </w:r>
            <w:r w:rsidRPr="003222F5">
              <w:rPr>
                <w:color w:val="000000"/>
                <w:szCs w:val="20"/>
              </w:rPr>
              <w:t xml:space="preserve"> ir komunalinių atliekų konteine</w:t>
            </w:r>
            <w:r>
              <w:rPr>
                <w:color w:val="000000"/>
                <w:szCs w:val="20"/>
              </w:rPr>
              <w:t>rių aikš</w:t>
            </w:r>
            <w:r w:rsidR="00D25228">
              <w:rPr>
                <w:color w:val="000000"/>
                <w:szCs w:val="20"/>
              </w:rPr>
              <w:t>telių įrengimo techninio projekto parengimui.</w:t>
            </w:r>
          </w:p>
        </w:tc>
        <w:tc>
          <w:tcPr>
            <w:tcW w:w="1381" w:type="dxa"/>
          </w:tcPr>
          <w:p w:rsid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9508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1F6704" w:rsidRPr="00575C8B" w:rsidTr="001F6704">
        <w:tc>
          <w:tcPr>
            <w:tcW w:w="757" w:type="dxa"/>
          </w:tcPr>
          <w:p w:rsidR="001F6704" w:rsidRP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4.2.2.</w:t>
            </w:r>
          </w:p>
        </w:tc>
        <w:tc>
          <w:tcPr>
            <w:tcW w:w="2771" w:type="dxa"/>
          </w:tcPr>
          <w:p w:rsidR="001F6704" w:rsidRP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Atliekų rūšiavimui ir surinkimui jų susidarymo vietoje skirtų priemonių įsigijimas</w:t>
            </w:r>
          </w:p>
        </w:tc>
        <w:tc>
          <w:tcPr>
            <w:tcW w:w="5125" w:type="dxa"/>
          </w:tcPr>
          <w:p w:rsidR="001F6704" w:rsidRP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1F6704" w:rsidRP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Atliekų, kurių turėtojo nustatyti neįmanoma arba kuris nebeegzistuoja, tvarkymo priemonė: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5125" w:type="dxa"/>
          </w:tcPr>
          <w:p w:rsidR="00575C8B" w:rsidRPr="00575C8B" w:rsidRDefault="00CB51F6" w:rsidP="009717A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17A4">
              <w:t xml:space="preserve">Molėtų rajono savivaldybės administracija </w:t>
            </w:r>
            <w:r w:rsidR="009717A4" w:rsidRPr="009717A4">
              <w:t>2017</w:t>
            </w:r>
            <w:r w:rsidR="00425574" w:rsidRPr="009717A4">
              <w:t xml:space="preserve"> m</w:t>
            </w:r>
            <w:r w:rsidR="009717A4" w:rsidRPr="009717A4">
              <w:t xml:space="preserve"> spalio mėn. </w:t>
            </w:r>
            <w:r w:rsidRPr="009717A4">
              <w:t xml:space="preserve">organizavo bešeimininkių atliekų surinkimą iš Molėtų </w:t>
            </w:r>
            <w:r w:rsidR="009717A4" w:rsidRPr="009717A4">
              <w:t>rajono (</w:t>
            </w:r>
            <w:proofErr w:type="spellStart"/>
            <w:r w:rsidR="009717A4" w:rsidRPr="009717A4">
              <w:t>Parašės</w:t>
            </w:r>
            <w:proofErr w:type="spellEnd"/>
            <w:r w:rsidR="009717A4" w:rsidRPr="009717A4">
              <w:t xml:space="preserve"> km., Mindūnų sen., </w:t>
            </w:r>
            <w:proofErr w:type="spellStart"/>
            <w:r w:rsidR="009717A4" w:rsidRPr="009717A4">
              <w:t>Žigeliškių</w:t>
            </w:r>
            <w:proofErr w:type="spellEnd"/>
            <w:r w:rsidR="009717A4" w:rsidRPr="009717A4">
              <w:t xml:space="preserve"> km.</w:t>
            </w:r>
            <w:r w:rsidR="00C6755D">
              <w:t xml:space="preserve"> </w:t>
            </w:r>
            <w:r w:rsidR="009717A4" w:rsidRPr="009717A4">
              <w:t xml:space="preserve">,Alantos sen., Molėtų miesto, </w:t>
            </w:r>
            <w:proofErr w:type="spellStart"/>
            <w:r w:rsidR="009717A4" w:rsidRPr="009717A4">
              <w:t>Rudesos</w:t>
            </w:r>
            <w:proofErr w:type="spellEnd"/>
            <w:r w:rsidR="009717A4" w:rsidRPr="009717A4">
              <w:t xml:space="preserve"> miškas, Inturkės sen., </w:t>
            </w:r>
            <w:proofErr w:type="spellStart"/>
            <w:r w:rsidR="009717A4" w:rsidRPr="009717A4">
              <w:t>Ažušiliai</w:t>
            </w:r>
            <w:proofErr w:type="spellEnd"/>
            <w:r w:rsidR="009717A4" w:rsidRPr="009717A4">
              <w:t xml:space="preserve">, </w:t>
            </w:r>
            <w:proofErr w:type="spellStart"/>
            <w:r w:rsidR="009717A4" w:rsidRPr="009717A4">
              <w:t>Čiūlėnų</w:t>
            </w:r>
            <w:proofErr w:type="spellEnd"/>
            <w:r w:rsidR="009717A4" w:rsidRPr="009717A4">
              <w:t xml:space="preserve"> sen.)</w:t>
            </w:r>
            <w:r w:rsidRPr="009717A4">
              <w:t xml:space="preserve"> ir šalinimą. Darbus vykdanti UAB „Molėtų švara“ į </w:t>
            </w:r>
            <w:r w:rsidR="00425574" w:rsidRPr="009717A4">
              <w:t>Utenos regio</w:t>
            </w:r>
            <w:r w:rsidRPr="009717A4">
              <w:t>no nepavojingų atliekų sąvartyną pašalino</w:t>
            </w:r>
            <w:r w:rsidR="00425574" w:rsidRPr="009717A4">
              <w:t xml:space="preserve"> </w:t>
            </w:r>
            <w:r w:rsidR="009717A4" w:rsidRPr="009717A4">
              <w:t>62,76</w:t>
            </w:r>
            <w:r w:rsidRPr="009717A4">
              <w:t xml:space="preserve"> tona</w:t>
            </w:r>
            <w:r w:rsidR="00425574" w:rsidRPr="009717A4">
              <w:t>s bešeimininkių atliekų.</w:t>
            </w:r>
          </w:p>
        </w:tc>
        <w:tc>
          <w:tcPr>
            <w:tcW w:w="1381" w:type="dxa"/>
          </w:tcPr>
          <w:p w:rsid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5072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Aplinkos monitoringo, prevencinės, aplinkos atkūrimo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B50C0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4.4.1</w:t>
            </w:r>
            <w:r w:rsidR="00575C8B" w:rsidRPr="00575C8B">
              <w:t>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 xml:space="preserve">Ekstremalių ekologinių situacijų, avarijų, įvykių padarinių likvidavimo darbų, bei </w:t>
            </w:r>
            <w:proofErr w:type="spellStart"/>
            <w:r w:rsidRPr="00575C8B">
              <w:t>sorbentų</w:t>
            </w:r>
            <w:proofErr w:type="spellEnd"/>
            <w:r w:rsidRPr="00575C8B">
              <w:t xml:space="preserve"> ir kitų priemonių, reikalingų avarijų padariniams likviduoti įsigijimo </w:t>
            </w:r>
            <w:r w:rsidRPr="00575C8B">
              <w:lastRenderedPageBreak/>
              <w:t>finansavimas</w:t>
            </w:r>
          </w:p>
        </w:tc>
        <w:tc>
          <w:tcPr>
            <w:tcW w:w="5125" w:type="dxa"/>
          </w:tcPr>
          <w:p w:rsidR="00575C8B" w:rsidRPr="00545CC2" w:rsidRDefault="00575C8B" w:rsidP="00545CC2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45CC2">
              <w:lastRenderedPageBreak/>
              <w:t xml:space="preserve">Molėtų rajono </w:t>
            </w:r>
            <w:r w:rsidR="00B60099" w:rsidRPr="00545CC2">
              <w:t>savivaldybės administracija 2017</w:t>
            </w:r>
            <w:r w:rsidRPr="00545CC2">
              <w:t xml:space="preserve"> m. gruodžio </w:t>
            </w:r>
            <w:r w:rsidR="00A64883" w:rsidRPr="00545CC2">
              <w:t>mėn.</w:t>
            </w:r>
            <w:r w:rsidRPr="00545CC2">
              <w:t xml:space="preserve"> įsigijo ekstremalių ekologinių situacijų, avarijų, įvyki</w:t>
            </w:r>
            <w:r w:rsidR="00A64883" w:rsidRPr="00545CC2">
              <w:t xml:space="preserve">ų padarinių likvidavimo priemones: birių </w:t>
            </w:r>
            <w:r w:rsidR="00B60099" w:rsidRPr="00545CC2">
              <w:t>universalių absorbentų (120 kg)</w:t>
            </w:r>
            <w:r w:rsidR="00A64883" w:rsidRPr="00545CC2">
              <w:t xml:space="preserve">, </w:t>
            </w:r>
            <w:r w:rsidR="00B60099" w:rsidRPr="00545CC2">
              <w:t xml:space="preserve">hidrofobinio absorbento </w:t>
            </w:r>
            <w:r w:rsidR="00545CC2" w:rsidRPr="00545CC2">
              <w:t>(110 kg</w:t>
            </w:r>
            <w:r w:rsidR="00A64883" w:rsidRPr="00545CC2">
              <w:t xml:space="preserve">.), </w:t>
            </w:r>
            <w:r w:rsidR="00545CC2" w:rsidRPr="00545CC2">
              <w:t xml:space="preserve">naftos ploviklio (30 l) ir specialius prožektorius su laikikliais (3 vnt.) skirtus avarijų likvidavimui tamsiu paros </w:t>
            </w:r>
            <w:r w:rsidR="00545CC2" w:rsidRPr="00545CC2">
              <w:lastRenderedPageBreak/>
              <w:t>metu.</w:t>
            </w:r>
          </w:p>
        </w:tc>
        <w:tc>
          <w:tcPr>
            <w:tcW w:w="1381" w:type="dxa"/>
          </w:tcPr>
          <w:p w:rsid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989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Visuomenės švietimo ir mokymo aplinkosaugos klausimais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5125" w:type="dxa"/>
          </w:tcPr>
          <w:p w:rsidR="00575C8B" w:rsidRPr="00575C8B" w:rsidRDefault="00575C8B" w:rsidP="005275A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275A5">
              <w:t xml:space="preserve">Molėtų rajono </w:t>
            </w:r>
            <w:r w:rsidR="00EB69BF">
              <w:t>savivaldybės administracija 2017</w:t>
            </w:r>
            <w:r w:rsidRPr="005275A5">
              <w:t xml:space="preserve"> m. </w:t>
            </w:r>
            <w:r w:rsidR="005275A5" w:rsidRPr="005275A5">
              <w:t>gruodžio 14</w:t>
            </w:r>
            <w:r w:rsidR="00DF3B5F" w:rsidRPr="005275A5">
              <w:t xml:space="preserve"> d. i</w:t>
            </w:r>
            <w:r w:rsidR="005275A5" w:rsidRPr="005275A5">
              <w:t>š leidyklos „Lututė“  įsigijo 9 komplektus</w:t>
            </w:r>
            <w:r w:rsidR="00DF3B5F" w:rsidRPr="005275A5">
              <w:t xml:space="preserve"> knygų „Lietuvos laukinės gamtos fotografija“, </w:t>
            </w:r>
            <w:r w:rsidR="005275A5">
              <w:t>taip pat užsakė ir apmokėjo 2018</w:t>
            </w:r>
            <w:r w:rsidRPr="005275A5">
              <w:t xml:space="preserve"> m. aplinkosauginių leidinių („Žurnalas apie gamtą“, „Lututė“, „Paukščiai“, „Žū</w:t>
            </w:r>
            <w:r w:rsidR="00DF3B5F" w:rsidRPr="005275A5">
              <w:t>klė“, „ Medžiotojas ir meškeriotojas</w:t>
            </w:r>
            <w:r w:rsidRPr="005275A5">
              <w:t>“,</w:t>
            </w:r>
            <w:r w:rsidR="00DF3B5F" w:rsidRPr="005275A5">
              <w:t xml:space="preserve"> </w:t>
            </w:r>
            <w:r w:rsidRPr="005275A5">
              <w:t>„ Žalias</w:t>
            </w:r>
            <w:r w:rsidR="00DF3B5F" w:rsidRPr="005275A5">
              <w:t>is pasaulis“</w:t>
            </w:r>
            <w:r w:rsidR="005275A5" w:rsidRPr="005275A5">
              <w:t>, „Miškai“, „Žemėtvarka ir hidrotechnika“</w:t>
            </w:r>
            <w:r w:rsidRPr="005275A5">
              <w:t>) prenumeratą švietimo įstaigoms ir bibliotekoms.</w:t>
            </w:r>
          </w:p>
        </w:tc>
        <w:tc>
          <w:tcPr>
            <w:tcW w:w="1381" w:type="dxa"/>
          </w:tcPr>
          <w:p w:rsid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986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36EE8" w:rsidRPr="00575C8B" w:rsidTr="00AF532D">
        <w:tc>
          <w:tcPr>
            <w:tcW w:w="757" w:type="dxa"/>
          </w:tcPr>
          <w:p w:rsidR="00636EE8" w:rsidRPr="00575C8B" w:rsidRDefault="00636EE8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4.5.2.</w:t>
            </w:r>
          </w:p>
        </w:tc>
        <w:tc>
          <w:tcPr>
            <w:tcW w:w="2771" w:type="dxa"/>
          </w:tcPr>
          <w:p w:rsidR="00636EE8" w:rsidRPr="00575C8B" w:rsidRDefault="00636EE8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>
              <w:t>Aplinkos apsaugos srityje dirbančių specialistų (valstybės, savivaldybės ir įmonių darbuotojų) mokymas ir (ar) kvalifikacijos kėlimas</w:t>
            </w:r>
          </w:p>
        </w:tc>
        <w:tc>
          <w:tcPr>
            <w:tcW w:w="5125" w:type="dxa"/>
          </w:tcPr>
          <w:p w:rsidR="00636EE8" w:rsidRPr="005275A5" w:rsidRDefault="00636EE8" w:rsidP="00F96DC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636EE8" w:rsidRDefault="00636EE8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Želdynų ir želdinių apsaugos, tvarkymo, būklės stebėsenos, želdynų kūrimo, želdinių veisimo ir inventorizavimo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4.6.1.</w:t>
            </w:r>
          </w:p>
        </w:tc>
        <w:tc>
          <w:tcPr>
            <w:tcW w:w="2771" w:type="dxa"/>
          </w:tcPr>
          <w:p w:rsidR="00575C8B" w:rsidRPr="00575C8B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Želdynų kūrimo, tvarkymo ir pertvarkymo projektų rengimas</w:t>
            </w:r>
          </w:p>
        </w:tc>
        <w:tc>
          <w:tcPr>
            <w:tcW w:w="5125" w:type="dxa"/>
          </w:tcPr>
          <w:p w:rsidR="00575C8B" w:rsidRPr="00575C8B" w:rsidRDefault="001B330D" w:rsidP="005275A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2017 m. spalio mėn. </w:t>
            </w:r>
            <w:r w:rsidR="005275A5">
              <w:rPr>
                <w:color w:val="000000"/>
              </w:rPr>
              <w:t xml:space="preserve">Molėtų rajono savivaldybės administracija skirtas lėšas panaudojo </w:t>
            </w:r>
            <w:r>
              <w:rPr>
                <w:color w:val="000000"/>
              </w:rPr>
              <w:t>Vilniaus</w:t>
            </w:r>
            <w:r w:rsidR="003222F5">
              <w:rPr>
                <w:color w:val="000000"/>
              </w:rPr>
              <w:t xml:space="preserve"> gatvės </w:t>
            </w:r>
            <w:r w:rsidR="005275A5">
              <w:rPr>
                <w:color w:val="000000"/>
              </w:rPr>
              <w:t>želdynų tvarkymo projekto parengimui.</w:t>
            </w:r>
          </w:p>
        </w:tc>
        <w:tc>
          <w:tcPr>
            <w:tcW w:w="1381" w:type="dxa"/>
          </w:tcPr>
          <w:p w:rsidR="00575C8B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4998</w:t>
            </w:r>
          </w:p>
          <w:p w:rsidR="0005129F" w:rsidRPr="00575C8B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F226F" w:rsidRPr="00575C8B" w:rsidTr="00AF532D">
        <w:tc>
          <w:tcPr>
            <w:tcW w:w="757" w:type="dxa"/>
          </w:tcPr>
          <w:p w:rsidR="002F226F" w:rsidRPr="00575C8B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</w:tcPr>
          <w:p w:rsidR="002F226F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Želdynų ir želdinių tvarkymo ir inventorizavimo įrangos pirkimas</w:t>
            </w:r>
          </w:p>
        </w:tc>
        <w:tc>
          <w:tcPr>
            <w:tcW w:w="5125" w:type="dxa"/>
          </w:tcPr>
          <w:p w:rsidR="002F226F" w:rsidRPr="00575C8B" w:rsidRDefault="005275A5" w:rsidP="00864A41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 xml:space="preserve">2017-05-30 Molėtų rajono savivaldybės administracija įsigijo išlankstomas </w:t>
            </w:r>
            <w:proofErr w:type="spellStart"/>
            <w:r>
              <w:rPr>
                <w:color w:val="000000"/>
              </w:rPr>
              <w:t>žergles</w:t>
            </w:r>
            <w:proofErr w:type="spellEnd"/>
            <w:r>
              <w:rPr>
                <w:color w:val="000000"/>
              </w:rPr>
              <w:t xml:space="preserve"> medžių </w:t>
            </w:r>
            <w:r w:rsidR="00864A41">
              <w:rPr>
                <w:color w:val="000000"/>
              </w:rPr>
              <w:t>skersmeniui</w:t>
            </w:r>
            <w:r>
              <w:rPr>
                <w:color w:val="000000"/>
              </w:rPr>
              <w:t xml:space="preserve"> nustatyti.</w:t>
            </w:r>
          </w:p>
        </w:tc>
        <w:tc>
          <w:tcPr>
            <w:tcW w:w="1381" w:type="dxa"/>
          </w:tcPr>
          <w:p w:rsidR="002F226F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145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Iš viso: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575C8B" w:rsidRPr="00575C8B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26688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5. Ataskaitinio laikotarpio Programos lėšų likučiai (nepanaudotos lėšos):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"/>
        <w:gridCol w:w="7571"/>
        <w:gridCol w:w="1365"/>
      </w:tblGrid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Programos priemonių grupės pavadinimas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Lėšų likutis, </w:t>
            </w:r>
            <w:proofErr w:type="spellStart"/>
            <w:r w:rsidRPr="00575C8B">
              <w:t>Eur</w:t>
            </w:r>
            <w:proofErr w:type="spellEnd"/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>Programos priemonių grupė, kuriai naudojamos lėšos, surinktos už medžiojamųjų gyvūnų išteklių naudojimą (1.8–2)</w:t>
            </w:r>
          </w:p>
        </w:tc>
        <w:tc>
          <w:tcPr>
            <w:tcW w:w="1382" w:type="dxa"/>
          </w:tcPr>
          <w:p w:rsidR="00575C8B" w:rsidRPr="00575C8B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10054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rPr>
                <w:color w:val="000000"/>
              </w:rPr>
              <w:t xml:space="preserve">Savivaldybės visuomenės sveikatos rėmimo specialioji programa </w:t>
            </w:r>
            <w:r w:rsidRPr="00575C8B">
              <w:t>(1.12–3)</w:t>
            </w:r>
          </w:p>
        </w:tc>
        <w:tc>
          <w:tcPr>
            <w:tcW w:w="1382" w:type="dxa"/>
          </w:tcPr>
          <w:p w:rsidR="00575C8B" w:rsidRPr="00575C8B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1983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Kitų Programos aplinkosaugos priemonių grupė (1.15–4)</w:t>
            </w:r>
          </w:p>
        </w:tc>
        <w:tc>
          <w:tcPr>
            <w:tcW w:w="1382" w:type="dxa"/>
          </w:tcPr>
          <w:p w:rsidR="00575C8B" w:rsidRPr="00575C8B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13471</w:t>
            </w:r>
          </w:p>
        </w:tc>
      </w:tr>
      <w:tr w:rsidR="00575C8B" w:rsidRPr="00575C8B" w:rsidTr="00AF532D">
        <w:tc>
          <w:tcPr>
            <w:tcW w:w="690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5.4.</w:t>
            </w:r>
          </w:p>
        </w:tc>
        <w:tc>
          <w:tcPr>
            <w:tcW w:w="7782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2" w:type="dxa"/>
          </w:tcPr>
          <w:p w:rsidR="00575C8B" w:rsidRPr="00575C8B" w:rsidRDefault="002F226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2550</w:t>
            </w:r>
            <w:r w:rsidR="0005129F">
              <w:t>8</w:t>
            </w:r>
          </w:p>
        </w:tc>
      </w:tr>
    </w:tbl>
    <w:p w:rsidR="00575C8B" w:rsidRPr="00575C8B" w:rsidRDefault="00575C8B" w:rsidP="00575C8B">
      <w:pPr>
        <w:tabs>
          <w:tab w:val="left" w:pos="1674"/>
        </w:tabs>
      </w:pP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jc w:val="center"/>
      </w:pPr>
      <w:r w:rsidRPr="00575C8B">
        <w:t>___________________________</w:t>
      </w: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headerReference w:type="even" r:id="rId6"/>
      <w:headerReference w:type="default" r:id="rId7"/>
      <w:headerReference w:type="first" r:id="rId8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5E" w:rsidRDefault="0083545E">
      <w:r>
        <w:separator/>
      </w:r>
    </w:p>
  </w:endnote>
  <w:endnote w:type="continuationSeparator" w:id="0">
    <w:p w:rsidR="0083545E" w:rsidRDefault="0083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5E" w:rsidRDefault="0083545E">
      <w:r>
        <w:separator/>
      </w:r>
    </w:p>
  </w:footnote>
  <w:footnote w:type="continuationSeparator" w:id="0">
    <w:p w:rsidR="0083545E" w:rsidRDefault="0083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6B96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2"/>
    <w:rsid w:val="0005129F"/>
    <w:rsid w:val="0007015D"/>
    <w:rsid w:val="000F188D"/>
    <w:rsid w:val="001156B7"/>
    <w:rsid w:val="0012091C"/>
    <w:rsid w:val="00132437"/>
    <w:rsid w:val="001B330D"/>
    <w:rsid w:val="001F6704"/>
    <w:rsid w:val="00211F14"/>
    <w:rsid w:val="00230146"/>
    <w:rsid w:val="002541DD"/>
    <w:rsid w:val="002A06D1"/>
    <w:rsid w:val="002C189E"/>
    <w:rsid w:val="002C2981"/>
    <w:rsid w:val="002E035B"/>
    <w:rsid w:val="002F226F"/>
    <w:rsid w:val="00305758"/>
    <w:rsid w:val="003222F5"/>
    <w:rsid w:val="00341D56"/>
    <w:rsid w:val="00384B4D"/>
    <w:rsid w:val="003975CE"/>
    <w:rsid w:val="003A762C"/>
    <w:rsid w:val="003C5E2A"/>
    <w:rsid w:val="003C6B96"/>
    <w:rsid w:val="003D4612"/>
    <w:rsid w:val="003E5B20"/>
    <w:rsid w:val="00425574"/>
    <w:rsid w:val="00471C01"/>
    <w:rsid w:val="004968FC"/>
    <w:rsid w:val="004E0A9D"/>
    <w:rsid w:val="004E1E59"/>
    <w:rsid w:val="004F11F1"/>
    <w:rsid w:val="004F285B"/>
    <w:rsid w:val="004F72F2"/>
    <w:rsid w:val="00503B36"/>
    <w:rsid w:val="00504780"/>
    <w:rsid w:val="00525AF7"/>
    <w:rsid w:val="005275A5"/>
    <w:rsid w:val="00545CC2"/>
    <w:rsid w:val="00561916"/>
    <w:rsid w:val="00575C8B"/>
    <w:rsid w:val="005A4424"/>
    <w:rsid w:val="005D1FAD"/>
    <w:rsid w:val="005F0A79"/>
    <w:rsid w:val="005F38B6"/>
    <w:rsid w:val="006038BD"/>
    <w:rsid w:val="006213AE"/>
    <w:rsid w:val="00632426"/>
    <w:rsid w:val="0063663C"/>
    <w:rsid w:val="00636EE8"/>
    <w:rsid w:val="0064765D"/>
    <w:rsid w:val="006614A6"/>
    <w:rsid w:val="006632A9"/>
    <w:rsid w:val="0067153F"/>
    <w:rsid w:val="006C2B2C"/>
    <w:rsid w:val="00770D0F"/>
    <w:rsid w:val="00776F64"/>
    <w:rsid w:val="00794407"/>
    <w:rsid w:val="00794C2F"/>
    <w:rsid w:val="007951EA"/>
    <w:rsid w:val="00796C66"/>
    <w:rsid w:val="007A3F5C"/>
    <w:rsid w:val="007B3AE1"/>
    <w:rsid w:val="007C06C0"/>
    <w:rsid w:val="007E4516"/>
    <w:rsid w:val="008108DC"/>
    <w:rsid w:val="00811E10"/>
    <w:rsid w:val="0083545E"/>
    <w:rsid w:val="00864A41"/>
    <w:rsid w:val="00872337"/>
    <w:rsid w:val="00875E6E"/>
    <w:rsid w:val="00895025"/>
    <w:rsid w:val="008A401C"/>
    <w:rsid w:val="008D28A8"/>
    <w:rsid w:val="0093412A"/>
    <w:rsid w:val="009717A4"/>
    <w:rsid w:val="009B4614"/>
    <w:rsid w:val="009E70D9"/>
    <w:rsid w:val="00A3624E"/>
    <w:rsid w:val="00A64883"/>
    <w:rsid w:val="00A72082"/>
    <w:rsid w:val="00AE325A"/>
    <w:rsid w:val="00B41F31"/>
    <w:rsid w:val="00B50C0B"/>
    <w:rsid w:val="00B60099"/>
    <w:rsid w:val="00BA65BB"/>
    <w:rsid w:val="00BB70B1"/>
    <w:rsid w:val="00BF238A"/>
    <w:rsid w:val="00C16EA1"/>
    <w:rsid w:val="00C41D28"/>
    <w:rsid w:val="00C6755D"/>
    <w:rsid w:val="00C76474"/>
    <w:rsid w:val="00CB51F6"/>
    <w:rsid w:val="00CC1DF9"/>
    <w:rsid w:val="00CE467B"/>
    <w:rsid w:val="00CF2348"/>
    <w:rsid w:val="00CF46F3"/>
    <w:rsid w:val="00D03D5A"/>
    <w:rsid w:val="00D25228"/>
    <w:rsid w:val="00D74773"/>
    <w:rsid w:val="00D8136A"/>
    <w:rsid w:val="00D83B47"/>
    <w:rsid w:val="00DB7660"/>
    <w:rsid w:val="00DC6469"/>
    <w:rsid w:val="00DF3B5F"/>
    <w:rsid w:val="00E0312C"/>
    <w:rsid w:val="00E032E8"/>
    <w:rsid w:val="00EB69BF"/>
    <w:rsid w:val="00EE362D"/>
    <w:rsid w:val="00EE645F"/>
    <w:rsid w:val="00EF1F8B"/>
    <w:rsid w:val="00EF6F6D"/>
    <w:rsid w:val="00F21E9A"/>
    <w:rsid w:val="00F54307"/>
    <w:rsid w:val="00F96DC5"/>
    <w:rsid w:val="00FA013C"/>
    <w:rsid w:val="00FB77DF"/>
    <w:rsid w:val="00FC4FE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789573E"/>
  <w15:docId w15:val="{7A66CAF6-0CC8-44FA-BDD3-E3DDB3E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72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720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633</TotalTime>
  <Pages>4</Pages>
  <Words>1043</Words>
  <Characters>7453</Characters>
  <Application>Microsoft Office Word</Application>
  <DocSecurity>0</DocSecurity>
  <Lines>62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24</cp:revision>
  <cp:lastPrinted>2017-01-19T14:22:00Z</cp:lastPrinted>
  <dcterms:created xsi:type="dcterms:W3CDTF">2017-02-07T07:35:00Z</dcterms:created>
  <dcterms:modified xsi:type="dcterms:W3CDTF">2018-02-09T06:19:00Z</dcterms:modified>
</cp:coreProperties>
</file>