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CC2F8" w14:textId="77777777" w:rsidR="00B96724" w:rsidRPr="004D6957" w:rsidRDefault="00B96724" w:rsidP="00AA1CF4">
      <w:pPr>
        <w:jc w:val="center"/>
        <w:rPr>
          <w:b/>
        </w:rPr>
      </w:pPr>
      <w:r w:rsidRPr="004D6957">
        <w:rPr>
          <w:b/>
        </w:rPr>
        <w:t>LAZDIJŲ RAJONO SAVIVALDYBĖS TARYBA</w:t>
      </w:r>
    </w:p>
    <w:p w14:paraId="74009190" w14:textId="77777777" w:rsidR="00341D76" w:rsidRPr="004D6957" w:rsidRDefault="00341D76" w:rsidP="00AA1CF4">
      <w:pPr>
        <w:jc w:val="center"/>
      </w:pPr>
    </w:p>
    <w:p w14:paraId="54DD29B0" w14:textId="77777777" w:rsidR="00341D76" w:rsidRPr="004D6957" w:rsidRDefault="00341D76" w:rsidP="00AA1CF4">
      <w:pPr>
        <w:pStyle w:val="Antrat1"/>
        <w:rPr>
          <w:rFonts w:ascii="Times New Roman" w:hAnsi="Times New Roman"/>
        </w:rPr>
      </w:pPr>
      <w:r w:rsidRPr="004D6957">
        <w:rPr>
          <w:rFonts w:ascii="Times New Roman" w:hAnsi="Times New Roman"/>
        </w:rPr>
        <w:t>SPRENDIMAS</w:t>
      </w:r>
    </w:p>
    <w:p w14:paraId="43951FD3" w14:textId="77777777" w:rsidR="00531C2E" w:rsidRPr="004D6957" w:rsidRDefault="00393713" w:rsidP="00531C2E">
      <w:pPr>
        <w:jc w:val="center"/>
      </w:pPr>
      <w:r w:rsidRPr="004D6957">
        <w:rPr>
          <w:b/>
        </w:rPr>
        <w:t xml:space="preserve">DĖL </w:t>
      </w:r>
      <w:r w:rsidR="005F0AAA" w:rsidRPr="004D6957">
        <w:rPr>
          <w:b/>
        </w:rPr>
        <w:t xml:space="preserve">UAB „LAZDIJŲ VANDUO“ </w:t>
      </w:r>
      <w:r w:rsidR="00C21726" w:rsidRPr="004D6957">
        <w:rPr>
          <w:b/>
        </w:rPr>
        <w:t>GERIAMOJO VANDENS TIEKIMO IR NUOTEKŲ TVARKYMO, PAVIRŠINIŲ N</w:t>
      </w:r>
      <w:r w:rsidR="0009078C">
        <w:rPr>
          <w:b/>
        </w:rPr>
        <w:t>UOTEKŲ TVARKYMO PASLAUGŲ</w:t>
      </w:r>
      <w:r w:rsidR="00C21726" w:rsidRPr="004D6957">
        <w:rPr>
          <w:b/>
        </w:rPr>
        <w:t xml:space="preserve"> </w:t>
      </w:r>
      <w:r w:rsidR="00AC306E">
        <w:rPr>
          <w:b/>
        </w:rPr>
        <w:t xml:space="preserve">PERSKAIČIUOTŲ </w:t>
      </w:r>
      <w:r w:rsidR="00C21726" w:rsidRPr="004D6957">
        <w:rPr>
          <w:b/>
        </w:rPr>
        <w:t>KAINŲ NUSTATYMO</w:t>
      </w:r>
    </w:p>
    <w:p w14:paraId="4AF2C827" w14:textId="77777777" w:rsidR="00393713" w:rsidRPr="004D6957" w:rsidRDefault="00393713" w:rsidP="00531C2E">
      <w:pPr>
        <w:jc w:val="center"/>
      </w:pPr>
      <w:bookmarkStart w:id="0" w:name="Data"/>
    </w:p>
    <w:p w14:paraId="5EF56C96" w14:textId="57537048" w:rsidR="00531C2E" w:rsidRPr="004D6957" w:rsidRDefault="009265F3" w:rsidP="00531C2E">
      <w:pPr>
        <w:jc w:val="center"/>
      </w:pPr>
      <w:r w:rsidRPr="004D6957">
        <w:t>20</w:t>
      </w:r>
      <w:r w:rsidR="00635CBB">
        <w:t>20</w:t>
      </w:r>
      <w:r w:rsidR="00531C2E" w:rsidRPr="004D6957">
        <w:t xml:space="preserve"> m.</w:t>
      </w:r>
      <w:r w:rsidR="0071498C">
        <w:t xml:space="preserve"> lapkričio</w:t>
      </w:r>
      <w:r w:rsidR="0098510D">
        <w:t xml:space="preserve"> 1</w:t>
      </w:r>
      <w:r w:rsidR="00DF4D21">
        <w:t>6</w:t>
      </w:r>
      <w:r w:rsidR="006D0DE9">
        <w:t xml:space="preserve"> </w:t>
      </w:r>
      <w:r w:rsidR="00531C2E" w:rsidRPr="004D6957">
        <w:t>d.</w:t>
      </w:r>
      <w:bookmarkEnd w:id="0"/>
      <w:r w:rsidR="00531C2E" w:rsidRPr="004D6957">
        <w:t xml:space="preserve"> Nr.</w:t>
      </w:r>
      <w:bookmarkStart w:id="1" w:name="Nr"/>
      <w:r w:rsidR="006D0DE9">
        <w:t xml:space="preserve"> 34-</w:t>
      </w:r>
      <w:r w:rsidR="0098510D">
        <w:t>573</w:t>
      </w:r>
    </w:p>
    <w:bookmarkEnd w:id="1"/>
    <w:p w14:paraId="0853B054" w14:textId="77777777" w:rsidR="00531C2E" w:rsidRPr="004D6957" w:rsidRDefault="00531C2E" w:rsidP="00531C2E">
      <w:pPr>
        <w:jc w:val="center"/>
      </w:pPr>
      <w:r w:rsidRPr="004D6957">
        <w:t>Lazdijai</w:t>
      </w:r>
    </w:p>
    <w:p w14:paraId="0DA04755" w14:textId="77777777" w:rsidR="00531C2E" w:rsidRPr="004D6957" w:rsidRDefault="00531C2E" w:rsidP="00531C2E"/>
    <w:p w14:paraId="58DD3FED" w14:textId="10481805" w:rsidR="00531C2E" w:rsidRPr="004D6957" w:rsidRDefault="00531C2E" w:rsidP="0062074A">
      <w:pPr>
        <w:spacing w:line="360" w:lineRule="auto"/>
        <w:jc w:val="both"/>
      </w:pPr>
      <w:r w:rsidRPr="004D6957">
        <w:tab/>
      </w:r>
      <w:r w:rsidR="00B96724" w:rsidRPr="004D6957">
        <w:t xml:space="preserve">Vadovaudamasi Lietuvos Respublikos vietos savivaldos įstatymo 16 straipsnio 2 dalies 37 punktu, </w:t>
      </w:r>
      <w:r w:rsidR="009B0A24" w:rsidRPr="004D6957">
        <w:t xml:space="preserve">Lietuvos Respublikos </w:t>
      </w:r>
      <w:r w:rsidR="005F0AAA" w:rsidRPr="004D6957">
        <w:t>geriamojo vandens tiekimo ir nuotekų tvarkymo įstatymo</w:t>
      </w:r>
      <w:r w:rsidR="005B1C45" w:rsidRPr="004D6957">
        <w:t xml:space="preserve"> </w:t>
      </w:r>
      <w:r w:rsidR="00426A2F" w:rsidRPr="004D6957">
        <w:t>10</w:t>
      </w:r>
      <w:r w:rsidR="0060730E" w:rsidRPr="004D6957">
        <w:t xml:space="preserve"> straipsni</w:t>
      </w:r>
      <w:r w:rsidR="00FD7A47" w:rsidRPr="004D6957">
        <w:t>o 6</w:t>
      </w:r>
      <w:r w:rsidR="0009078C">
        <w:t>, 7 punktais</w:t>
      </w:r>
      <w:r w:rsidR="00FD7A47" w:rsidRPr="004D6957">
        <w:t xml:space="preserve"> ir 34</w:t>
      </w:r>
      <w:r w:rsidR="00EA7F7C" w:rsidRPr="004D6957">
        <w:t xml:space="preserve"> straipsnio </w:t>
      </w:r>
      <w:r w:rsidR="00FD7A47" w:rsidRPr="004D6957">
        <w:t>2</w:t>
      </w:r>
      <w:r w:rsidR="005F03AC" w:rsidRPr="004D6957">
        <w:t xml:space="preserve"> </w:t>
      </w:r>
      <w:r w:rsidR="00EA7F7C" w:rsidRPr="004D6957">
        <w:t>dalimi</w:t>
      </w:r>
      <w:r w:rsidR="005F0AAA" w:rsidRPr="004D6957">
        <w:t xml:space="preserve">, </w:t>
      </w:r>
      <w:r w:rsidR="00FC5D8F" w:rsidRPr="004D6957">
        <w:t xml:space="preserve">Valstybinės </w:t>
      </w:r>
      <w:r w:rsidR="00A90A03">
        <w:t>energetikos reguliavimo tarybos</w:t>
      </w:r>
      <w:r w:rsidR="009265F3" w:rsidRPr="004D6957">
        <w:t xml:space="preserve"> </w:t>
      </w:r>
      <w:r w:rsidR="00BF77DB" w:rsidRPr="004D6957">
        <w:t>20</w:t>
      </w:r>
      <w:r w:rsidR="00DC7ADC">
        <w:t xml:space="preserve">20 </w:t>
      </w:r>
      <w:r w:rsidR="00FC5D8F" w:rsidRPr="004D6957">
        <w:t xml:space="preserve">m. </w:t>
      </w:r>
      <w:r w:rsidR="00DC7ADC">
        <w:t>spalio</w:t>
      </w:r>
      <w:r w:rsidR="009265F3" w:rsidRPr="004D6957">
        <w:t xml:space="preserve"> </w:t>
      </w:r>
      <w:r w:rsidR="00DC7ADC">
        <w:t>1</w:t>
      </w:r>
      <w:r w:rsidR="00FC5D8F" w:rsidRPr="004D6957">
        <w:t xml:space="preserve"> d. nutarimu Nr. O3</w:t>
      </w:r>
      <w:r w:rsidR="00BF77DB" w:rsidRPr="004D6957">
        <w:t>E</w:t>
      </w:r>
      <w:r w:rsidR="00FC5D8F" w:rsidRPr="004D6957">
        <w:t>-</w:t>
      </w:r>
      <w:r w:rsidR="00DC7ADC">
        <w:t>915</w:t>
      </w:r>
      <w:r w:rsidR="00FC5D8F" w:rsidRPr="004D6957">
        <w:t xml:space="preserve"> „Dėl </w:t>
      </w:r>
      <w:r w:rsidR="00DC7ADC">
        <w:t>UAB</w:t>
      </w:r>
      <w:r w:rsidR="00FC5D8F" w:rsidRPr="004D6957">
        <w:t xml:space="preserve"> „Lazdijų vanduo“ </w:t>
      </w:r>
      <w:r w:rsidR="00DC7ADC">
        <w:t>perskaičiuotų geriamojo vandens tiekimo ir nuotekų tvarkymo bei paviršinių nuotekų tvarkymo paslaugų bazinių kainų derinimo</w:t>
      </w:r>
      <w:r w:rsidR="00FC5D8F" w:rsidRPr="004D6957">
        <w:t xml:space="preserve">“ </w:t>
      </w:r>
      <w:r w:rsidR="009B0A24" w:rsidRPr="004D6957">
        <w:t>ir atsižvelgdama į</w:t>
      </w:r>
      <w:r w:rsidR="00AA1CF4" w:rsidRPr="004D6957">
        <w:t xml:space="preserve"> </w:t>
      </w:r>
      <w:r w:rsidR="00625F8E" w:rsidRPr="004D6957">
        <w:t xml:space="preserve">UAB </w:t>
      </w:r>
      <w:r w:rsidR="009B0A24" w:rsidRPr="004D6957">
        <w:t>„</w:t>
      </w:r>
      <w:r w:rsidR="009B0A24" w:rsidRPr="00690CF8">
        <w:rPr>
          <w:color w:val="000000"/>
        </w:rPr>
        <w:t xml:space="preserve">Lazdijų </w:t>
      </w:r>
      <w:r w:rsidR="005F0AAA" w:rsidRPr="00690CF8">
        <w:rPr>
          <w:color w:val="000000"/>
        </w:rPr>
        <w:t>vanduo</w:t>
      </w:r>
      <w:r w:rsidR="009B0A24" w:rsidRPr="00690CF8">
        <w:rPr>
          <w:color w:val="000000"/>
        </w:rPr>
        <w:t>“ 20</w:t>
      </w:r>
      <w:r w:rsidR="00E10495" w:rsidRPr="00690CF8">
        <w:rPr>
          <w:color w:val="000000"/>
        </w:rPr>
        <w:t>20</w:t>
      </w:r>
      <w:r w:rsidR="00F45740" w:rsidRPr="00690CF8">
        <w:rPr>
          <w:color w:val="000000"/>
        </w:rPr>
        <w:t>-</w:t>
      </w:r>
      <w:r w:rsidR="00E10495" w:rsidRPr="00690CF8">
        <w:rPr>
          <w:color w:val="000000"/>
        </w:rPr>
        <w:t>10</w:t>
      </w:r>
      <w:r w:rsidR="00F45740" w:rsidRPr="00690CF8">
        <w:rPr>
          <w:color w:val="000000"/>
        </w:rPr>
        <w:t>-</w:t>
      </w:r>
      <w:r w:rsidR="0062074A" w:rsidRPr="00690CF8">
        <w:rPr>
          <w:color w:val="000000"/>
        </w:rPr>
        <w:t>12</w:t>
      </w:r>
      <w:r w:rsidR="00F45740" w:rsidRPr="00690CF8">
        <w:rPr>
          <w:color w:val="000000"/>
        </w:rPr>
        <w:t xml:space="preserve"> raš</w:t>
      </w:r>
      <w:r w:rsidR="007B612C" w:rsidRPr="00690CF8">
        <w:rPr>
          <w:color w:val="000000"/>
        </w:rPr>
        <w:t>tą</w:t>
      </w:r>
      <w:r w:rsidR="009B0A24" w:rsidRPr="00690CF8">
        <w:rPr>
          <w:color w:val="000000"/>
        </w:rPr>
        <w:t xml:space="preserve"> Nr. </w:t>
      </w:r>
      <w:r w:rsidR="0062074A" w:rsidRPr="00690CF8">
        <w:rPr>
          <w:color w:val="000000"/>
        </w:rPr>
        <w:t>LV</w:t>
      </w:r>
      <w:r w:rsidR="00625F8E" w:rsidRPr="00690CF8">
        <w:rPr>
          <w:color w:val="000000"/>
        </w:rPr>
        <w:t>8</w:t>
      </w:r>
      <w:r w:rsidR="005F0AAA" w:rsidRPr="00690CF8">
        <w:rPr>
          <w:color w:val="000000"/>
        </w:rPr>
        <w:t>-</w:t>
      </w:r>
      <w:r w:rsidR="00625F8E" w:rsidRPr="00690CF8">
        <w:rPr>
          <w:color w:val="000000"/>
        </w:rPr>
        <w:t>1</w:t>
      </w:r>
      <w:r w:rsidR="00E10495" w:rsidRPr="00690CF8">
        <w:rPr>
          <w:color w:val="000000"/>
        </w:rPr>
        <w:t>89</w:t>
      </w:r>
      <w:r w:rsidR="008D39E9" w:rsidRPr="00690CF8">
        <w:rPr>
          <w:color w:val="000000"/>
        </w:rPr>
        <w:t xml:space="preserve"> „</w:t>
      </w:r>
      <w:r w:rsidR="0062074A" w:rsidRPr="00690CF8">
        <w:rPr>
          <w:bCs/>
          <w:color w:val="000000"/>
          <w:lang w:eastAsia="lt-LT"/>
        </w:rPr>
        <w:t xml:space="preserve">Dėl </w:t>
      </w:r>
      <w:r w:rsidR="00E10495" w:rsidRPr="00690CF8">
        <w:rPr>
          <w:bCs/>
          <w:color w:val="000000"/>
          <w:lang w:eastAsia="lt-LT"/>
        </w:rPr>
        <w:t>UAB</w:t>
      </w:r>
      <w:r w:rsidR="0062074A" w:rsidRPr="00690CF8">
        <w:rPr>
          <w:bCs/>
          <w:color w:val="000000"/>
          <w:lang w:eastAsia="lt-LT"/>
        </w:rPr>
        <w:t xml:space="preserve"> </w:t>
      </w:r>
      <w:r w:rsidR="00292D1A" w:rsidRPr="00690CF8">
        <w:rPr>
          <w:bCs/>
          <w:color w:val="000000"/>
          <w:lang w:eastAsia="lt-LT"/>
        </w:rPr>
        <w:t>„</w:t>
      </w:r>
      <w:r w:rsidR="0062074A" w:rsidRPr="00690CF8">
        <w:rPr>
          <w:bCs/>
          <w:color w:val="000000"/>
          <w:lang w:eastAsia="lt-LT"/>
        </w:rPr>
        <w:t>Lazdijų vanduo</w:t>
      </w:r>
      <w:r w:rsidR="00292D1A" w:rsidRPr="00690CF8">
        <w:rPr>
          <w:bCs/>
          <w:color w:val="000000"/>
          <w:lang w:eastAsia="lt-LT"/>
        </w:rPr>
        <w:t>“</w:t>
      </w:r>
      <w:r w:rsidR="0062074A" w:rsidRPr="00690CF8">
        <w:rPr>
          <w:bCs/>
          <w:color w:val="000000"/>
          <w:lang w:eastAsia="lt-LT"/>
        </w:rPr>
        <w:t xml:space="preserve"> </w:t>
      </w:r>
      <w:r w:rsidR="00E10495" w:rsidRPr="00690CF8">
        <w:rPr>
          <w:bCs/>
          <w:color w:val="000000"/>
          <w:lang w:eastAsia="lt-LT"/>
        </w:rPr>
        <w:t xml:space="preserve">perskaičiuotų </w:t>
      </w:r>
      <w:r w:rsidR="0062074A" w:rsidRPr="00690CF8">
        <w:rPr>
          <w:bCs/>
          <w:color w:val="000000"/>
          <w:lang w:eastAsia="lt-LT"/>
        </w:rPr>
        <w:t>geriamojo vandens tiekimo ir nuotekų tvarkymo</w:t>
      </w:r>
      <w:r w:rsidR="00E10495" w:rsidRPr="00690CF8">
        <w:rPr>
          <w:bCs/>
          <w:color w:val="000000"/>
          <w:lang w:eastAsia="lt-LT"/>
        </w:rPr>
        <w:t xml:space="preserve"> bei</w:t>
      </w:r>
      <w:r w:rsidR="0062074A" w:rsidRPr="00690CF8">
        <w:rPr>
          <w:bCs/>
          <w:color w:val="000000"/>
          <w:lang w:eastAsia="lt-LT"/>
        </w:rPr>
        <w:t xml:space="preserve"> paviršinių nuotekų tvarkymo paslaugų bazinių kainų tvirtinimo</w:t>
      </w:r>
      <w:r w:rsidR="008D39E9" w:rsidRPr="00690CF8">
        <w:rPr>
          <w:color w:val="000000"/>
        </w:rPr>
        <w:t>“</w:t>
      </w:r>
      <w:r w:rsidR="00693368" w:rsidRPr="00690CF8">
        <w:rPr>
          <w:color w:val="000000"/>
        </w:rPr>
        <w:t>,</w:t>
      </w:r>
      <w:r w:rsidR="00693368" w:rsidRPr="004D6957">
        <w:t xml:space="preserve"> </w:t>
      </w:r>
      <w:r w:rsidRPr="004D6957">
        <w:t xml:space="preserve">Lazdijų rajono savivaldybės taryba </w:t>
      </w:r>
      <w:r w:rsidRPr="004D6957">
        <w:rPr>
          <w:spacing w:val="30"/>
        </w:rPr>
        <w:t>nusprendži</w:t>
      </w:r>
      <w:r w:rsidRPr="004D6957">
        <w:t>a:</w:t>
      </w:r>
    </w:p>
    <w:p w14:paraId="3AEA3BD8" w14:textId="77777777" w:rsidR="005F0AAA" w:rsidRPr="004D6957" w:rsidRDefault="005F0AAA" w:rsidP="004302A3">
      <w:pPr>
        <w:spacing w:line="360" w:lineRule="auto"/>
        <w:ind w:firstLine="851"/>
        <w:jc w:val="both"/>
      </w:pPr>
      <w:r w:rsidRPr="004D6957">
        <w:t xml:space="preserve">1. Nustatyti </w:t>
      </w:r>
      <w:r w:rsidR="00DC7ADC">
        <w:t xml:space="preserve">perskaičiuotas </w:t>
      </w:r>
      <w:r w:rsidRPr="004D6957">
        <w:t>uždarosios akcinės bendrovės „Lazdijų vanduo“ geriamojo vandens tiekimo ir nuotekų tvarkymo</w:t>
      </w:r>
      <w:r w:rsidR="006438FE">
        <w:t>, paviršinių nuotekų tvarkymo paslaugų</w:t>
      </w:r>
      <w:r w:rsidR="005F03AC" w:rsidRPr="004D6957">
        <w:t xml:space="preserve"> </w:t>
      </w:r>
      <w:r w:rsidRPr="004D6957">
        <w:t xml:space="preserve">kainas </w:t>
      </w:r>
      <w:r w:rsidR="005F03AC" w:rsidRPr="004D6957">
        <w:t>(</w:t>
      </w:r>
      <w:r w:rsidRPr="004D6957">
        <w:t>be pridėtinės vertės mokesčio</w:t>
      </w:r>
      <w:r w:rsidR="005F03AC" w:rsidRPr="004D6957">
        <w:t>)</w:t>
      </w:r>
      <w:r w:rsidRPr="004D6957">
        <w:t>:</w:t>
      </w:r>
    </w:p>
    <w:p w14:paraId="470691A7" w14:textId="1F55C356" w:rsidR="00D965D6" w:rsidRPr="007F5EA7" w:rsidRDefault="00BF77DB" w:rsidP="00D965D6">
      <w:pPr>
        <w:spacing w:line="360" w:lineRule="auto"/>
        <w:ind w:right="-1" w:firstLine="851"/>
        <w:jc w:val="both"/>
      </w:pPr>
      <w:r w:rsidRPr="004D6957">
        <w:rPr>
          <w:bCs/>
        </w:rPr>
        <w:t xml:space="preserve">1.1. </w:t>
      </w:r>
      <w:r w:rsidR="00D965D6">
        <w:rPr>
          <w:bCs/>
        </w:rPr>
        <w:t xml:space="preserve">perskaičiuotą </w:t>
      </w:r>
      <w:r w:rsidR="00D965D6" w:rsidRPr="007F5EA7">
        <w:t xml:space="preserve">geriamojo vandens tiekimo ir nuotekų tvarkymo paslaugų bazinę kainą vartotojams, perkantiems geriamojo vandens tiekimo ir nuotekų tvarkymo paslaugas </w:t>
      </w:r>
      <w:r w:rsidR="00D965D6" w:rsidRPr="007F5EA7">
        <w:br/>
        <w:t>bute – 2,71 Eur/m</w:t>
      </w:r>
      <w:r w:rsidR="00D965D6" w:rsidRPr="007F5EA7">
        <w:rPr>
          <w:vertAlign w:val="superscript"/>
        </w:rPr>
        <w:t>3</w:t>
      </w:r>
      <w:r w:rsidR="00D965D6" w:rsidRPr="007F5EA7">
        <w:t>, iš šio skaičiaus:</w:t>
      </w:r>
    </w:p>
    <w:p w14:paraId="620E98BF" w14:textId="77777777" w:rsidR="00D965D6" w:rsidRPr="007F5EA7" w:rsidRDefault="00D965D6" w:rsidP="00D965D6">
      <w:pPr>
        <w:spacing w:line="360" w:lineRule="auto"/>
        <w:ind w:right="-1" w:firstLine="851"/>
        <w:jc w:val="both"/>
      </w:pPr>
      <w:r w:rsidRPr="007F5EA7">
        <w:t>1.1.1. geriamojo vandens tiekimo – 0,86 Eur/m</w:t>
      </w:r>
      <w:r w:rsidRPr="007F5EA7">
        <w:rPr>
          <w:vertAlign w:val="superscript"/>
        </w:rPr>
        <w:t>3</w:t>
      </w:r>
      <w:r w:rsidRPr="007F5EA7">
        <w:t>;</w:t>
      </w:r>
    </w:p>
    <w:p w14:paraId="6506B27F" w14:textId="77777777" w:rsidR="00D965D6" w:rsidRPr="007F5EA7" w:rsidRDefault="00D965D6" w:rsidP="00D965D6">
      <w:pPr>
        <w:spacing w:line="360" w:lineRule="auto"/>
        <w:ind w:right="-1" w:firstLine="851"/>
        <w:jc w:val="both"/>
      </w:pPr>
      <w:r w:rsidRPr="007F5EA7">
        <w:t>1.1.2. nuotekų tvarkymo – 1,85 Eur/m</w:t>
      </w:r>
      <w:r w:rsidRPr="007F5EA7">
        <w:rPr>
          <w:vertAlign w:val="superscript"/>
        </w:rPr>
        <w:t>3</w:t>
      </w:r>
      <w:r w:rsidRPr="007F5EA7">
        <w:t>, iš šio skaičiaus:</w:t>
      </w:r>
    </w:p>
    <w:p w14:paraId="4CFAAD8B" w14:textId="77777777" w:rsidR="00D965D6" w:rsidRPr="007F5EA7" w:rsidRDefault="00D965D6" w:rsidP="00D965D6">
      <w:pPr>
        <w:spacing w:line="360" w:lineRule="auto"/>
        <w:ind w:right="-1" w:firstLine="851"/>
        <w:jc w:val="both"/>
      </w:pPr>
      <w:r w:rsidRPr="007F5EA7">
        <w:t>1.1.2.1. nuotekų surinkimo – 0,53 Eur/m</w:t>
      </w:r>
      <w:r w:rsidRPr="007F5EA7">
        <w:rPr>
          <w:vertAlign w:val="superscript"/>
        </w:rPr>
        <w:t>3</w:t>
      </w:r>
      <w:r w:rsidRPr="007F5EA7">
        <w:t>;</w:t>
      </w:r>
    </w:p>
    <w:p w14:paraId="47E08D8E" w14:textId="77777777" w:rsidR="00D965D6" w:rsidRPr="007F5EA7" w:rsidRDefault="00D965D6" w:rsidP="00D965D6">
      <w:pPr>
        <w:spacing w:line="360" w:lineRule="auto"/>
        <w:ind w:right="-1" w:firstLine="851"/>
        <w:jc w:val="both"/>
      </w:pPr>
      <w:r w:rsidRPr="007F5EA7">
        <w:t>1.1.2.2. nuotekų valymo – 1,23 Eur/m</w:t>
      </w:r>
      <w:r w:rsidRPr="007F5EA7">
        <w:rPr>
          <w:vertAlign w:val="superscript"/>
        </w:rPr>
        <w:t>3</w:t>
      </w:r>
      <w:r w:rsidRPr="007F5EA7">
        <w:t>;</w:t>
      </w:r>
    </w:p>
    <w:p w14:paraId="0CA3552F" w14:textId="77777777" w:rsidR="00D965D6" w:rsidRPr="007F5EA7" w:rsidRDefault="00D965D6" w:rsidP="00D965D6">
      <w:pPr>
        <w:tabs>
          <w:tab w:val="num" w:pos="1848"/>
        </w:tabs>
        <w:spacing w:line="360" w:lineRule="auto"/>
        <w:ind w:right="-1" w:firstLine="851"/>
        <w:jc w:val="both"/>
        <w:rPr>
          <w:iCs/>
          <w:position w:val="-6"/>
        </w:rPr>
      </w:pPr>
      <w:r w:rsidRPr="007F5EA7">
        <w:rPr>
          <w:iCs/>
          <w:position w:val="-6"/>
        </w:rPr>
        <w:t>1.1.2.3. nuotekų dumblo tvarkymo – 0,09 Eur/m</w:t>
      </w:r>
      <w:r w:rsidRPr="007F5EA7">
        <w:rPr>
          <w:iCs/>
          <w:position w:val="-6"/>
          <w:vertAlign w:val="superscript"/>
        </w:rPr>
        <w:t>3</w:t>
      </w:r>
      <w:r w:rsidRPr="007F5EA7">
        <w:rPr>
          <w:iCs/>
          <w:position w:val="-6"/>
        </w:rPr>
        <w:t>;</w:t>
      </w:r>
    </w:p>
    <w:p w14:paraId="7107A252" w14:textId="77777777" w:rsidR="00D965D6" w:rsidRPr="007F5EA7" w:rsidRDefault="00BF77DB" w:rsidP="00D965D6">
      <w:pPr>
        <w:spacing w:line="360" w:lineRule="auto"/>
        <w:ind w:right="-1" w:firstLine="851"/>
        <w:jc w:val="both"/>
      </w:pPr>
      <w:r w:rsidRPr="004D6957">
        <w:rPr>
          <w:bCs/>
        </w:rPr>
        <w:t xml:space="preserve">1.2. </w:t>
      </w:r>
      <w:r w:rsidR="00D965D6" w:rsidRPr="007F5EA7">
        <w:t xml:space="preserve">perskaičiuotą geriamojo vandens tiekimo ir nuotekų tvarkymo paslaugų bazinę kainą vartotojams, perkantiems geriamojo vandens tiekimo ir nuotekų tvarkymo paslaugas individualių gyvenamųjų namų ar kitų patalpų, skirtų asmeninėms, šeimos ar namų reikmėms, </w:t>
      </w:r>
      <w:r w:rsidR="00D965D6" w:rsidRPr="007F5EA7">
        <w:br/>
        <w:t>įvaduose – 2,62 Eur/m</w:t>
      </w:r>
      <w:r w:rsidR="00D965D6" w:rsidRPr="007F5EA7">
        <w:rPr>
          <w:vertAlign w:val="superscript"/>
        </w:rPr>
        <w:t>3</w:t>
      </w:r>
      <w:r w:rsidR="00D965D6" w:rsidRPr="007F5EA7">
        <w:t>, iš šio skaičiaus:</w:t>
      </w:r>
    </w:p>
    <w:p w14:paraId="4CEB111C" w14:textId="77777777" w:rsidR="00D965D6" w:rsidRPr="007F5EA7" w:rsidRDefault="00D965D6" w:rsidP="00D965D6">
      <w:pPr>
        <w:spacing w:line="360" w:lineRule="auto"/>
        <w:ind w:right="-1" w:firstLine="851"/>
        <w:jc w:val="both"/>
      </w:pPr>
      <w:r w:rsidRPr="007F5EA7">
        <w:t>1.2.1. geriamojo vandens tiekimo – 0,83 Eur/m</w:t>
      </w:r>
      <w:r w:rsidRPr="007F5EA7">
        <w:rPr>
          <w:vertAlign w:val="superscript"/>
        </w:rPr>
        <w:t>3</w:t>
      </w:r>
      <w:r w:rsidRPr="007F5EA7">
        <w:t>;</w:t>
      </w:r>
    </w:p>
    <w:p w14:paraId="70FC399C" w14:textId="77777777" w:rsidR="00D965D6" w:rsidRPr="007F5EA7" w:rsidRDefault="00D965D6" w:rsidP="00D965D6">
      <w:pPr>
        <w:spacing w:line="360" w:lineRule="auto"/>
        <w:ind w:right="-1" w:firstLine="851"/>
        <w:jc w:val="both"/>
      </w:pPr>
      <w:r w:rsidRPr="007F5EA7">
        <w:t>1.2.2. nuotekų tvarkymo – 1,79 Eur/m</w:t>
      </w:r>
      <w:r w:rsidRPr="007F5EA7">
        <w:rPr>
          <w:vertAlign w:val="superscript"/>
        </w:rPr>
        <w:t>3</w:t>
      </w:r>
      <w:r w:rsidRPr="007F5EA7">
        <w:t>, iš šio skaičiaus:</w:t>
      </w:r>
    </w:p>
    <w:p w14:paraId="173AF8BB" w14:textId="77777777" w:rsidR="00D965D6" w:rsidRPr="007F5EA7" w:rsidRDefault="00D965D6" w:rsidP="00D965D6">
      <w:pPr>
        <w:spacing w:line="360" w:lineRule="auto"/>
        <w:ind w:right="-1" w:firstLine="851"/>
        <w:jc w:val="both"/>
      </w:pPr>
      <w:r w:rsidRPr="007F5EA7">
        <w:t>1.2.2.1. nuotekų surinkimo – 0,51 Eur/m</w:t>
      </w:r>
      <w:r w:rsidRPr="007F5EA7">
        <w:rPr>
          <w:vertAlign w:val="superscript"/>
        </w:rPr>
        <w:t>3</w:t>
      </w:r>
      <w:r w:rsidRPr="007F5EA7">
        <w:t>;</w:t>
      </w:r>
    </w:p>
    <w:p w14:paraId="4C64D681" w14:textId="77777777" w:rsidR="00D965D6" w:rsidRPr="007F5EA7" w:rsidRDefault="00D965D6" w:rsidP="00D965D6">
      <w:pPr>
        <w:spacing w:line="360" w:lineRule="auto"/>
        <w:ind w:right="-1" w:firstLine="851"/>
        <w:jc w:val="both"/>
      </w:pPr>
      <w:r w:rsidRPr="007F5EA7">
        <w:t>1.2.2.2. nuotekų valymo – 1,19 Eur/m</w:t>
      </w:r>
      <w:r w:rsidRPr="007F5EA7">
        <w:rPr>
          <w:vertAlign w:val="superscript"/>
        </w:rPr>
        <w:t>3</w:t>
      </w:r>
      <w:r w:rsidRPr="007F5EA7">
        <w:t>;</w:t>
      </w:r>
    </w:p>
    <w:p w14:paraId="5385F205" w14:textId="77777777" w:rsidR="00D965D6" w:rsidRPr="007F5EA7" w:rsidRDefault="00D965D6" w:rsidP="00D965D6">
      <w:pPr>
        <w:tabs>
          <w:tab w:val="num" w:pos="1848"/>
        </w:tabs>
        <w:spacing w:line="360" w:lineRule="auto"/>
        <w:ind w:right="-1" w:firstLine="851"/>
        <w:jc w:val="both"/>
        <w:rPr>
          <w:iCs/>
          <w:position w:val="-6"/>
        </w:rPr>
      </w:pPr>
      <w:r w:rsidRPr="007F5EA7">
        <w:rPr>
          <w:iCs/>
          <w:position w:val="-6"/>
        </w:rPr>
        <w:t>1.2.2.3. nuotekų dumblo tvarkymo – 0,09 Eur/m</w:t>
      </w:r>
      <w:r w:rsidRPr="007F5EA7">
        <w:rPr>
          <w:iCs/>
          <w:position w:val="-6"/>
          <w:vertAlign w:val="superscript"/>
        </w:rPr>
        <w:t>3</w:t>
      </w:r>
      <w:r w:rsidRPr="007F5EA7">
        <w:rPr>
          <w:iCs/>
          <w:position w:val="-6"/>
        </w:rPr>
        <w:t>;</w:t>
      </w:r>
    </w:p>
    <w:p w14:paraId="54A29DE1" w14:textId="77777777" w:rsidR="00D965D6" w:rsidRPr="007F5EA7" w:rsidRDefault="00D965D6" w:rsidP="00D965D6">
      <w:pPr>
        <w:spacing w:line="360" w:lineRule="auto"/>
        <w:ind w:right="-1" w:firstLine="851"/>
        <w:jc w:val="both"/>
      </w:pPr>
      <w:r w:rsidRPr="007F5EA7">
        <w:lastRenderedPageBreak/>
        <w:t>1.3. perskaičiuotą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2,71 Eur/m</w:t>
      </w:r>
      <w:r w:rsidRPr="007F5EA7">
        <w:rPr>
          <w:vertAlign w:val="superscript"/>
        </w:rPr>
        <w:t>3</w:t>
      </w:r>
      <w:r w:rsidRPr="007F5EA7">
        <w:t>, iš šio skaičiaus:</w:t>
      </w:r>
    </w:p>
    <w:p w14:paraId="7D8FA870" w14:textId="77777777" w:rsidR="00D965D6" w:rsidRPr="007F5EA7" w:rsidRDefault="00D965D6" w:rsidP="00D965D6">
      <w:pPr>
        <w:spacing w:line="360" w:lineRule="auto"/>
        <w:ind w:right="-1" w:firstLine="851"/>
        <w:jc w:val="both"/>
      </w:pPr>
      <w:r w:rsidRPr="007F5EA7">
        <w:t>1.3.1. geriamojo vandens tiekimo – 0,92 Eur/m</w:t>
      </w:r>
      <w:r w:rsidRPr="007F5EA7">
        <w:rPr>
          <w:vertAlign w:val="superscript"/>
        </w:rPr>
        <w:t>3</w:t>
      </w:r>
      <w:r w:rsidRPr="007F5EA7">
        <w:t>;</w:t>
      </w:r>
    </w:p>
    <w:p w14:paraId="0B3DB984" w14:textId="77777777" w:rsidR="00D965D6" w:rsidRPr="007F5EA7" w:rsidRDefault="00D965D6" w:rsidP="00D965D6">
      <w:pPr>
        <w:spacing w:line="360" w:lineRule="auto"/>
        <w:ind w:right="-1" w:firstLine="851"/>
        <w:jc w:val="both"/>
      </w:pPr>
      <w:r w:rsidRPr="007F5EA7">
        <w:t>1.3.2. nuotekų tvarkymo – 1,79 Eur/m</w:t>
      </w:r>
      <w:r w:rsidRPr="007F5EA7">
        <w:rPr>
          <w:vertAlign w:val="superscript"/>
        </w:rPr>
        <w:t>3</w:t>
      </w:r>
      <w:r w:rsidRPr="007F5EA7">
        <w:t>, iš šio skaičiaus:</w:t>
      </w:r>
    </w:p>
    <w:p w14:paraId="5A02B4EC" w14:textId="77777777" w:rsidR="00D965D6" w:rsidRPr="007F5EA7" w:rsidRDefault="00D965D6" w:rsidP="00D965D6">
      <w:pPr>
        <w:spacing w:line="360" w:lineRule="auto"/>
        <w:ind w:right="-1" w:firstLine="851"/>
        <w:jc w:val="both"/>
      </w:pPr>
      <w:r w:rsidRPr="007F5EA7">
        <w:t>1.3.2.1. nuotekų surinkimo – 0,51 Eur/m</w:t>
      </w:r>
      <w:r w:rsidRPr="007F5EA7">
        <w:rPr>
          <w:vertAlign w:val="superscript"/>
        </w:rPr>
        <w:t>3</w:t>
      </w:r>
      <w:r w:rsidRPr="007F5EA7">
        <w:t>;</w:t>
      </w:r>
    </w:p>
    <w:p w14:paraId="34E3B5E0" w14:textId="77777777" w:rsidR="00D965D6" w:rsidRPr="007F5EA7" w:rsidRDefault="00D965D6" w:rsidP="00D965D6">
      <w:pPr>
        <w:spacing w:line="360" w:lineRule="auto"/>
        <w:ind w:right="-1" w:firstLine="851"/>
        <w:jc w:val="both"/>
      </w:pPr>
      <w:r w:rsidRPr="007F5EA7">
        <w:t>1.3.2.2. nuotekų valymo – 1,19 Eur/m</w:t>
      </w:r>
      <w:r w:rsidRPr="007F5EA7">
        <w:rPr>
          <w:vertAlign w:val="superscript"/>
        </w:rPr>
        <w:t>3</w:t>
      </w:r>
      <w:r w:rsidRPr="007F5EA7">
        <w:t>;</w:t>
      </w:r>
    </w:p>
    <w:p w14:paraId="1EC51AAF" w14:textId="77777777" w:rsidR="00D965D6" w:rsidRPr="007F5EA7" w:rsidRDefault="00D965D6" w:rsidP="00D965D6">
      <w:pPr>
        <w:tabs>
          <w:tab w:val="num" w:pos="1848"/>
        </w:tabs>
        <w:spacing w:line="360" w:lineRule="auto"/>
        <w:ind w:right="-1" w:firstLine="851"/>
        <w:jc w:val="both"/>
        <w:rPr>
          <w:iCs/>
          <w:position w:val="-6"/>
        </w:rPr>
      </w:pPr>
      <w:r w:rsidRPr="007F5EA7">
        <w:rPr>
          <w:iCs/>
          <w:position w:val="-6"/>
        </w:rPr>
        <w:t>1.3.2.3. nuotekų dumblo tvarkymo – 0,09 Eur/m</w:t>
      </w:r>
      <w:r w:rsidRPr="007F5EA7">
        <w:rPr>
          <w:iCs/>
          <w:position w:val="-6"/>
          <w:vertAlign w:val="superscript"/>
        </w:rPr>
        <w:t>3</w:t>
      </w:r>
      <w:r w:rsidRPr="007F5EA7">
        <w:rPr>
          <w:iCs/>
          <w:position w:val="-6"/>
        </w:rPr>
        <w:t>;</w:t>
      </w:r>
    </w:p>
    <w:p w14:paraId="0A9D69EB" w14:textId="77777777" w:rsidR="00D965D6" w:rsidRPr="007F5EA7" w:rsidRDefault="00D965D6" w:rsidP="00D965D6">
      <w:pPr>
        <w:spacing w:line="360" w:lineRule="auto"/>
        <w:ind w:right="-1" w:firstLine="851"/>
        <w:jc w:val="both"/>
      </w:pPr>
      <w:r w:rsidRPr="007F5EA7">
        <w:t>1.4. perskaičiuotą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 2,62 Eur/m</w:t>
      </w:r>
      <w:r w:rsidRPr="007F5EA7">
        <w:rPr>
          <w:vertAlign w:val="superscript"/>
        </w:rPr>
        <w:t>3</w:t>
      </w:r>
      <w:r w:rsidRPr="007F5EA7">
        <w:t>, iš šio skaičiaus:</w:t>
      </w:r>
    </w:p>
    <w:p w14:paraId="53F514A4" w14:textId="77777777" w:rsidR="00D965D6" w:rsidRPr="007F5EA7" w:rsidRDefault="00D965D6" w:rsidP="00D965D6">
      <w:pPr>
        <w:spacing w:line="360" w:lineRule="auto"/>
        <w:ind w:right="-1" w:firstLine="851"/>
        <w:jc w:val="both"/>
      </w:pPr>
      <w:r w:rsidRPr="007F5EA7">
        <w:t>1.4.1. geriamojo vandens tiekimo – 0,83 Eur/m</w:t>
      </w:r>
      <w:r w:rsidRPr="007F5EA7">
        <w:rPr>
          <w:vertAlign w:val="superscript"/>
        </w:rPr>
        <w:t>3</w:t>
      </w:r>
      <w:r w:rsidRPr="007F5EA7">
        <w:t>;</w:t>
      </w:r>
    </w:p>
    <w:p w14:paraId="7C25C139" w14:textId="77777777" w:rsidR="00D965D6" w:rsidRPr="007F5EA7" w:rsidRDefault="00D965D6" w:rsidP="00D965D6">
      <w:pPr>
        <w:spacing w:line="360" w:lineRule="auto"/>
        <w:ind w:right="-1" w:firstLine="851"/>
        <w:jc w:val="both"/>
      </w:pPr>
      <w:r w:rsidRPr="007F5EA7">
        <w:t>1.4.2. nuotekų tvarkymo – 1,79 Eur/m</w:t>
      </w:r>
      <w:r w:rsidRPr="007F5EA7">
        <w:rPr>
          <w:vertAlign w:val="superscript"/>
        </w:rPr>
        <w:t>3</w:t>
      </w:r>
      <w:r w:rsidRPr="007F5EA7">
        <w:t>, iš šio skaičiaus:</w:t>
      </w:r>
    </w:p>
    <w:p w14:paraId="4F72AC41" w14:textId="77777777" w:rsidR="00D965D6" w:rsidRPr="007F5EA7" w:rsidRDefault="00D965D6" w:rsidP="00D965D6">
      <w:pPr>
        <w:spacing w:line="360" w:lineRule="auto"/>
        <w:ind w:right="-1" w:firstLine="851"/>
        <w:jc w:val="both"/>
      </w:pPr>
      <w:r w:rsidRPr="007F5EA7">
        <w:t>1.4.2.1. nuotekų surinkimo – 0,51 Eur/m</w:t>
      </w:r>
      <w:r w:rsidRPr="007F5EA7">
        <w:rPr>
          <w:vertAlign w:val="superscript"/>
        </w:rPr>
        <w:t>3</w:t>
      </w:r>
      <w:r w:rsidRPr="007F5EA7">
        <w:t>;</w:t>
      </w:r>
    </w:p>
    <w:p w14:paraId="7D471FE3" w14:textId="77777777" w:rsidR="00D965D6" w:rsidRPr="007F5EA7" w:rsidRDefault="00D965D6" w:rsidP="00D965D6">
      <w:pPr>
        <w:spacing w:line="360" w:lineRule="auto"/>
        <w:ind w:right="-1" w:firstLine="851"/>
        <w:jc w:val="both"/>
      </w:pPr>
      <w:r w:rsidRPr="007F5EA7">
        <w:t>1.4.2.2. nuotekų valymo – 1,19 Eur/m</w:t>
      </w:r>
      <w:r w:rsidRPr="007F5EA7">
        <w:rPr>
          <w:vertAlign w:val="superscript"/>
        </w:rPr>
        <w:t>3</w:t>
      </w:r>
      <w:r w:rsidRPr="007F5EA7">
        <w:t>;</w:t>
      </w:r>
    </w:p>
    <w:p w14:paraId="5EDA7BDD" w14:textId="586B2D66" w:rsidR="008F6D74" w:rsidRPr="009F4151" w:rsidRDefault="00D965D6" w:rsidP="009F4151">
      <w:pPr>
        <w:tabs>
          <w:tab w:val="num" w:pos="1848"/>
        </w:tabs>
        <w:spacing w:line="360" w:lineRule="auto"/>
        <w:ind w:right="-1" w:firstLine="851"/>
        <w:jc w:val="both"/>
        <w:rPr>
          <w:iCs/>
          <w:position w:val="-6"/>
        </w:rPr>
      </w:pPr>
      <w:r w:rsidRPr="007F5EA7">
        <w:rPr>
          <w:iCs/>
          <w:position w:val="-6"/>
        </w:rPr>
        <w:t>1.4.2.3. nuotekų dumblo tvarkymo – 0,09 Eur/m</w:t>
      </w:r>
      <w:r w:rsidRPr="007F5EA7">
        <w:rPr>
          <w:iCs/>
          <w:position w:val="-6"/>
          <w:vertAlign w:val="superscript"/>
        </w:rPr>
        <w:t>3</w:t>
      </w:r>
      <w:r w:rsidR="0071498C">
        <w:rPr>
          <w:iCs/>
          <w:position w:val="-6"/>
        </w:rPr>
        <w:t>.</w:t>
      </w:r>
    </w:p>
    <w:p w14:paraId="174AF769" w14:textId="25743168" w:rsidR="00A038D1" w:rsidRDefault="00A038D1" w:rsidP="00A038D1">
      <w:pPr>
        <w:spacing w:line="360" w:lineRule="auto"/>
        <w:ind w:firstLine="851"/>
        <w:jc w:val="both"/>
      </w:pPr>
      <w:r>
        <w:t>2. Nustatyti, kad</w:t>
      </w:r>
      <w:r w:rsidR="009F4151">
        <w:t xml:space="preserve"> taikomos </w:t>
      </w:r>
      <w:r w:rsidR="009F4151" w:rsidRPr="007F5EA7">
        <w:rPr>
          <w:rFonts w:eastAsia="Calibri"/>
        </w:rPr>
        <w:t xml:space="preserve">Valstybinės </w:t>
      </w:r>
      <w:r w:rsidR="00A90A03">
        <w:rPr>
          <w:rFonts w:eastAsia="Calibri"/>
        </w:rPr>
        <w:t>energetikos reguliavimo taryb</w:t>
      </w:r>
      <w:r w:rsidR="0071498C">
        <w:rPr>
          <w:rFonts w:eastAsia="Calibri"/>
        </w:rPr>
        <w:t>os</w:t>
      </w:r>
      <w:r w:rsidR="009F4151" w:rsidRPr="007F5EA7">
        <w:rPr>
          <w:rFonts w:eastAsia="Calibri"/>
        </w:rPr>
        <w:t xml:space="preserve"> (toliau – </w:t>
      </w:r>
      <w:r w:rsidR="00A90A03">
        <w:rPr>
          <w:rFonts w:eastAsia="Calibri"/>
        </w:rPr>
        <w:t>Taryba</w:t>
      </w:r>
      <w:r w:rsidR="009F4151" w:rsidRPr="007F5EA7">
        <w:rPr>
          <w:rFonts w:eastAsia="Calibri"/>
        </w:rPr>
        <w:t xml:space="preserve">) </w:t>
      </w:r>
      <w:r w:rsidR="009F4151" w:rsidRPr="007F5EA7">
        <w:t>201</w:t>
      </w:r>
      <w:r w:rsidR="009F4151" w:rsidRPr="007F5EA7">
        <w:rPr>
          <w:lang w:val="en-US"/>
        </w:rPr>
        <w:t>8</w:t>
      </w:r>
      <w:r w:rsidR="009F4151" w:rsidRPr="007F5EA7">
        <w:t xml:space="preserve"> m. birželio </w:t>
      </w:r>
      <w:r w:rsidR="009F4151" w:rsidRPr="007F5EA7">
        <w:rPr>
          <w:lang w:val="en-US"/>
        </w:rPr>
        <w:t xml:space="preserve">7 </w:t>
      </w:r>
      <w:r w:rsidR="009F4151" w:rsidRPr="007F5EA7">
        <w:t>d. nutarimu Nr. O3E-191 „Dėl uždarosios akcinės bendrovės „Lazdijų vanduo“ geriamojo vandens tiekimo ir nuotekų tvarkymo, paviršinių nuotekų tvarkymo paslaugų bazinių kainų derinimo“</w:t>
      </w:r>
      <w:r w:rsidR="009F4151">
        <w:t xml:space="preserve"> suderintos kainos</w:t>
      </w:r>
      <w:r>
        <w:t>:</w:t>
      </w:r>
    </w:p>
    <w:p w14:paraId="23673389" w14:textId="07B5254F" w:rsidR="009F4151" w:rsidRDefault="00A038D1" w:rsidP="009F4151">
      <w:pPr>
        <w:snapToGrid w:val="0"/>
        <w:spacing w:line="360" w:lineRule="auto"/>
        <w:ind w:firstLine="851"/>
        <w:jc w:val="both"/>
        <w:rPr>
          <w:lang w:eastAsia="lt-LT"/>
        </w:rPr>
      </w:pPr>
      <w:r w:rsidRPr="007F5EA7">
        <w:t xml:space="preserve">2.1. </w:t>
      </w:r>
      <w:r w:rsidR="009F4151">
        <w:t>atsiskaitomųjų apskaitos prietaisų priežiūros ir vartotojų aptarnavimo paslaugos  kaina vartotojams, perkantiems geriamojo vandens tiekimo ir nuotekų tvarkymo paslaugas bute:</w:t>
      </w:r>
    </w:p>
    <w:p w14:paraId="4930D4D4" w14:textId="24584F69" w:rsidR="009F4151" w:rsidRDefault="009F4151" w:rsidP="009F4151">
      <w:pPr>
        <w:snapToGrid w:val="0"/>
        <w:spacing w:line="360" w:lineRule="auto"/>
        <w:ind w:firstLine="851"/>
        <w:jc w:val="both"/>
      </w:pPr>
      <w:r>
        <w:t>2.1.1. kai įrengtas atsiskaitomasis apskaitos prietaisas – 1,98 Eur butui per mėn.;</w:t>
      </w:r>
    </w:p>
    <w:p w14:paraId="71619C7C" w14:textId="3493A866" w:rsidR="009F4151" w:rsidRDefault="009F4151" w:rsidP="009F4151">
      <w:pPr>
        <w:snapToGrid w:val="0"/>
        <w:spacing w:line="360" w:lineRule="auto"/>
        <w:ind w:firstLine="851"/>
        <w:jc w:val="both"/>
      </w:pPr>
      <w:r>
        <w:t xml:space="preserve">2.1.2. kai dėl techninių ar kitų priežasčių nėra galimybės įrengti atsiskaitomojo apskaitos </w:t>
      </w:r>
    </w:p>
    <w:p w14:paraId="48BD2839" w14:textId="77777777" w:rsidR="009F4151" w:rsidRDefault="009F4151" w:rsidP="009F4151">
      <w:pPr>
        <w:snapToGrid w:val="0"/>
        <w:spacing w:line="360" w:lineRule="auto"/>
        <w:jc w:val="both"/>
      </w:pPr>
      <w:r>
        <w:t>prietaiso – 1,32 Eur butui per mėn.;</w:t>
      </w:r>
    </w:p>
    <w:p w14:paraId="1BBCF132" w14:textId="75982910" w:rsidR="009F4151" w:rsidRDefault="009F4151" w:rsidP="009F4151">
      <w:pPr>
        <w:snapToGrid w:val="0"/>
        <w:spacing w:line="360" w:lineRule="auto"/>
        <w:ind w:firstLine="851"/>
        <w:jc w:val="both"/>
      </w:pPr>
      <w:r>
        <w:t>2.2. atsiskaitomųjų apskaitos prietaisų priežiūros ir vartotojų aptarnavimo paslaugos kaina vartotojams, perkantiems geriamojo vandens tiekimo ir nuotekų tvarkymo paslaugas daugiabučio gyvenamojo namo įvade – 9,98 Eur namui per mėn.;</w:t>
      </w:r>
    </w:p>
    <w:p w14:paraId="6B468D0D" w14:textId="76F49353" w:rsidR="00A038D1" w:rsidRPr="007F5EA7" w:rsidRDefault="009F4151" w:rsidP="00A038D1">
      <w:pPr>
        <w:spacing w:line="360" w:lineRule="auto"/>
        <w:ind w:right="-1" w:firstLine="851"/>
        <w:jc w:val="both"/>
        <w:rPr>
          <w:rFonts w:eastAsia="Calibri"/>
        </w:rPr>
      </w:pPr>
      <w:r>
        <w:t xml:space="preserve">2.3. </w:t>
      </w:r>
      <w:r w:rsidR="00A038D1" w:rsidRPr="007F5EA7">
        <w:t>paviršinių nuotekų tvarkymo paslaugų bazinė kaina abonentams, perkantiems paviršinių nuotekų tvarkymo paslaugas – 0,07 Eur/m</w:t>
      </w:r>
      <w:r w:rsidR="00A038D1" w:rsidRPr="007F5EA7">
        <w:rPr>
          <w:vertAlign w:val="superscript"/>
        </w:rPr>
        <w:t>3</w:t>
      </w:r>
      <w:r w:rsidR="0071498C">
        <w:rPr>
          <w:rFonts w:eastAsia="Calibri"/>
        </w:rPr>
        <w:t>.</w:t>
      </w:r>
    </w:p>
    <w:p w14:paraId="0C9E21F7" w14:textId="137DE575" w:rsidR="00A038D1" w:rsidRDefault="009F4151" w:rsidP="00A038D1">
      <w:pPr>
        <w:spacing w:line="360" w:lineRule="auto"/>
        <w:ind w:firstLine="851"/>
        <w:jc w:val="both"/>
      </w:pPr>
      <w:r>
        <w:rPr>
          <w:rFonts w:eastAsia="Calibri"/>
        </w:rPr>
        <w:t>3</w:t>
      </w:r>
      <w:r w:rsidR="00A038D1" w:rsidRPr="007F5EA7">
        <w:rPr>
          <w:rFonts w:eastAsia="Calibri"/>
        </w:rPr>
        <w:t xml:space="preserve">. </w:t>
      </w:r>
      <w:r>
        <w:rPr>
          <w:rFonts w:eastAsia="Calibri"/>
        </w:rPr>
        <w:t xml:space="preserve">Nustatyti, kad </w:t>
      </w:r>
      <w:r w:rsidR="00A038D1" w:rsidRPr="007F5EA7">
        <w:rPr>
          <w:rFonts w:eastAsia="Calibri"/>
        </w:rPr>
        <w:t xml:space="preserve">taikomos </w:t>
      </w:r>
      <w:r w:rsidR="00A038D1" w:rsidRPr="007F5EA7">
        <w:t>Komisijos 201</w:t>
      </w:r>
      <w:r w:rsidR="00A038D1" w:rsidRPr="007F5EA7">
        <w:rPr>
          <w:lang w:val="en-US"/>
        </w:rPr>
        <w:t>8</w:t>
      </w:r>
      <w:r w:rsidR="00A038D1" w:rsidRPr="007F5EA7">
        <w:t xml:space="preserve"> m. birželio </w:t>
      </w:r>
      <w:r w:rsidR="00A038D1" w:rsidRPr="007F5EA7">
        <w:rPr>
          <w:lang w:val="en-US"/>
        </w:rPr>
        <w:t xml:space="preserve">7 </w:t>
      </w:r>
      <w:r w:rsidR="00A038D1" w:rsidRPr="007F5EA7">
        <w:t xml:space="preserve">d. nutarimu Nr. O3E-191 „Dėl uždarosios akcinės bendrovės </w:t>
      </w:r>
      <w:bookmarkStart w:id="2" w:name="_Hlk51059155"/>
      <w:r w:rsidR="00A038D1" w:rsidRPr="007F5EA7">
        <w:t xml:space="preserve">„Lazdijų vanduo“ geriamojo vandens tiekimo ir nuotekų tvarkymo, </w:t>
      </w:r>
      <w:r w:rsidR="00A038D1" w:rsidRPr="007F5EA7">
        <w:lastRenderedPageBreak/>
        <w:t xml:space="preserve">paviršinių nuotekų tvarkymo paslaugų bazinių kainų derinimo“ </w:t>
      </w:r>
      <w:r w:rsidR="00A038D1" w:rsidRPr="007F5EA7">
        <w:rPr>
          <w:rFonts w:eastAsia="Calibri"/>
        </w:rPr>
        <w:t xml:space="preserve">suderintos </w:t>
      </w:r>
      <w:r w:rsidR="00A038D1" w:rsidRPr="007F5EA7">
        <w:t>perskaičiuotos atsiskaitomųjų apskaitos prietaisų priežiūros ir vartotojų aptarnavimo paslaugos bazinės kainos</w:t>
      </w:r>
      <w:bookmarkEnd w:id="2"/>
      <w:r w:rsidR="00AD7F24">
        <w:t>:</w:t>
      </w:r>
    </w:p>
    <w:p w14:paraId="0FD37B4C" w14:textId="0E357B36" w:rsidR="00AD7F24" w:rsidRPr="00AD7F24" w:rsidRDefault="009F4151" w:rsidP="00AD7F24">
      <w:pPr>
        <w:spacing w:line="360" w:lineRule="auto"/>
        <w:ind w:firstLine="851"/>
        <w:jc w:val="both"/>
        <w:rPr>
          <w:rFonts w:eastAsia="Calibri"/>
        </w:rPr>
      </w:pPr>
      <w:r>
        <w:rPr>
          <w:rFonts w:eastAsia="Calibri"/>
        </w:rPr>
        <w:t>3</w:t>
      </w:r>
      <w:r w:rsidR="00AD7F24">
        <w:rPr>
          <w:rFonts w:eastAsia="Calibri"/>
        </w:rPr>
        <w:t xml:space="preserve">.1. </w:t>
      </w:r>
      <w:r w:rsidR="00AD7F24" w:rsidRPr="00AD7F24">
        <w:rPr>
          <w:rFonts w:eastAsia="Calibri"/>
        </w:rPr>
        <w:t>atsiskaitomųjų apskaitos prietaisų priežiūros ir vartotojų aptarnavimo paslaugos bazin</w:t>
      </w:r>
      <w:r w:rsidR="00AD7F24">
        <w:rPr>
          <w:rFonts w:eastAsia="Calibri"/>
        </w:rPr>
        <w:t>ė</w:t>
      </w:r>
      <w:r w:rsidR="00AD7F24" w:rsidRPr="00AD7F24">
        <w:rPr>
          <w:rFonts w:eastAsia="Calibri"/>
        </w:rPr>
        <w:t xml:space="preserve"> kain</w:t>
      </w:r>
      <w:r w:rsidR="00AD7F24">
        <w:rPr>
          <w:rFonts w:eastAsia="Calibri"/>
        </w:rPr>
        <w:t>a</w:t>
      </w:r>
      <w:r w:rsidR="00AD7F24" w:rsidRPr="00AD7F24">
        <w:rPr>
          <w:rFonts w:eastAsia="Calibri"/>
        </w:rPr>
        <w:t xml:space="preserve"> vartotojams, perkantiems geriamojo vandens tiekimo ir nuotekų tvarkymo paslaugas individualių gyvenamųjų namų ar kitų patalpų, skirtų asmeninėms, šeimos ar namų reikmėms, įvaduose:</w:t>
      </w:r>
    </w:p>
    <w:p w14:paraId="5B769BC1" w14:textId="707E5D09" w:rsidR="00AD7F24" w:rsidRPr="00AD7F24" w:rsidRDefault="009F4151" w:rsidP="00AD7F24">
      <w:pPr>
        <w:spacing w:line="360" w:lineRule="auto"/>
        <w:ind w:firstLine="851"/>
        <w:jc w:val="both"/>
        <w:rPr>
          <w:rFonts w:eastAsia="Calibri"/>
        </w:rPr>
      </w:pPr>
      <w:r>
        <w:rPr>
          <w:rFonts w:eastAsia="Calibri"/>
        </w:rPr>
        <w:t>3</w:t>
      </w:r>
      <w:r w:rsidR="00AD7F24">
        <w:rPr>
          <w:rFonts w:eastAsia="Calibri"/>
        </w:rPr>
        <w:t>.1.1.</w:t>
      </w:r>
      <w:r w:rsidR="00AD7F24" w:rsidRPr="00AD7F24">
        <w:rPr>
          <w:rFonts w:eastAsia="Calibri"/>
        </w:rPr>
        <w:t xml:space="preserve"> kai įrengtas atsiskaitomasis apskaitos prietaisas – 1,24 Eur apskaitos prietaisui per mėn.;</w:t>
      </w:r>
    </w:p>
    <w:p w14:paraId="369FD2F9" w14:textId="0EB0CD0F" w:rsidR="00AD7F24" w:rsidRPr="00AD7F24" w:rsidRDefault="009F4151" w:rsidP="00AD7F24">
      <w:pPr>
        <w:spacing w:line="360" w:lineRule="auto"/>
        <w:ind w:firstLine="851"/>
        <w:jc w:val="both"/>
        <w:rPr>
          <w:rFonts w:eastAsia="Calibri"/>
        </w:rPr>
      </w:pPr>
      <w:r>
        <w:rPr>
          <w:rFonts w:eastAsia="Calibri"/>
        </w:rPr>
        <w:t>3</w:t>
      </w:r>
      <w:r w:rsidR="00AD7F24">
        <w:rPr>
          <w:rFonts w:eastAsia="Calibri"/>
        </w:rPr>
        <w:t>.1.</w:t>
      </w:r>
      <w:r w:rsidR="00AD7F24" w:rsidRPr="00AD7F24">
        <w:rPr>
          <w:rFonts w:eastAsia="Calibri"/>
        </w:rPr>
        <w:t>2. kai dėl techninių ar kitų priežasčių nėra galimybės įrengti atsiskaitomojo apskaitos prietaiso – 0,82 Eur namui per mėn.;</w:t>
      </w:r>
    </w:p>
    <w:p w14:paraId="597EE9F8" w14:textId="020D2D6E" w:rsidR="00AD7F24" w:rsidRPr="007F5EA7" w:rsidRDefault="009F4151" w:rsidP="00AD7F24">
      <w:pPr>
        <w:spacing w:line="360" w:lineRule="auto"/>
        <w:ind w:firstLine="851"/>
        <w:jc w:val="both"/>
        <w:rPr>
          <w:rFonts w:eastAsia="Calibri"/>
        </w:rPr>
      </w:pPr>
      <w:r>
        <w:rPr>
          <w:rFonts w:eastAsia="Calibri"/>
        </w:rPr>
        <w:t>3</w:t>
      </w:r>
      <w:r w:rsidR="00AD7F24">
        <w:rPr>
          <w:rFonts w:eastAsia="Calibri"/>
        </w:rPr>
        <w:t>.2</w:t>
      </w:r>
      <w:r w:rsidR="00AD7F24" w:rsidRPr="00AD7F24">
        <w:rPr>
          <w:rFonts w:eastAsia="Calibri"/>
        </w:rPr>
        <w:t>. vidutin</w:t>
      </w:r>
      <w:r w:rsidR="00AD7F24">
        <w:rPr>
          <w:rFonts w:eastAsia="Calibri"/>
        </w:rPr>
        <w:t>ė</w:t>
      </w:r>
      <w:r w:rsidR="00AD7F24" w:rsidRPr="00AD7F24">
        <w:rPr>
          <w:rFonts w:eastAsia="Calibri"/>
        </w:rPr>
        <w:t xml:space="preserve"> atsiskaitomųjų apskaitos prietaisų priežiūros ir vartotojų aptarnavimo paslaugos bazin</w:t>
      </w:r>
      <w:r w:rsidR="00AD7F24">
        <w:rPr>
          <w:rFonts w:eastAsia="Calibri"/>
        </w:rPr>
        <w:t>ė</w:t>
      </w:r>
      <w:r w:rsidR="00AD7F24" w:rsidRPr="00AD7F24">
        <w:rPr>
          <w:rFonts w:eastAsia="Calibri"/>
        </w:rPr>
        <w:t xml:space="preserve"> kain</w:t>
      </w:r>
      <w:r w:rsidR="00AD7F24">
        <w:rPr>
          <w:rFonts w:eastAsia="Calibri"/>
        </w:rPr>
        <w:t>a</w:t>
      </w:r>
      <w:r w:rsidR="00AD7F24" w:rsidRPr="00AD7F24">
        <w:rPr>
          <w:rFonts w:eastAsia="Calibri"/>
        </w:rPr>
        <w:t xml:space="preserve"> abonentams, perkantiems geriamojo vandens tiekimo ir nuotekų tvarkymo paslaugas – 7,48 Eur apskaitos prietaisui per mėn.</w:t>
      </w:r>
    </w:p>
    <w:p w14:paraId="04320FC1" w14:textId="7829246C" w:rsidR="00531C2E" w:rsidRPr="008F6D74" w:rsidRDefault="009F4151" w:rsidP="00B34C2D">
      <w:pPr>
        <w:spacing w:line="360" w:lineRule="auto"/>
        <w:ind w:right="-1" w:firstLine="851"/>
        <w:jc w:val="both"/>
      </w:pPr>
      <w:r>
        <w:t>4</w:t>
      </w:r>
      <w:r w:rsidR="00A038D1" w:rsidRPr="007F5EA7">
        <w:t xml:space="preserve">. </w:t>
      </w:r>
      <w:r w:rsidR="00EC1605">
        <w:t>Š</w:t>
      </w:r>
      <w:r w:rsidR="008F6D74">
        <w:t>io sprendimo</w:t>
      </w:r>
      <w:r w:rsidR="00D965D6" w:rsidRPr="008F6D74">
        <w:t xml:space="preserve"> </w:t>
      </w:r>
      <w:r w:rsidR="008F6D74">
        <w:t>1</w:t>
      </w:r>
      <w:r w:rsidR="00B34C2D">
        <w:t xml:space="preserve"> punkte</w:t>
      </w:r>
      <w:r w:rsidR="001C00D7" w:rsidRPr="008F6D74">
        <w:t xml:space="preserve"> nustatytos </w:t>
      </w:r>
      <w:r w:rsidR="00E5589D" w:rsidRPr="008F6D74">
        <w:t>g</w:t>
      </w:r>
      <w:r w:rsidR="00AA1CF4" w:rsidRPr="008F6D74">
        <w:t>eriamojo vandens tiekimo ir nuotekų tvarkymo</w:t>
      </w:r>
      <w:r w:rsidR="004F785E" w:rsidRPr="008F6D74">
        <w:t>,</w:t>
      </w:r>
      <w:r w:rsidR="00AA1CF4" w:rsidRPr="008F6D74">
        <w:t xml:space="preserve"> </w:t>
      </w:r>
      <w:r w:rsidR="004F785E" w:rsidRPr="008F6D74">
        <w:t xml:space="preserve">paviršinių nuotekų tvarkymo </w:t>
      </w:r>
      <w:r w:rsidR="00AA1CF4" w:rsidRPr="008F6D74">
        <w:t>paslaugų</w:t>
      </w:r>
      <w:r w:rsidR="00B633A0" w:rsidRPr="008F6D74">
        <w:t xml:space="preserve"> </w:t>
      </w:r>
      <w:r w:rsidR="004302A3" w:rsidRPr="008F6D74">
        <w:t xml:space="preserve">kainos </w:t>
      </w:r>
      <w:r w:rsidR="008F6D74" w:rsidRPr="008F6D74">
        <w:t>galioja 12 mėnesių nuo šių kainų įsigaliojimo dienos.</w:t>
      </w:r>
    </w:p>
    <w:p w14:paraId="0F930867" w14:textId="79D7EB77" w:rsidR="00531C2E" w:rsidRPr="004D6957" w:rsidRDefault="009F4151" w:rsidP="008F6D74">
      <w:pPr>
        <w:spacing w:line="360" w:lineRule="auto"/>
        <w:ind w:firstLine="851"/>
        <w:jc w:val="both"/>
      </w:pPr>
      <w:r>
        <w:t>5</w:t>
      </w:r>
      <w:r w:rsidR="00531C2E" w:rsidRPr="008F6D74">
        <w:t xml:space="preserve">. </w:t>
      </w:r>
      <w:r w:rsidR="00ED3E12" w:rsidRPr="008F6D74">
        <w:t>Pripažinti</w:t>
      </w:r>
      <w:r w:rsidR="000D22CA" w:rsidRPr="008F6D74">
        <w:t xml:space="preserve"> netekusiu</w:t>
      </w:r>
      <w:r w:rsidR="00531C2E" w:rsidRPr="008F6D74">
        <w:t xml:space="preserve"> galios</w:t>
      </w:r>
      <w:r w:rsidR="006F265F" w:rsidRPr="008F6D74">
        <w:t xml:space="preserve"> Lazdijų</w:t>
      </w:r>
      <w:r w:rsidR="000D22CA" w:rsidRPr="008F6D74">
        <w:t xml:space="preserve"> rajono savivaldybės tarybos</w:t>
      </w:r>
      <w:r w:rsidR="00531C2E" w:rsidRPr="008F6D74">
        <w:t xml:space="preserve"> </w:t>
      </w:r>
      <w:r w:rsidR="00500043" w:rsidRPr="008F6D74">
        <w:t>20</w:t>
      </w:r>
      <w:r w:rsidR="00E61231">
        <w:t>18</w:t>
      </w:r>
      <w:r w:rsidR="00531C2E" w:rsidRPr="008F6D74">
        <w:t xml:space="preserve"> m. </w:t>
      </w:r>
      <w:r w:rsidR="00E61231">
        <w:t>birželio</w:t>
      </w:r>
      <w:r w:rsidR="00FC5D8F" w:rsidRPr="008F6D74">
        <w:t xml:space="preserve"> </w:t>
      </w:r>
      <w:r w:rsidR="00E61231">
        <w:t>27</w:t>
      </w:r>
      <w:r w:rsidR="00500043" w:rsidRPr="008F6D74">
        <w:t xml:space="preserve"> d. sprendimą</w:t>
      </w:r>
      <w:r w:rsidR="00531C2E" w:rsidRPr="008F6D74">
        <w:t xml:space="preserve"> Nr. </w:t>
      </w:r>
      <w:hyperlink r:id="rId8" w:history="1">
        <w:r w:rsidR="00675254" w:rsidRPr="008F6D74">
          <w:rPr>
            <w:rStyle w:val="Hipersaitas"/>
          </w:rPr>
          <w:t>5TS-</w:t>
        </w:r>
        <w:r w:rsidR="00E61231">
          <w:rPr>
            <w:rStyle w:val="Hipersaitas"/>
          </w:rPr>
          <w:t>1376</w:t>
        </w:r>
      </w:hyperlink>
      <w:r w:rsidR="00675254" w:rsidRPr="008F6D74">
        <w:t xml:space="preserve"> </w:t>
      </w:r>
      <w:r w:rsidR="00531C2E" w:rsidRPr="008F6D74">
        <w:t>„</w:t>
      </w:r>
      <w:r w:rsidR="006F265F" w:rsidRPr="008F6D74">
        <w:t>Dėl UAB</w:t>
      </w:r>
      <w:r w:rsidR="006F265F" w:rsidRPr="004D6957">
        <w:t xml:space="preserve"> „Lazdijų vanduo“ geriamojo vandens tiekimo ir nuotekų tvarkymo</w:t>
      </w:r>
      <w:r w:rsidR="00E61231">
        <w:t xml:space="preserve">, paviršinių nuotekų tvarkymo </w:t>
      </w:r>
      <w:r w:rsidR="006F265F" w:rsidRPr="004D6957">
        <w:t>paslaugų kainų nustatymo</w:t>
      </w:r>
      <w:r w:rsidR="00531C2E" w:rsidRPr="004D6957">
        <w:t>“</w:t>
      </w:r>
      <w:r w:rsidR="00F45740" w:rsidRPr="004D6957">
        <w:t>.</w:t>
      </w:r>
    </w:p>
    <w:p w14:paraId="16B60E1E" w14:textId="5E0FD424" w:rsidR="00EE14CD" w:rsidRDefault="009F4151" w:rsidP="00904D29">
      <w:pPr>
        <w:spacing w:line="360" w:lineRule="auto"/>
        <w:ind w:firstLine="851"/>
        <w:jc w:val="both"/>
      </w:pPr>
      <w:r>
        <w:t>6</w:t>
      </w:r>
      <w:r w:rsidR="00500043" w:rsidRPr="004D6957">
        <w:t xml:space="preserve">. </w:t>
      </w:r>
      <w:r w:rsidR="001C00D7">
        <w:t>Nurodyti</w:t>
      </w:r>
      <w:r w:rsidR="00AD7F24">
        <w:t>,</w:t>
      </w:r>
      <w:r w:rsidR="001C00D7">
        <w:t xml:space="preserve"> kad</w:t>
      </w:r>
      <w:r w:rsidR="00B5148F" w:rsidRPr="00B5148F">
        <w:t xml:space="preserve"> </w:t>
      </w:r>
      <w:r w:rsidR="00B5148F">
        <w:t>š</w:t>
      </w:r>
      <w:r w:rsidR="00B5148F" w:rsidRPr="004D6957">
        <w:t>is sprendimas</w:t>
      </w:r>
      <w:r w:rsidR="005C5D69">
        <w:t xml:space="preserve"> </w:t>
      </w:r>
      <w:r w:rsidR="00500043" w:rsidRPr="004D6957">
        <w:t>įsigalioja 20</w:t>
      </w:r>
      <w:r w:rsidR="008F6D74">
        <w:t>21</w:t>
      </w:r>
      <w:r w:rsidR="00EE14CD" w:rsidRPr="004D6957">
        <w:t xml:space="preserve"> m. </w:t>
      </w:r>
      <w:r w:rsidR="008F6D74">
        <w:t>sausio</w:t>
      </w:r>
      <w:r w:rsidR="00EE14CD" w:rsidRPr="004D6957">
        <w:t xml:space="preserve"> 1 dieną</w:t>
      </w:r>
      <w:r w:rsidR="005C5D69">
        <w:t>.</w:t>
      </w:r>
    </w:p>
    <w:p w14:paraId="61485F4D" w14:textId="77777777" w:rsidR="00E84921" w:rsidRPr="004D6957" w:rsidRDefault="00E84921" w:rsidP="00952EAD">
      <w:pPr>
        <w:spacing w:line="360" w:lineRule="auto"/>
        <w:jc w:val="both"/>
      </w:pPr>
    </w:p>
    <w:p w14:paraId="307CF4F9" w14:textId="77777777" w:rsidR="00E84921" w:rsidRPr="004D6957" w:rsidRDefault="00E84921" w:rsidP="00952EAD">
      <w:pPr>
        <w:spacing w:line="360" w:lineRule="auto"/>
        <w:jc w:val="both"/>
      </w:pPr>
    </w:p>
    <w:p w14:paraId="44CED2CB" w14:textId="77777777" w:rsidR="00426A2F" w:rsidRPr="004D6957" w:rsidRDefault="006F265F" w:rsidP="00952EAD">
      <w:pPr>
        <w:spacing w:line="360" w:lineRule="auto"/>
        <w:jc w:val="both"/>
      </w:pPr>
      <w:r w:rsidRPr="004D6957">
        <w:t>Savivaldybės mer</w:t>
      </w:r>
      <w:r w:rsidR="008F6D74">
        <w:t>ė</w:t>
      </w:r>
      <w:r w:rsidR="008F6D74">
        <w:tab/>
      </w:r>
      <w:r w:rsidR="008F6D74">
        <w:tab/>
      </w:r>
      <w:r w:rsidR="008F6D74">
        <w:tab/>
      </w:r>
      <w:r w:rsidR="008F6D74">
        <w:tab/>
      </w:r>
      <w:r w:rsidR="008F6D74">
        <w:tab/>
      </w:r>
      <w:r w:rsidR="008F6D74">
        <w:tab/>
      </w:r>
      <w:r w:rsidR="008F6D74">
        <w:tab/>
        <w:t>Ausma Miškinienė</w:t>
      </w:r>
      <w:r w:rsidRPr="004D6957">
        <w:tab/>
      </w:r>
      <w:r w:rsidRPr="004D6957">
        <w:tab/>
      </w:r>
      <w:r w:rsidRPr="004D6957">
        <w:tab/>
      </w:r>
      <w:r w:rsidRPr="004D6957">
        <w:tab/>
      </w:r>
      <w:r w:rsidRPr="004D6957">
        <w:tab/>
      </w:r>
      <w:r w:rsidRPr="004D6957">
        <w:tab/>
      </w:r>
    </w:p>
    <w:p w14:paraId="4D798385" w14:textId="77777777" w:rsidR="00952EAD" w:rsidRPr="004D6957" w:rsidRDefault="00952EAD" w:rsidP="00500043">
      <w:pPr>
        <w:jc w:val="both"/>
      </w:pPr>
    </w:p>
    <w:p w14:paraId="49B773FC" w14:textId="77777777" w:rsidR="00E84921" w:rsidRPr="004D6957" w:rsidRDefault="00E84921" w:rsidP="00500043">
      <w:pPr>
        <w:jc w:val="both"/>
      </w:pPr>
    </w:p>
    <w:p w14:paraId="1DE96F41" w14:textId="77777777" w:rsidR="00E84921" w:rsidRPr="004D6957" w:rsidRDefault="00E84921" w:rsidP="00500043">
      <w:pPr>
        <w:jc w:val="both"/>
      </w:pPr>
    </w:p>
    <w:p w14:paraId="1F5DC8E3" w14:textId="77777777" w:rsidR="00E84921" w:rsidRPr="004D6957" w:rsidRDefault="00E84921" w:rsidP="00500043">
      <w:pPr>
        <w:jc w:val="both"/>
      </w:pPr>
    </w:p>
    <w:p w14:paraId="6BF06FC0" w14:textId="77777777" w:rsidR="00E84921" w:rsidRPr="004D6957" w:rsidRDefault="00E84921" w:rsidP="00500043">
      <w:pPr>
        <w:jc w:val="both"/>
      </w:pPr>
    </w:p>
    <w:p w14:paraId="01FBF6F0" w14:textId="77777777" w:rsidR="00E84921" w:rsidRPr="004D6957" w:rsidRDefault="00E84921" w:rsidP="00500043">
      <w:pPr>
        <w:jc w:val="both"/>
      </w:pPr>
    </w:p>
    <w:p w14:paraId="579187AA" w14:textId="77777777" w:rsidR="00E84921" w:rsidRPr="004D6957" w:rsidRDefault="00E84921" w:rsidP="00500043">
      <w:pPr>
        <w:jc w:val="both"/>
      </w:pPr>
    </w:p>
    <w:p w14:paraId="050E6199" w14:textId="77777777" w:rsidR="00E84921" w:rsidRPr="004D6957" w:rsidRDefault="00E84921" w:rsidP="00500043">
      <w:pPr>
        <w:jc w:val="both"/>
      </w:pPr>
    </w:p>
    <w:p w14:paraId="4BB58B8D" w14:textId="77777777" w:rsidR="00B7535B" w:rsidRDefault="00EC22CB" w:rsidP="00EC22CB">
      <w:pPr>
        <w:sectPr w:rsidR="00B7535B" w:rsidSect="00625F8E">
          <w:headerReference w:type="even" r:id="rId9"/>
          <w:headerReference w:type="default" r:id="rId10"/>
          <w:headerReference w:type="first" r:id="rId11"/>
          <w:type w:val="continuous"/>
          <w:pgSz w:w="11907" w:h="16840" w:code="9"/>
          <w:pgMar w:top="1134" w:right="567" w:bottom="1134" w:left="1701" w:header="720" w:footer="720" w:gutter="0"/>
          <w:cols w:space="268"/>
          <w:titlePg/>
          <w:docGrid w:linePitch="254"/>
        </w:sectPr>
      </w:pPr>
      <w:r>
        <w:t>I. Adomynienė, tel. 861305460</w:t>
      </w:r>
    </w:p>
    <w:p w14:paraId="0E1A58E9" w14:textId="77777777" w:rsidR="00F317DF" w:rsidRPr="004D6957" w:rsidRDefault="00F317DF" w:rsidP="00F45740">
      <w:pPr>
        <w:jc w:val="center"/>
        <w:rPr>
          <w:b/>
        </w:rPr>
      </w:pPr>
      <w:r w:rsidRPr="004D6957">
        <w:rPr>
          <w:b/>
        </w:rPr>
        <w:lastRenderedPageBreak/>
        <w:t>LAZDIJŲ RAJONO SAVIVALDYBĖS TARYBOS SPRENDIMO</w:t>
      </w:r>
    </w:p>
    <w:p w14:paraId="23D19B5E" w14:textId="77777777" w:rsidR="00616A84" w:rsidRPr="004D6957" w:rsidRDefault="00616A84" w:rsidP="00616A84">
      <w:pPr>
        <w:jc w:val="center"/>
      </w:pPr>
      <w:r w:rsidRPr="004D6957">
        <w:rPr>
          <w:b/>
        </w:rPr>
        <w:t>DĖL UAB „LAZDIJŲ VANDUO“ GERIAMOJO VANDENS TIEKIMO IR NUOTEKŲ TVARKYMO, PAVIRŠINIŲ N</w:t>
      </w:r>
      <w:r>
        <w:rPr>
          <w:b/>
        </w:rPr>
        <w:t>UOTEKŲ TVARKYMO PASLAUGŲ</w:t>
      </w:r>
      <w:r w:rsidRPr="004D6957">
        <w:rPr>
          <w:b/>
        </w:rPr>
        <w:t xml:space="preserve"> KAINŲ NUSTATYMO</w:t>
      </w:r>
      <w:r>
        <w:rPr>
          <w:b/>
        </w:rPr>
        <w:t xml:space="preserve"> PROJEKTO</w:t>
      </w:r>
    </w:p>
    <w:p w14:paraId="3B422BE2" w14:textId="77777777" w:rsidR="00F317DF" w:rsidRPr="004D6957" w:rsidRDefault="00F317DF" w:rsidP="00F317DF">
      <w:pPr>
        <w:jc w:val="center"/>
        <w:rPr>
          <w:b/>
        </w:rPr>
      </w:pPr>
    </w:p>
    <w:p w14:paraId="749A428F" w14:textId="77777777" w:rsidR="00F317DF" w:rsidRPr="004D6957" w:rsidRDefault="00F317DF" w:rsidP="00F317DF">
      <w:pPr>
        <w:jc w:val="center"/>
        <w:rPr>
          <w:b/>
        </w:rPr>
      </w:pPr>
    </w:p>
    <w:p w14:paraId="5CF85066" w14:textId="77777777" w:rsidR="00F317DF" w:rsidRPr="004D6957" w:rsidRDefault="00F317DF" w:rsidP="00F317DF">
      <w:pPr>
        <w:jc w:val="center"/>
        <w:rPr>
          <w:b/>
        </w:rPr>
      </w:pPr>
      <w:r w:rsidRPr="004D6957">
        <w:rPr>
          <w:b/>
        </w:rPr>
        <w:t>AIŠKINAMASIS RAŠTAS</w:t>
      </w:r>
    </w:p>
    <w:p w14:paraId="3D313AFD" w14:textId="77777777" w:rsidR="00F317DF" w:rsidRPr="004D6957" w:rsidRDefault="00F317DF" w:rsidP="00F317DF">
      <w:pPr>
        <w:jc w:val="center"/>
      </w:pPr>
    </w:p>
    <w:p w14:paraId="24B0BEE6" w14:textId="77777777" w:rsidR="000F506C" w:rsidRPr="004D6957" w:rsidRDefault="00500043" w:rsidP="00500043">
      <w:pPr>
        <w:spacing w:line="360" w:lineRule="auto"/>
        <w:jc w:val="center"/>
      </w:pPr>
      <w:r w:rsidRPr="004D6957">
        <w:t>20</w:t>
      </w:r>
      <w:r w:rsidR="00616A84">
        <w:t>20</w:t>
      </w:r>
      <w:r w:rsidRPr="004D6957">
        <w:t xml:space="preserve"> m. </w:t>
      </w:r>
      <w:r w:rsidR="00616A84">
        <w:t>spalio</w:t>
      </w:r>
      <w:r w:rsidR="000F506C" w:rsidRPr="004D6957">
        <w:t xml:space="preserve"> </w:t>
      </w:r>
      <w:r w:rsidRPr="004D6957">
        <w:t xml:space="preserve"> </w:t>
      </w:r>
      <w:r w:rsidR="000F506C" w:rsidRPr="004D6957">
        <w:t xml:space="preserve"> d.</w:t>
      </w:r>
    </w:p>
    <w:p w14:paraId="2B983FDE" w14:textId="77777777" w:rsidR="00F317DF" w:rsidRPr="004D6957" w:rsidRDefault="00F317DF" w:rsidP="00500043">
      <w:pPr>
        <w:spacing w:line="360" w:lineRule="auto"/>
        <w:jc w:val="both"/>
      </w:pPr>
    </w:p>
    <w:p w14:paraId="0AD6F7FA" w14:textId="0CAB1CF5" w:rsidR="000C5A83" w:rsidRPr="004D6957" w:rsidRDefault="000C5A83" w:rsidP="00500043">
      <w:pPr>
        <w:spacing w:line="360" w:lineRule="auto"/>
        <w:ind w:firstLine="720"/>
        <w:jc w:val="both"/>
      </w:pPr>
      <w:r w:rsidRPr="004D6957">
        <w:t>Lazdijų rajono savivaldybės tarybos sprendimo „</w:t>
      </w:r>
      <w:r w:rsidR="00AC306E">
        <w:t>D</w:t>
      </w:r>
      <w:r w:rsidR="00AC306E" w:rsidRPr="00AC306E">
        <w:t xml:space="preserve">ėl </w:t>
      </w:r>
      <w:r w:rsidR="00AC306E">
        <w:t>UAB</w:t>
      </w:r>
      <w:r w:rsidR="00AC306E" w:rsidRPr="00AC306E">
        <w:t xml:space="preserve"> „</w:t>
      </w:r>
      <w:r w:rsidR="00AC306E">
        <w:t>L</w:t>
      </w:r>
      <w:r w:rsidR="00AC306E" w:rsidRPr="00AC306E">
        <w:t>azdijų vanduo“ geriamojo vandens tiekimo ir nuotekų tvarkymo, paviršinių nuotekų tvarkymo paslaugų perskaičiuotų kainų nustatymo</w:t>
      </w:r>
      <w:r w:rsidRPr="004D6957">
        <w:t xml:space="preserve">“ projektas parengtas </w:t>
      </w:r>
      <w:r w:rsidR="007E27B3" w:rsidRPr="004D6957">
        <w:t xml:space="preserve">vadovaujantis </w:t>
      </w:r>
      <w:r w:rsidR="00AC306E" w:rsidRPr="004D6957">
        <w:t>Lietuvos Respublikos vietos savivaldos įstatymo  16 straipsnio 2 dalies 37 punktu, Lietuvos Respublikos geriamojo vandens tiekimo ir nuotekų tvarkymo įstatymo 10 straipsnio 6</w:t>
      </w:r>
      <w:r w:rsidR="00AC306E">
        <w:t>, 7 punktais</w:t>
      </w:r>
      <w:r w:rsidR="00AC306E" w:rsidRPr="004D6957">
        <w:t xml:space="preserve"> ir 34 straipsnio 2 dalimi, Valstybinės </w:t>
      </w:r>
      <w:r w:rsidR="00A90A03">
        <w:t>energetikos reguliavimo tarybos</w:t>
      </w:r>
      <w:r w:rsidR="00AC306E" w:rsidRPr="004D6957">
        <w:t xml:space="preserve"> 20</w:t>
      </w:r>
      <w:r w:rsidR="00AC306E">
        <w:t xml:space="preserve">20 </w:t>
      </w:r>
      <w:r w:rsidR="00AC306E" w:rsidRPr="004D6957">
        <w:t xml:space="preserve">m. </w:t>
      </w:r>
      <w:r w:rsidR="00AC306E">
        <w:t>spalio</w:t>
      </w:r>
      <w:r w:rsidR="00AC306E" w:rsidRPr="004D6957">
        <w:t xml:space="preserve"> </w:t>
      </w:r>
      <w:r w:rsidR="00AC306E">
        <w:t>1</w:t>
      </w:r>
      <w:r w:rsidR="00AC306E" w:rsidRPr="004D6957">
        <w:t xml:space="preserve"> d. nutarimu Nr. O3E-</w:t>
      </w:r>
      <w:r w:rsidR="00AC306E">
        <w:t>915</w:t>
      </w:r>
      <w:r w:rsidR="00AC306E" w:rsidRPr="004D6957">
        <w:t xml:space="preserve"> „Dėl </w:t>
      </w:r>
      <w:r w:rsidR="00AC306E">
        <w:t>UAB</w:t>
      </w:r>
      <w:r w:rsidR="00AC306E" w:rsidRPr="004D6957">
        <w:t xml:space="preserve"> „Lazdijų vanduo“ </w:t>
      </w:r>
      <w:r w:rsidR="00AC306E">
        <w:t>perskaičiuotų geriamojo vandens tiekimo ir nuotekų tvarkymo bei paviršinių nuotekų tvarkymo paslaugų bazinių kainų derinimo</w:t>
      </w:r>
      <w:r w:rsidR="00AC306E" w:rsidRPr="004D6957">
        <w:t>“ ir atsižvelgdama į UAB „</w:t>
      </w:r>
      <w:r w:rsidR="00AC306E" w:rsidRPr="00690CF8">
        <w:rPr>
          <w:color w:val="000000"/>
        </w:rPr>
        <w:t>Lazdijų vanduo“ 2020-10-12 raštą Nr. LV8-189 „</w:t>
      </w:r>
      <w:r w:rsidR="00AC306E" w:rsidRPr="00690CF8">
        <w:rPr>
          <w:bCs/>
          <w:color w:val="000000"/>
          <w:lang w:eastAsia="lt-LT"/>
        </w:rPr>
        <w:t>Dėl UAB „Lazdijų vanduo“ perskaičiuotų geriamojo vandens tiekimo ir nuotekų tvarkymo bei paviršinių nuotekų tvarkymo paslaugų bazinių kainų tvirtinimo</w:t>
      </w:r>
      <w:r w:rsidR="00AC306E" w:rsidRPr="00690CF8">
        <w:rPr>
          <w:color w:val="000000"/>
        </w:rPr>
        <w:t>“</w:t>
      </w:r>
    </w:p>
    <w:p w14:paraId="73F3DA81" w14:textId="19775716" w:rsidR="000C5A83" w:rsidRPr="004D6957" w:rsidRDefault="000C5A83" w:rsidP="00500043">
      <w:pPr>
        <w:spacing w:line="360" w:lineRule="auto"/>
        <w:ind w:firstLine="720"/>
        <w:jc w:val="both"/>
      </w:pPr>
      <w:r w:rsidRPr="004D6957">
        <w:t>Šio projekto tikslas –</w:t>
      </w:r>
      <w:r w:rsidR="0064715C">
        <w:t xml:space="preserve"> </w:t>
      </w:r>
      <w:r w:rsidR="00AC306E">
        <w:t>nuo 2021 m. sausio 1</w:t>
      </w:r>
      <w:r w:rsidR="0002176E">
        <w:t xml:space="preserve"> </w:t>
      </w:r>
      <w:r w:rsidR="00AC306E">
        <w:t>d. n</w:t>
      </w:r>
      <w:r w:rsidRPr="004D6957">
        <w:t xml:space="preserve">ustatyti UAB „Lazdijų vanduo“ </w:t>
      </w:r>
      <w:r w:rsidR="00616A84">
        <w:t xml:space="preserve">perskaičiuotas </w:t>
      </w:r>
      <w:r w:rsidRPr="004D6957">
        <w:t>geriamojo vandens tiekimo ir nuotekų tvarkymo</w:t>
      </w:r>
      <w:r w:rsidR="00110894">
        <w:t>, paviršinių nuotekų tvarkymo</w:t>
      </w:r>
      <w:r w:rsidRPr="004D6957">
        <w:t xml:space="preserve"> paslaugų kainas be pridėtinės vertės mokesčio. </w:t>
      </w:r>
    </w:p>
    <w:p w14:paraId="6D1278E7" w14:textId="65FC9BB3" w:rsidR="00B63B41" w:rsidRPr="004D6957" w:rsidRDefault="000C5A83" w:rsidP="00500043">
      <w:pPr>
        <w:spacing w:line="360" w:lineRule="auto"/>
        <w:ind w:firstLine="720"/>
        <w:jc w:val="both"/>
      </w:pPr>
      <w:r w:rsidRPr="004D6957">
        <w:t xml:space="preserve">Bendrovės teikiamų paslaugų kainos apskaičiuotos pagal Valstybinės </w:t>
      </w:r>
      <w:r w:rsidR="00A90A03">
        <w:t>energetikos reguliavimo tarybos</w:t>
      </w:r>
      <w:r w:rsidRPr="004D6957">
        <w:t xml:space="preserve"> </w:t>
      </w:r>
      <w:smartTag w:uri="urn:schemas-microsoft-com:office:smarttags" w:element="metricconverter">
        <w:smartTagPr>
          <w:attr w:name="ProductID" w:val="2006 m"/>
        </w:smartTagPr>
        <w:r w:rsidRPr="004D6957">
          <w:t>2006 m</w:t>
        </w:r>
      </w:smartTag>
      <w:r w:rsidRPr="004D6957">
        <w:t xml:space="preserve">. gruodžio 21 d. nutarimu Nr. </w:t>
      </w:r>
      <w:r w:rsidR="002D4646" w:rsidRPr="004D6957">
        <w:t>O</w:t>
      </w:r>
      <w:r w:rsidR="005F03AC" w:rsidRPr="004D6957">
        <w:t>3</w:t>
      </w:r>
      <w:r w:rsidR="002D4646" w:rsidRPr="004D6957">
        <w:t>-92 patvirtintą</w:t>
      </w:r>
      <w:r w:rsidRPr="004D6957">
        <w:t xml:space="preserve"> Geriamojo vandens tiekimo ir nuotekų tvarkymo paslaugų kainų nustat</w:t>
      </w:r>
      <w:r w:rsidR="002D4646" w:rsidRPr="004D6957">
        <w:t>ymo metodiką</w:t>
      </w:r>
      <w:r w:rsidR="004302A3" w:rsidRPr="004D6957">
        <w:t xml:space="preserve"> bei </w:t>
      </w:r>
      <w:r w:rsidR="00AC306E">
        <w:t xml:space="preserve">suderintos </w:t>
      </w:r>
      <w:r w:rsidR="004302A3" w:rsidRPr="004D6957">
        <w:rPr>
          <w:color w:val="000000"/>
          <w:lang w:eastAsia="lt-LT"/>
        </w:rPr>
        <w:t>20</w:t>
      </w:r>
      <w:r w:rsidR="00AC306E">
        <w:rPr>
          <w:color w:val="000000"/>
          <w:lang w:eastAsia="lt-LT"/>
        </w:rPr>
        <w:t>20</w:t>
      </w:r>
      <w:r w:rsidR="004302A3" w:rsidRPr="004D6957">
        <w:rPr>
          <w:color w:val="000000"/>
          <w:lang w:eastAsia="lt-LT"/>
        </w:rPr>
        <w:t xml:space="preserve"> m. </w:t>
      </w:r>
      <w:r w:rsidR="00AC306E">
        <w:rPr>
          <w:color w:val="000000"/>
          <w:lang w:eastAsia="lt-LT"/>
        </w:rPr>
        <w:t>spalio 1</w:t>
      </w:r>
      <w:r w:rsidR="004302A3" w:rsidRPr="004D6957">
        <w:rPr>
          <w:color w:val="000000"/>
          <w:lang w:eastAsia="lt-LT"/>
        </w:rPr>
        <w:t xml:space="preserve"> d. Valstybinės </w:t>
      </w:r>
      <w:r w:rsidR="00A90A03">
        <w:rPr>
          <w:color w:val="000000"/>
          <w:lang w:eastAsia="lt-LT"/>
        </w:rPr>
        <w:t>energetikos reguliavimo tarybos</w:t>
      </w:r>
      <w:r w:rsidR="004302A3" w:rsidRPr="004D6957">
        <w:rPr>
          <w:color w:val="000000"/>
          <w:lang w:eastAsia="lt-LT"/>
        </w:rPr>
        <w:t xml:space="preserve"> nutarimu Nr. </w:t>
      </w:r>
      <w:r w:rsidR="00AC306E">
        <w:rPr>
          <w:rStyle w:val="dlxnowrap"/>
        </w:rPr>
        <w:t>03E-915</w:t>
      </w:r>
      <w:r w:rsidR="00AC306E" w:rsidRPr="004D6957">
        <w:rPr>
          <w:color w:val="000000"/>
          <w:lang w:eastAsia="lt-LT"/>
        </w:rPr>
        <w:t xml:space="preserve"> </w:t>
      </w:r>
      <w:r w:rsidR="004302A3" w:rsidRPr="004D6957">
        <w:rPr>
          <w:color w:val="000000"/>
          <w:lang w:eastAsia="lt-LT"/>
        </w:rPr>
        <w:t>„</w:t>
      </w:r>
      <w:r w:rsidR="00AC306E">
        <w:rPr>
          <w:color w:val="000000"/>
          <w:lang w:eastAsia="lt-LT"/>
        </w:rPr>
        <w:t>D</w:t>
      </w:r>
      <w:r w:rsidR="00AC306E" w:rsidRPr="00AC306E">
        <w:rPr>
          <w:color w:val="000000"/>
          <w:lang w:eastAsia="lt-LT"/>
        </w:rPr>
        <w:t xml:space="preserve">ėl </w:t>
      </w:r>
      <w:r w:rsidR="00AC306E">
        <w:rPr>
          <w:color w:val="000000"/>
          <w:lang w:eastAsia="lt-LT"/>
        </w:rPr>
        <w:t>UAB</w:t>
      </w:r>
      <w:r w:rsidR="00AC306E" w:rsidRPr="00AC306E">
        <w:rPr>
          <w:color w:val="000000"/>
          <w:lang w:eastAsia="lt-LT"/>
        </w:rPr>
        <w:t xml:space="preserve"> „</w:t>
      </w:r>
      <w:r w:rsidR="00AC306E">
        <w:rPr>
          <w:color w:val="000000"/>
          <w:lang w:eastAsia="lt-LT"/>
        </w:rPr>
        <w:t>La</w:t>
      </w:r>
      <w:r w:rsidR="00AC306E" w:rsidRPr="00AC306E">
        <w:rPr>
          <w:color w:val="000000"/>
          <w:lang w:eastAsia="lt-LT"/>
        </w:rPr>
        <w:t>zdijų vanduo“ perskaičiuotų geriamojo vandens tiekimo ir nuotekų tvarkymo bei paviršinių nuotekų tvarkymo paslaugų bazinių kainų derinimo</w:t>
      </w:r>
      <w:r w:rsidR="004302A3" w:rsidRPr="004D6957">
        <w:rPr>
          <w:bCs/>
        </w:rPr>
        <w:t>“</w:t>
      </w:r>
      <w:r w:rsidRPr="004D6957">
        <w:t xml:space="preserve">. </w:t>
      </w:r>
      <w:r w:rsidR="00AC306E">
        <w:t xml:space="preserve">Perskaičiavus </w:t>
      </w:r>
      <w:r w:rsidR="0043467F">
        <w:t>UAB</w:t>
      </w:r>
      <w:r w:rsidR="00AC306E" w:rsidRPr="00AC306E">
        <w:t xml:space="preserve"> „</w:t>
      </w:r>
      <w:r w:rsidR="0043467F">
        <w:t>L</w:t>
      </w:r>
      <w:r w:rsidR="00AC306E" w:rsidRPr="00AC306E">
        <w:t>azdijų vanduo“ geriamojo vandens tiekimo ir nuotekų tvarkymo bei paviršinių nuotekų tvarkymo paslaugų bazin</w:t>
      </w:r>
      <w:r w:rsidR="0043467F">
        <w:t>es kainas, dalies paslaugų kaina padidėjo, kita dalis liko nepasikeitusi.</w:t>
      </w:r>
    </w:p>
    <w:p w14:paraId="78B52170" w14:textId="77777777" w:rsidR="004C2235" w:rsidRDefault="00B63B41" w:rsidP="00500043">
      <w:pPr>
        <w:spacing w:line="360" w:lineRule="auto"/>
        <w:ind w:firstLine="720"/>
        <w:jc w:val="both"/>
        <w:rPr>
          <w:bCs/>
        </w:rPr>
      </w:pPr>
      <w:r w:rsidRPr="004D6957">
        <w:rPr>
          <w:bCs/>
        </w:rPr>
        <w:t xml:space="preserve">Geriamojo vandens tiekimo ir nuotekų tvarkymo paslaugų </w:t>
      </w:r>
      <w:r w:rsidR="00C35528">
        <w:rPr>
          <w:bCs/>
        </w:rPr>
        <w:t>bazinės ir perskaičiuotos kainos palyginimas</w:t>
      </w:r>
      <w:r w:rsidR="004C2235" w:rsidRPr="004D6957">
        <w:rPr>
          <w:bCs/>
        </w:rPr>
        <w:t>:</w:t>
      </w:r>
      <w:r w:rsidRPr="004D6957">
        <w:rPr>
          <w:bCs/>
        </w:rPr>
        <w:t xml:space="preserve"> </w:t>
      </w:r>
    </w:p>
    <w:p w14:paraId="57D0B8B4" w14:textId="77777777" w:rsidR="00C43E29" w:rsidRDefault="00C43E29" w:rsidP="00500043">
      <w:pPr>
        <w:spacing w:line="360" w:lineRule="auto"/>
        <w:ind w:firstLine="72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895"/>
        <w:gridCol w:w="1343"/>
        <w:gridCol w:w="1509"/>
        <w:gridCol w:w="1835"/>
        <w:gridCol w:w="1516"/>
      </w:tblGrid>
      <w:tr w:rsidR="00FD5E18" w:rsidRPr="00E55BD4" w14:paraId="5EB15189" w14:textId="77777777" w:rsidTr="00E55BD4">
        <w:tc>
          <w:tcPr>
            <w:tcW w:w="757" w:type="dxa"/>
            <w:shd w:val="clear" w:color="auto" w:fill="auto"/>
          </w:tcPr>
          <w:p w14:paraId="7D4AA455" w14:textId="77777777" w:rsidR="00FD5E18" w:rsidRPr="00E55BD4" w:rsidRDefault="00FD5E18" w:rsidP="00E55BD4">
            <w:pPr>
              <w:jc w:val="center"/>
              <w:rPr>
                <w:bCs/>
              </w:rPr>
            </w:pPr>
            <w:r w:rsidRPr="00E55BD4">
              <w:rPr>
                <w:bCs/>
              </w:rPr>
              <w:t>Eil. Nr.</w:t>
            </w:r>
          </w:p>
        </w:tc>
        <w:tc>
          <w:tcPr>
            <w:tcW w:w="2895" w:type="dxa"/>
            <w:shd w:val="clear" w:color="auto" w:fill="auto"/>
          </w:tcPr>
          <w:p w14:paraId="338F5401" w14:textId="77777777" w:rsidR="00FD5E18" w:rsidRPr="00E55BD4" w:rsidRDefault="00FD5E18" w:rsidP="00E55BD4">
            <w:pPr>
              <w:jc w:val="center"/>
              <w:rPr>
                <w:bCs/>
              </w:rPr>
            </w:pPr>
            <w:r w:rsidRPr="00E55BD4">
              <w:rPr>
                <w:bCs/>
              </w:rPr>
              <w:t>Rodiklis</w:t>
            </w:r>
          </w:p>
        </w:tc>
        <w:tc>
          <w:tcPr>
            <w:tcW w:w="1343" w:type="dxa"/>
            <w:shd w:val="clear" w:color="auto" w:fill="auto"/>
          </w:tcPr>
          <w:p w14:paraId="1C967F69" w14:textId="77777777" w:rsidR="00FD5E18" w:rsidRPr="00E55BD4" w:rsidRDefault="00FD5E18" w:rsidP="00E55BD4">
            <w:pPr>
              <w:jc w:val="center"/>
              <w:rPr>
                <w:bCs/>
              </w:rPr>
            </w:pPr>
            <w:r w:rsidRPr="00E55BD4">
              <w:rPr>
                <w:rFonts w:eastAsia="TimesNewRomanPSMT"/>
                <w:lang w:eastAsia="lt-LT"/>
              </w:rPr>
              <w:t>Šiuo metu galiojanti bazinė kaina</w:t>
            </w:r>
          </w:p>
        </w:tc>
        <w:tc>
          <w:tcPr>
            <w:tcW w:w="1509" w:type="dxa"/>
            <w:shd w:val="clear" w:color="auto" w:fill="auto"/>
          </w:tcPr>
          <w:p w14:paraId="54A298D7" w14:textId="77777777" w:rsidR="00FD5E18" w:rsidRPr="00E55BD4" w:rsidRDefault="00FD5E18" w:rsidP="00E55BD4">
            <w:pPr>
              <w:jc w:val="center"/>
              <w:rPr>
                <w:bCs/>
              </w:rPr>
            </w:pPr>
            <w:r w:rsidRPr="00E55BD4">
              <w:rPr>
                <w:bCs/>
              </w:rPr>
              <w:t>Perskaičiuota bazinė kaina</w:t>
            </w:r>
          </w:p>
        </w:tc>
        <w:tc>
          <w:tcPr>
            <w:tcW w:w="1835" w:type="dxa"/>
            <w:shd w:val="clear" w:color="auto" w:fill="auto"/>
          </w:tcPr>
          <w:p w14:paraId="7CCE44B2" w14:textId="730DEBA5" w:rsidR="00FD5E18" w:rsidRPr="00E55BD4" w:rsidRDefault="00FD5E18" w:rsidP="00E55BD4">
            <w:pPr>
              <w:jc w:val="center"/>
              <w:rPr>
                <w:bCs/>
              </w:rPr>
            </w:pPr>
            <w:r w:rsidRPr="00E55BD4">
              <w:rPr>
                <w:bCs/>
              </w:rPr>
              <w:t>Padidėjimas / sumažėjimas (-), Eur</w:t>
            </w:r>
          </w:p>
        </w:tc>
        <w:tc>
          <w:tcPr>
            <w:tcW w:w="1516" w:type="dxa"/>
            <w:shd w:val="clear" w:color="auto" w:fill="auto"/>
          </w:tcPr>
          <w:p w14:paraId="102E63A4" w14:textId="77777777" w:rsidR="00FD5E18" w:rsidRPr="00E55BD4" w:rsidRDefault="00FD5E18" w:rsidP="00E55BD4">
            <w:pPr>
              <w:jc w:val="center"/>
              <w:rPr>
                <w:bCs/>
              </w:rPr>
            </w:pPr>
            <w:r w:rsidRPr="00E55BD4">
              <w:rPr>
                <w:bCs/>
              </w:rPr>
              <w:t>Padidėjimas / sumažėjimas (-), proc.</w:t>
            </w:r>
          </w:p>
        </w:tc>
      </w:tr>
      <w:tr w:rsidR="00FD5E18" w:rsidRPr="00E55BD4" w14:paraId="6BE6C006" w14:textId="77777777" w:rsidTr="00E55BD4">
        <w:tc>
          <w:tcPr>
            <w:tcW w:w="757" w:type="dxa"/>
            <w:shd w:val="clear" w:color="auto" w:fill="auto"/>
          </w:tcPr>
          <w:p w14:paraId="5391CF22" w14:textId="77777777" w:rsidR="00FD5E18" w:rsidRPr="00E55BD4" w:rsidRDefault="00FD5E18" w:rsidP="00E55BD4">
            <w:pPr>
              <w:jc w:val="both"/>
              <w:rPr>
                <w:b/>
              </w:rPr>
            </w:pPr>
          </w:p>
          <w:p w14:paraId="1BC42771" w14:textId="77777777" w:rsidR="00FD5E18" w:rsidRPr="00E55BD4" w:rsidRDefault="00FD5E18" w:rsidP="00C43E29">
            <w:pPr>
              <w:rPr>
                <w:b/>
              </w:rPr>
            </w:pPr>
          </w:p>
          <w:p w14:paraId="4F29D698" w14:textId="77777777" w:rsidR="00FD5E18" w:rsidRPr="00E55BD4" w:rsidRDefault="00FD5E18" w:rsidP="00C43E29">
            <w:pPr>
              <w:rPr>
                <w:b/>
              </w:rPr>
            </w:pPr>
          </w:p>
          <w:p w14:paraId="131A5612" w14:textId="77777777" w:rsidR="00FD5E18" w:rsidRPr="00E55BD4" w:rsidRDefault="00FD5E18" w:rsidP="00C43E29">
            <w:pPr>
              <w:rPr>
                <w:b/>
              </w:rPr>
            </w:pPr>
            <w:r w:rsidRPr="00E55BD4">
              <w:rPr>
                <w:b/>
              </w:rPr>
              <w:t>1.</w:t>
            </w:r>
          </w:p>
        </w:tc>
        <w:tc>
          <w:tcPr>
            <w:tcW w:w="2895" w:type="dxa"/>
            <w:shd w:val="clear" w:color="auto" w:fill="auto"/>
          </w:tcPr>
          <w:p w14:paraId="7464A3A3" w14:textId="77777777" w:rsidR="00FD5E18" w:rsidRPr="00E55BD4" w:rsidRDefault="00FD5E18" w:rsidP="00E55BD4">
            <w:pPr>
              <w:autoSpaceDE w:val="0"/>
              <w:autoSpaceDN w:val="0"/>
              <w:adjustRightInd w:val="0"/>
              <w:rPr>
                <w:rFonts w:eastAsia="TimesNewRomanPSMT"/>
                <w:b/>
                <w:lang w:eastAsia="lt-LT"/>
              </w:rPr>
            </w:pPr>
            <w:r w:rsidRPr="00E55BD4">
              <w:rPr>
                <w:rFonts w:eastAsia="TimesNewRomanPSMT"/>
                <w:b/>
                <w:lang w:eastAsia="lt-LT"/>
              </w:rPr>
              <w:lastRenderedPageBreak/>
              <w:t xml:space="preserve">Geriamojo vandens </w:t>
            </w:r>
            <w:r w:rsidRPr="00E55BD4">
              <w:rPr>
                <w:rFonts w:eastAsia="TimesNewRomanPSMT"/>
                <w:b/>
                <w:lang w:eastAsia="lt-LT"/>
              </w:rPr>
              <w:lastRenderedPageBreak/>
              <w:t>tiekimo ir nuotekų</w:t>
            </w:r>
          </w:p>
          <w:p w14:paraId="53E69FC5" w14:textId="77777777" w:rsidR="00FD5E18" w:rsidRPr="00E55BD4" w:rsidRDefault="00FD5E18" w:rsidP="00E55BD4">
            <w:pPr>
              <w:autoSpaceDE w:val="0"/>
              <w:autoSpaceDN w:val="0"/>
              <w:adjustRightInd w:val="0"/>
              <w:rPr>
                <w:rFonts w:eastAsia="TimesNewRomanPSMT"/>
                <w:b/>
                <w:lang w:eastAsia="lt-LT"/>
              </w:rPr>
            </w:pPr>
            <w:r w:rsidRPr="00E55BD4">
              <w:rPr>
                <w:rFonts w:eastAsia="TimesNewRomanPSMT"/>
                <w:b/>
                <w:lang w:eastAsia="lt-LT"/>
              </w:rPr>
              <w:t>tvarkymo paslaugų kainos vartotojams,</w:t>
            </w:r>
          </w:p>
          <w:p w14:paraId="518C36A3" w14:textId="77777777" w:rsidR="00FD5E18" w:rsidRPr="00E55BD4" w:rsidRDefault="00FD5E18" w:rsidP="00E55BD4">
            <w:pPr>
              <w:autoSpaceDE w:val="0"/>
              <w:autoSpaceDN w:val="0"/>
              <w:adjustRightInd w:val="0"/>
              <w:rPr>
                <w:b/>
              </w:rPr>
            </w:pPr>
            <w:r w:rsidRPr="00E55BD4">
              <w:rPr>
                <w:rFonts w:eastAsia="TimesNewRomanPSMT"/>
                <w:b/>
                <w:lang w:eastAsia="lt-LT"/>
              </w:rPr>
              <w:t>perkantiems paslaugas bute, Eur/m3:</w:t>
            </w:r>
          </w:p>
        </w:tc>
        <w:tc>
          <w:tcPr>
            <w:tcW w:w="1343" w:type="dxa"/>
            <w:shd w:val="clear" w:color="auto" w:fill="auto"/>
            <w:vAlign w:val="center"/>
          </w:tcPr>
          <w:p w14:paraId="0B18DE8A" w14:textId="77777777" w:rsidR="00FD5E18" w:rsidRPr="00E55BD4" w:rsidRDefault="00FD5E18" w:rsidP="00E55BD4">
            <w:pPr>
              <w:jc w:val="center"/>
              <w:rPr>
                <w:b/>
              </w:rPr>
            </w:pPr>
            <w:r w:rsidRPr="00E55BD4">
              <w:rPr>
                <w:b/>
              </w:rPr>
              <w:lastRenderedPageBreak/>
              <w:t>2,63</w:t>
            </w:r>
          </w:p>
        </w:tc>
        <w:tc>
          <w:tcPr>
            <w:tcW w:w="1509" w:type="dxa"/>
            <w:shd w:val="clear" w:color="auto" w:fill="auto"/>
            <w:vAlign w:val="center"/>
          </w:tcPr>
          <w:p w14:paraId="541E0702" w14:textId="77777777" w:rsidR="00FD5E18" w:rsidRPr="00E55BD4" w:rsidRDefault="00FD5E18" w:rsidP="00E55BD4">
            <w:pPr>
              <w:jc w:val="center"/>
              <w:rPr>
                <w:b/>
              </w:rPr>
            </w:pPr>
            <w:r w:rsidRPr="00E55BD4">
              <w:rPr>
                <w:b/>
              </w:rPr>
              <w:t>2,71</w:t>
            </w:r>
          </w:p>
        </w:tc>
        <w:tc>
          <w:tcPr>
            <w:tcW w:w="1835" w:type="dxa"/>
            <w:shd w:val="clear" w:color="auto" w:fill="auto"/>
            <w:vAlign w:val="center"/>
          </w:tcPr>
          <w:p w14:paraId="1EFFBE61" w14:textId="77777777" w:rsidR="00FD5E18" w:rsidRPr="00E55BD4" w:rsidRDefault="00FD5E18" w:rsidP="00E55BD4">
            <w:pPr>
              <w:jc w:val="center"/>
              <w:rPr>
                <w:b/>
              </w:rPr>
            </w:pPr>
            <w:r w:rsidRPr="00E55BD4">
              <w:rPr>
                <w:b/>
              </w:rPr>
              <w:t>0,08</w:t>
            </w:r>
          </w:p>
        </w:tc>
        <w:tc>
          <w:tcPr>
            <w:tcW w:w="1516" w:type="dxa"/>
            <w:shd w:val="clear" w:color="auto" w:fill="auto"/>
            <w:vAlign w:val="center"/>
          </w:tcPr>
          <w:p w14:paraId="5437633B" w14:textId="77777777" w:rsidR="00FD5E18" w:rsidRPr="00E55BD4" w:rsidRDefault="00FD5E18" w:rsidP="00E55BD4">
            <w:pPr>
              <w:jc w:val="center"/>
              <w:rPr>
                <w:b/>
              </w:rPr>
            </w:pPr>
            <w:r w:rsidRPr="00E55BD4">
              <w:rPr>
                <w:b/>
              </w:rPr>
              <w:t>3,04</w:t>
            </w:r>
          </w:p>
        </w:tc>
      </w:tr>
      <w:tr w:rsidR="00FD5E18" w:rsidRPr="00E55BD4" w14:paraId="7598F8C0" w14:textId="77777777" w:rsidTr="00E55BD4">
        <w:tc>
          <w:tcPr>
            <w:tcW w:w="757" w:type="dxa"/>
            <w:shd w:val="clear" w:color="auto" w:fill="auto"/>
          </w:tcPr>
          <w:p w14:paraId="0E618E1C" w14:textId="77777777" w:rsidR="00FD5E18" w:rsidRPr="00E55BD4" w:rsidRDefault="00FD5E18" w:rsidP="00E55BD4">
            <w:pPr>
              <w:numPr>
                <w:ilvl w:val="1"/>
                <w:numId w:val="6"/>
              </w:numPr>
              <w:jc w:val="both"/>
              <w:rPr>
                <w:b/>
              </w:rPr>
            </w:pPr>
          </w:p>
        </w:tc>
        <w:tc>
          <w:tcPr>
            <w:tcW w:w="2895" w:type="dxa"/>
            <w:shd w:val="clear" w:color="auto" w:fill="auto"/>
          </w:tcPr>
          <w:p w14:paraId="4F957940" w14:textId="77777777" w:rsidR="00FD5E18" w:rsidRPr="00E55BD4" w:rsidRDefault="00FD5E18" w:rsidP="00E55BD4">
            <w:pPr>
              <w:jc w:val="both"/>
              <w:rPr>
                <w:b/>
              </w:rPr>
            </w:pPr>
            <w:r w:rsidRPr="00E55BD4">
              <w:rPr>
                <w:rFonts w:eastAsia="TimesNewRomanPSMT"/>
                <w:b/>
                <w:lang w:eastAsia="lt-LT"/>
              </w:rPr>
              <w:t xml:space="preserve">Geriamojo vandens tiekimo </w:t>
            </w:r>
          </w:p>
        </w:tc>
        <w:tc>
          <w:tcPr>
            <w:tcW w:w="1343" w:type="dxa"/>
            <w:shd w:val="clear" w:color="auto" w:fill="auto"/>
            <w:vAlign w:val="center"/>
          </w:tcPr>
          <w:p w14:paraId="3459651E" w14:textId="77777777" w:rsidR="00FD5E18" w:rsidRPr="00E55BD4" w:rsidRDefault="00FD5E18" w:rsidP="00E55BD4">
            <w:pPr>
              <w:jc w:val="center"/>
              <w:rPr>
                <w:b/>
              </w:rPr>
            </w:pPr>
            <w:r w:rsidRPr="00E55BD4">
              <w:rPr>
                <w:b/>
              </w:rPr>
              <w:t>0,80</w:t>
            </w:r>
          </w:p>
        </w:tc>
        <w:tc>
          <w:tcPr>
            <w:tcW w:w="1509" w:type="dxa"/>
            <w:shd w:val="clear" w:color="auto" w:fill="auto"/>
            <w:vAlign w:val="center"/>
          </w:tcPr>
          <w:p w14:paraId="6488F3B5" w14:textId="77777777" w:rsidR="00FD5E18" w:rsidRPr="00E55BD4" w:rsidRDefault="00FD5E18" w:rsidP="00E55BD4">
            <w:pPr>
              <w:jc w:val="center"/>
              <w:rPr>
                <w:b/>
              </w:rPr>
            </w:pPr>
            <w:r w:rsidRPr="00E55BD4">
              <w:rPr>
                <w:b/>
              </w:rPr>
              <w:t>0,86</w:t>
            </w:r>
          </w:p>
        </w:tc>
        <w:tc>
          <w:tcPr>
            <w:tcW w:w="1835" w:type="dxa"/>
            <w:shd w:val="clear" w:color="auto" w:fill="auto"/>
            <w:vAlign w:val="center"/>
          </w:tcPr>
          <w:p w14:paraId="74FA4F5A" w14:textId="77777777" w:rsidR="00FD5E18" w:rsidRPr="00E55BD4" w:rsidRDefault="00FD5E18" w:rsidP="00E55BD4">
            <w:pPr>
              <w:jc w:val="center"/>
              <w:rPr>
                <w:b/>
              </w:rPr>
            </w:pPr>
            <w:r w:rsidRPr="00E55BD4">
              <w:rPr>
                <w:b/>
              </w:rPr>
              <w:t>0,06</w:t>
            </w:r>
          </w:p>
        </w:tc>
        <w:tc>
          <w:tcPr>
            <w:tcW w:w="1516" w:type="dxa"/>
            <w:shd w:val="clear" w:color="auto" w:fill="auto"/>
            <w:vAlign w:val="center"/>
          </w:tcPr>
          <w:p w14:paraId="41C31F6A" w14:textId="77777777" w:rsidR="00FD5E18" w:rsidRPr="00E55BD4" w:rsidRDefault="00FD5E18" w:rsidP="00E55BD4">
            <w:pPr>
              <w:jc w:val="center"/>
              <w:rPr>
                <w:b/>
              </w:rPr>
            </w:pPr>
            <w:r w:rsidRPr="00E55BD4">
              <w:rPr>
                <w:b/>
              </w:rPr>
              <w:t>7,5</w:t>
            </w:r>
          </w:p>
        </w:tc>
      </w:tr>
      <w:tr w:rsidR="00FD5E18" w:rsidRPr="00E55BD4" w14:paraId="6DCB4BB1" w14:textId="77777777" w:rsidTr="00E55BD4">
        <w:trPr>
          <w:trHeight w:val="459"/>
        </w:trPr>
        <w:tc>
          <w:tcPr>
            <w:tcW w:w="757" w:type="dxa"/>
            <w:shd w:val="clear" w:color="auto" w:fill="auto"/>
          </w:tcPr>
          <w:p w14:paraId="088BD663" w14:textId="77777777" w:rsidR="00FD5E18" w:rsidRPr="00E55BD4" w:rsidRDefault="00FD5E18" w:rsidP="00E55BD4">
            <w:pPr>
              <w:jc w:val="both"/>
              <w:rPr>
                <w:b/>
              </w:rPr>
            </w:pPr>
            <w:r w:rsidRPr="00E55BD4">
              <w:rPr>
                <w:b/>
              </w:rPr>
              <w:t>1.2.</w:t>
            </w:r>
          </w:p>
        </w:tc>
        <w:tc>
          <w:tcPr>
            <w:tcW w:w="2895" w:type="dxa"/>
            <w:shd w:val="clear" w:color="auto" w:fill="auto"/>
          </w:tcPr>
          <w:p w14:paraId="77AC5885" w14:textId="77777777" w:rsidR="00FD5E18" w:rsidRPr="00E55BD4" w:rsidRDefault="00FD5E18" w:rsidP="00E55BD4">
            <w:pPr>
              <w:jc w:val="both"/>
              <w:rPr>
                <w:b/>
              </w:rPr>
            </w:pPr>
            <w:r w:rsidRPr="00E55BD4">
              <w:rPr>
                <w:rFonts w:eastAsia="TimesNewRomanPSMT"/>
                <w:b/>
                <w:lang w:eastAsia="lt-LT"/>
              </w:rPr>
              <w:t>Nuotekų tvarkymo:</w:t>
            </w:r>
          </w:p>
        </w:tc>
        <w:tc>
          <w:tcPr>
            <w:tcW w:w="1343" w:type="dxa"/>
            <w:shd w:val="clear" w:color="auto" w:fill="auto"/>
            <w:vAlign w:val="center"/>
          </w:tcPr>
          <w:p w14:paraId="29CCEE3D" w14:textId="77777777" w:rsidR="00FD5E18" w:rsidRPr="00E55BD4" w:rsidRDefault="00FD5E18" w:rsidP="00E55BD4">
            <w:pPr>
              <w:jc w:val="center"/>
              <w:rPr>
                <w:b/>
              </w:rPr>
            </w:pPr>
            <w:r w:rsidRPr="00E55BD4">
              <w:rPr>
                <w:b/>
              </w:rPr>
              <w:t>1,83</w:t>
            </w:r>
          </w:p>
        </w:tc>
        <w:tc>
          <w:tcPr>
            <w:tcW w:w="1509" w:type="dxa"/>
            <w:shd w:val="clear" w:color="auto" w:fill="auto"/>
            <w:vAlign w:val="center"/>
          </w:tcPr>
          <w:p w14:paraId="35DC60D2" w14:textId="77777777" w:rsidR="00FD5E18" w:rsidRPr="00E55BD4" w:rsidRDefault="00FD5E18" w:rsidP="00E55BD4">
            <w:pPr>
              <w:jc w:val="center"/>
              <w:rPr>
                <w:b/>
              </w:rPr>
            </w:pPr>
            <w:r w:rsidRPr="00E55BD4">
              <w:rPr>
                <w:b/>
              </w:rPr>
              <w:t>1,85</w:t>
            </w:r>
          </w:p>
        </w:tc>
        <w:tc>
          <w:tcPr>
            <w:tcW w:w="1835" w:type="dxa"/>
            <w:shd w:val="clear" w:color="auto" w:fill="auto"/>
            <w:vAlign w:val="center"/>
          </w:tcPr>
          <w:p w14:paraId="627B16C7" w14:textId="77777777" w:rsidR="00FD5E18" w:rsidRPr="00E55BD4" w:rsidRDefault="00FD5E18" w:rsidP="00E55BD4">
            <w:pPr>
              <w:jc w:val="center"/>
              <w:rPr>
                <w:b/>
              </w:rPr>
            </w:pPr>
            <w:r w:rsidRPr="00E55BD4">
              <w:rPr>
                <w:b/>
              </w:rPr>
              <w:t>0,02</w:t>
            </w:r>
          </w:p>
        </w:tc>
        <w:tc>
          <w:tcPr>
            <w:tcW w:w="1516" w:type="dxa"/>
            <w:shd w:val="clear" w:color="auto" w:fill="auto"/>
            <w:vAlign w:val="center"/>
          </w:tcPr>
          <w:p w14:paraId="2725BCDE" w14:textId="77777777" w:rsidR="00FD5E18" w:rsidRPr="00E55BD4" w:rsidRDefault="00FD5E18" w:rsidP="00E55BD4">
            <w:pPr>
              <w:jc w:val="center"/>
              <w:rPr>
                <w:b/>
              </w:rPr>
            </w:pPr>
            <w:r w:rsidRPr="00E55BD4">
              <w:rPr>
                <w:b/>
              </w:rPr>
              <w:t>1,09</w:t>
            </w:r>
          </w:p>
        </w:tc>
      </w:tr>
      <w:tr w:rsidR="00FD5E18" w:rsidRPr="00E55BD4" w14:paraId="2B38202C" w14:textId="77777777" w:rsidTr="00E55BD4">
        <w:tc>
          <w:tcPr>
            <w:tcW w:w="757" w:type="dxa"/>
            <w:shd w:val="clear" w:color="auto" w:fill="auto"/>
          </w:tcPr>
          <w:p w14:paraId="2B23A43D" w14:textId="77777777" w:rsidR="00FD5E18" w:rsidRPr="00E55BD4" w:rsidRDefault="00FD5E18" w:rsidP="00E55BD4">
            <w:pPr>
              <w:jc w:val="both"/>
              <w:rPr>
                <w:bCs/>
              </w:rPr>
            </w:pPr>
            <w:r w:rsidRPr="00E55BD4">
              <w:rPr>
                <w:bCs/>
              </w:rPr>
              <w:t>1.2.1.</w:t>
            </w:r>
          </w:p>
        </w:tc>
        <w:tc>
          <w:tcPr>
            <w:tcW w:w="2895" w:type="dxa"/>
            <w:shd w:val="clear" w:color="auto" w:fill="auto"/>
          </w:tcPr>
          <w:p w14:paraId="11607109" w14:textId="77777777" w:rsidR="00FD5E18" w:rsidRPr="00E55BD4" w:rsidRDefault="00FD5E18" w:rsidP="00E55BD4">
            <w:pPr>
              <w:jc w:val="both"/>
              <w:rPr>
                <w:bCs/>
              </w:rPr>
            </w:pPr>
            <w:r w:rsidRPr="00E55BD4">
              <w:rPr>
                <w:rFonts w:eastAsia="TimesNewRomanPSMT"/>
                <w:lang w:eastAsia="lt-LT"/>
              </w:rPr>
              <w:t xml:space="preserve">nuotekų surinkimo </w:t>
            </w:r>
          </w:p>
        </w:tc>
        <w:tc>
          <w:tcPr>
            <w:tcW w:w="1343" w:type="dxa"/>
            <w:shd w:val="clear" w:color="auto" w:fill="auto"/>
            <w:vAlign w:val="center"/>
          </w:tcPr>
          <w:p w14:paraId="3BDD1493" w14:textId="77777777" w:rsidR="00FD5E18" w:rsidRPr="00E55BD4" w:rsidRDefault="00FD5E18" w:rsidP="00E55BD4">
            <w:pPr>
              <w:jc w:val="center"/>
              <w:rPr>
                <w:bCs/>
              </w:rPr>
            </w:pPr>
            <w:r w:rsidRPr="00E55BD4">
              <w:rPr>
                <w:bCs/>
              </w:rPr>
              <w:t>0,53</w:t>
            </w:r>
          </w:p>
        </w:tc>
        <w:tc>
          <w:tcPr>
            <w:tcW w:w="1509" w:type="dxa"/>
            <w:shd w:val="clear" w:color="auto" w:fill="auto"/>
            <w:vAlign w:val="center"/>
          </w:tcPr>
          <w:p w14:paraId="2B6B2EFC" w14:textId="77777777" w:rsidR="00FD5E18" w:rsidRPr="00E55BD4" w:rsidRDefault="00FD5E18" w:rsidP="00E55BD4">
            <w:pPr>
              <w:jc w:val="center"/>
              <w:rPr>
                <w:bCs/>
              </w:rPr>
            </w:pPr>
            <w:r w:rsidRPr="00E55BD4">
              <w:rPr>
                <w:bCs/>
              </w:rPr>
              <w:t>0,53</w:t>
            </w:r>
          </w:p>
        </w:tc>
        <w:tc>
          <w:tcPr>
            <w:tcW w:w="1835" w:type="dxa"/>
            <w:shd w:val="clear" w:color="auto" w:fill="auto"/>
            <w:vAlign w:val="center"/>
          </w:tcPr>
          <w:p w14:paraId="49F63C62" w14:textId="77777777" w:rsidR="00FD5E18" w:rsidRPr="00E55BD4" w:rsidRDefault="00FD5E18" w:rsidP="00E55BD4">
            <w:pPr>
              <w:jc w:val="center"/>
              <w:rPr>
                <w:bCs/>
              </w:rPr>
            </w:pPr>
            <w:r w:rsidRPr="00E55BD4">
              <w:rPr>
                <w:bCs/>
              </w:rPr>
              <w:t>nesikeičia</w:t>
            </w:r>
          </w:p>
        </w:tc>
        <w:tc>
          <w:tcPr>
            <w:tcW w:w="1516" w:type="dxa"/>
            <w:shd w:val="clear" w:color="auto" w:fill="auto"/>
            <w:vAlign w:val="center"/>
          </w:tcPr>
          <w:p w14:paraId="06775658" w14:textId="77777777" w:rsidR="00FD5E18" w:rsidRPr="00E55BD4" w:rsidRDefault="00FD5E18" w:rsidP="00E55BD4">
            <w:pPr>
              <w:jc w:val="center"/>
              <w:rPr>
                <w:bCs/>
              </w:rPr>
            </w:pPr>
            <w:r w:rsidRPr="00E55BD4">
              <w:rPr>
                <w:bCs/>
              </w:rPr>
              <w:t>nesikeičia</w:t>
            </w:r>
          </w:p>
        </w:tc>
      </w:tr>
      <w:tr w:rsidR="00FD5E18" w:rsidRPr="00E55BD4" w14:paraId="36D29E11" w14:textId="77777777" w:rsidTr="00E55BD4">
        <w:tc>
          <w:tcPr>
            <w:tcW w:w="757" w:type="dxa"/>
            <w:shd w:val="clear" w:color="auto" w:fill="auto"/>
          </w:tcPr>
          <w:p w14:paraId="23370649" w14:textId="77777777" w:rsidR="00FD5E18" w:rsidRPr="00E55BD4" w:rsidRDefault="00FD5E18" w:rsidP="00E55BD4">
            <w:pPr>
              <w:jc w:val="both"/>
              <w:rPr>
                <w:bCs/>
              </w:rPr>
            </w:pPr>
            <w:r w:rsidRPr="00E55BD4">
              <w:rPr>
                <w:bCs/>
              </w:rPr>
              <w:t>1.2.2.</w:t>
            </w:r>
          </w:p>
        </w:tc>
        <w:tc>
          <w:tcPr>
            <w:tcW w:w="2895" w:type="dxa"/>
            <w:shd w:val="clear" w:color="auto" w:fill="auto"/>
          </w:tcPr>
          <w:p w14:paraId="10F8F13E" w14:textId="77777777" w:rsidR="00FD5E18" w:rsidRPr="00E55BD4" w:rsidRDefault="00FD5E18" w:rsidP="00E55BD4">
            <w:pPr>
              <w:jc w:val="both"/>
              <w:rPr>
                <w:bCs/>
              </w:rPr>
            </w:pPr>
            <w:r w:rsidRPr="00E55BD4">
              <w:rPr>
                <w:rFonts w:eastAsia="TimesNewRomanPSMT"/>
                <w:lang w:eastAsia="lt-LT"/>
              </w:rPr>
              <w:t xml:space="preserve">nuotekų valymo </w:t>
            </w:r>
          </w:p>
        </w:tc>
        <w:tc>
          <w:tcPr>
            <w:tcW w:w="1343" w:type="dxa"/>
            <w:shd w:val="clear" w:color="auto" w:fill="auto"/>
            <w:vAlign w:val="center"/>
          </w:tcPr>
          <w:p w14:paraId="394B9F61" w14:textId="77777777" w:rsidR="00FD5E18" w:rsidRPr="00E55BD4" w:rsidRDefault="00FD5E18" w:rsidP="00E55BD4">
            <w:pPr>
              <w:jc w:val="center"/>
              <w:rPr>
                <w:bCs/>
              </w:rPr>
            </w:pPr>
            <w:r w:rsidRPr="00E55BD4">
              <w:rPr>
                <w:bCs/>
              </w:rPr>
              <w:t>1,21</w:t>
            </w:r>
          </w:p>
        </w:tc>
        <w:tc>
          <w:tcPr>
            <w:tcW w:w="1509" w:type="dxa"/>
            <w:shd w:val="clear" w:color="auto" w:fill="auto"/>
            <w:vAlign w:val="center"/>
          </w:tcPr>
          <w:p w14:paraId="252E2D7F" w14:textId="77777777" w:rsidR="00FD5E18" w:rsidRPr="00E55BD4" w:rsidRDefault="00FD5E18" w:rsidP="00E55BD4">
            <w:pPr>
              <w:jc w:val="center"/>
              <w:rPr>
                <w:bCs/>
              </w:rPr>
            </w:pPr>
            <w:r w:rsidRPr="00E55BD4">
              <w:rPr>
                <w:bCs/>
              </w:rPr>
              <w:t>1,23</w:t>
            </w:r>
          </w:p>
        </w:tc>
        <w:tc>
          <w:tcPr>
            <w:tcW w:w="1835" w:type="dxa"/>
            <w:shd w:val="clear" w:color="auto" w:fill="auto"/>
            <w:vAlign w:val="center"/>
          </w:tcPr>
          <w:p w14:paraId="77943222" w14:textId="77777777" w:rsidR="00FD5E18" w:rsidRPr="00E55BD4" w:rsidRDefault="00FD5E18" w:rsidP="00E55BD4">
            <w:pPr>
              <w:jc w:val="center"/>
              <w:rPr>
                <w:bCs/>
              </w:rPr>
            </w:pPr>
            <w:r w:rsidRPr="00E55BD4">
              <w:rPr>
                <w:bCs/>
              </w:rPr>
              <w:t>0,02</w:t>
            </w:r>
          </w:p>
        </w:tc>
        <w:tc>
          <w:tcPr>
            <w:tcW w:w="1516" w:type="dxa"/>
            <w:shd w:val="clear" w:color="auto" w:fill="auto"/>
            <w:vAlign w:val="center"/>
          </w:tcPr>
          <w:p w14:paraId="0B5429C2" w14:textId="77777777" w:rsidR="00FD5E18" w:rsidRPr="00E55BD4" w:rsidRDefault="00FD5E18" w:rsidP="00E55BD4">
            <w:pPr>
              <w:jc w:val="center"/>
              <w:rPr>
                <w:bCs/>
              </w:rPr>
            </w:pPr>
            <w:r w:rsidRPr="00E55BD4">
              <w:rPr>
                <w:bCs/>
              </w:rPr>
              <w:t>1,65</w:t>
            </w:r>
          </w:p>
        </w:tc>
      </w:tr>
      <w:tr w:rsidR="00FD5E18" w:rsidRPr="00E55BD4" w14:paraId="7B7150A5" w14:textId="77777777" w:rsidTr="00E55BD4">
        <w:tc>
          <w:tcPr>
            <w:tcW w:w="757" w:type="dxa"/>
            <w:shd w:val="clear" w:color="auto" w:fill="auto"/>
          </w:tcPr>
          <w:p w14:paraId="4906BA8E" w14:textId="77777777" w:rsidR="00FD5E18" w:rsidRPr="00E55BD4" w:rsidRDefault="00FD5E18" w:rsidP="00E55BD4">
            <w:pPr>
              <w:jc w:val="both"/>
              <w:rPr>
                <w:bCs/>
              </w:rPr>
            </w:pPr>
            <w:r w:rsidRPr="00E55BD4">
              <w:rPr>
                <w:bCs/>
              </w:rPr>
              <w:t xml:space="preserve">1.2.3. </w:t>
            </w:r>
          </w:p>
        </w:tc>
        <w:tc>
          <w:tcPr>
            <w:tcW w:w="2895" w:type="dxa"/>
            <w:shd w:val="clear" w:color="auto" w:fill="auto"/>
          </w:tcPr>
          <w:p w14:paraId="222FC543" w14:textId="77777777" w:rsidR="00FD5E18" w:rsidRPr="00E55BD4" w:rsidRDefault="00FD5E18" w:rsidP="00E55BD4">
            <w:pPr>
              <w:jc w:val="both"/>
              <w:rPr>
                <w:bCs/>
              </w:rPr>
            </w:pPr>
            <w:r w:rsidRPr="00E55BD4">
              <w:rPr>
                <w:rFonts w:eastAsia="TimesNewRomanPSMT"/>
                <w:lang w:eastAsia="lt-LT"/>
              </w:rPr>
              <w:t xml:space="preserve">nuotekų dumblo tvarkymo </w:t>
            </w:r>
          </w:p>
        </w:tc>
        <w:tc>
          <w:tcPr>
            <w:tcW w:w="1343" w:type="dxa"/>
            <w:shd w:val="clear" w:color="auto" w:fill="auto"/>
            <w:vAlign w:val="center"/>
          </w:tcPr>
          <w:p w14:paraId="1DAF4F7E" w14:textId="77777777" w:rsidR="00FD5E18" w:rsidRPr="00E55BD4" w:rsidRDefault="00FD5E18" w:rsidP="00E55BD4">
            <w:pPr>
              <w:jc w:val="center"/>
              <w:rPr>
                <w:bCs/>
              </w:rPr>
            </w:pPr>
            <w:r w:rsidRPr="00E55BD4">
              <w:rPr>
                <w:bCs/>
              </w:rPr>
              <w:t>0,09</w:t>
            </w:r>
          </w:p>
        </w:tc>
        <w:tc>
          <w:tcPr>
            <w:tcW w:w="1509" w:type="dxa"/>
            <w:shd w:val="clear" w:color="auto" w:fill="auto"/>
            <w:vAlign w:val="center"/>
          </w:tcPr>
          <w:p w14:paraId="6989586E" w14:textId="77777777" w:rsidR="00FD5E18" w:rsidRPr="00E55BD4" w:rsidRDefault="00FD5E18" w:rsidP="00E55BD4">
            <w:pPr>
              <w:jc w:val="center"/>
              <w:rPr>
                <w:bCs/>
              </w:rPr>
            </w:pPr>
            <w:r w:rsidRPr="00E55BD4">
              <w:rPr>
                <w:bCs/>
              </w:rPr>
              <w:t>0,09</w:t>
            </w:r>
          </w:p>
        </w:tc>
        <w:tc>
          <w:tcPr>
            <w:tcW w:w="1835" w:type="dxa"/>
            <w:shd w:val="clear" w:color="auto" w:fill="auto"/>
            <w:vAlign w:val="center"/>
          </w:tcPr>
          <w:p w14:paraId="551274FD" w14:textId="77777777" w:rsidR="00FD5E18" w:rsidRPr="00E55BD4" w:rsidRDefault="00FD5E18" w:rsidP="00E55BD4">
            <w:pPr>
              <w:jc w:val="center"/>
              <w:rPr>
                <w:bCs/>
              </w:rPr>
            </w:pPr>
            <w:r w:rsidRPr="00E55BD4">
              <w:rPr>
                <w:bCs/>
              </w:rPr>
              <w:t>nesikeičia</w:t>
            </w:r>
          </w:p>
        </w:tc>
        <w:tc>
          <w:tcPr>
            <w:tcW w:w="1516" w:type="dxa"/>
            <w:shd w:val="clear" w:color="auto" w:fill="auto"/>
            <w:vAlign w:val="center"/>
          </w:tcPr>
          <w:p w14:paraId="401EDF82" w14:textId="77777777" w:rsidR="00FD5E18" w:rsidRPr="00E55BD4" w:rsidRDefault="00FD5E18" w:rsidP="00E55BD4">
            <w:pPr>
              <w:jc w:val="center"/>
              <w:rPr>
                <w:bCs/>
              </w:rPr>
            </w:pPr>
            <w:r w:rsidRPr="00E55BD4">
              <w:rPr>
                <w:bCs/>
              </w:rPr>
              <w:t>nesikeičia</w:t>
            </w:r>
          </w:p>
        </w:tc>
      </w:tr>
      <w:tr w:rsidR="00FD5E18" w:rsidRPr="00E55BD4" w14:paraId="59C88106" w14:textId="77777777" w:rsidTr="00E55BD4">
        <w:tc>
          <w:tcPr>
            <w:tcW w:w="757" w:type="dxa"/>
            <w:shd w:val="clear" w:color="auto" w:fill="auto"/>
          </w:tcPr>
          <w:p w14:paraId="452FC2A7" w14:textId="77777777" w:rsidR="00FD5E18" w:rsidRPr="00E55BD4" w:rsidRDefault="00FD5E18" w:rsidP="00E55BD4">
            <w:pPr>
              <w:jc w:val="both"/>
              <w:rPr>
                <w:b/>
              </w:rPr>
            </w:pPr>
            <w:r w:rsidRPr="00E55BD4">
              <w:rPr>
                <w:b/>
              </w:rPr>
              <w:t>2.</w:t>
            </w:r>
          </w:p>
        </w:tc>
        <w:tc>
          <w:tcPr>
            <w:tcW w:w="2895" w:type="dxa"/>
            <w:shd w:val="clear" w:color="auto" w:fill="auto"/>
          </w:tcPr>
          <w:p w14:paraId="544B4C1F" w14:textId="77777777" w:rsidR="00FD5E18" w:rsidRPr="00E55BD4" w:rsidRDefault="00FD5E18" w:rsidP="00E55BD4">
            <w:pPr>
              <w:autoSpaceDE w:val="0"/>
              <w:autoSpaceDN w:val="0"/>
              <w:adjustRightInd w:val="0"/>
              <w:rPr>
                <w:rFonts w:eastAsia="TimesNewRomanPSMT"/>
                <w:b/>
                <w:lang w:eastAsia="lt-LT"/>
              </w:rPr>
            </w:pPr>
            <w:r w:rsidRPr="00E55BD4">
              <w:rPr>
                <w:rFonts w:eastAsia="TimesNewRomanPSMT"/>
                <w:b/>
                <w:lang w:eastAsia="lt-LT"/>
              </w:rPr>
              <w:t>Geriamojo vandens tiekimo ir nuotekų</w:t>
            </w:r>
          </w:p>
          <w:p w14:paraId="67B417BA" w14:textId="77777777" w:rsidR="00FD5E18" w:rsidRPr="00E55BD4" w:rsidRDefault="00FD5E18" w:rsidP="00E55BD4">
            <w:pPr>
              <w:autoSpaceDE w:val="0"/>
              <w:autoSpaceDN w:val="0"/>
              <w:adjustRightInd w:val="0"/>
              <w:rPr>
                <w:rFonts w:eastAsia="TimesNewRomanPSMT"/>
                <w:b/>
                <w:lang w:eastAsia="lt-LT"/>
              </w:rPr>
            </w:pPr>
            <w:r w:rsidRPr="00E55BD4">
              <w:rPr>
                <w:rFonts w:eastAsia="TimesNewRomanPSMT"/>
                <w:b/>
                <w:lang w:eastAsia="lt-LT"/>
              </w:rPr>
              <w:t>tvarkymo paslaugų kainos vartotojams,</w:t>
            </w:r>
          </w:p>
          <w:p w14:paraId="02FF2BF1" w14:textId="77777777" w:rsidR="00FD5E18" w:rsidRPr="00E55BD4" w:rsidRDefault="00FD5E18" w:rsidP="00E55BD4">
            <w:pPr>
              <w:autoSpaceDE w:val="0"/>
              <w:autoSpaceDN w:val="0"/>
              <w:adjustRightInd w:val="0"/>
              <w:rPr>
                <w:rFonts w:eastAsia="TimesNewRomanPSMT"/>
                <w:b/>
                <w:lang w:eastAsia="lt-LT"/>
              </w:rPr>
            </w:pPr>
            <w:r w:rsidRPr="00E55BD4">
              <w:rPr>
                <w:rFonts w:eastAsia="TimesNewRomanPSMT"/>
                <w:b/>
                <w:lang w:eastAsia="lt-LT"/>
              </w:rPr>
              <w:t>perkantiems paslaugas individualių gyvenamųjų</w:t>
            </w:r>
          </w:p>
          <w:p w14:paraId="12456936" w14:textId="77777777" w:rsidR="00FD5E18" w:rsidRPr="00E55BD4" w:rsidRDefault="00FD5E18" w:rsidP="00E55BD4">
            <w:pPr>
              <w:autoSpaceDE w:val="0"/>
              <w:autoSpaceDN w:val="0"/>
              <w:adjustRightInd w:val="0"/>
              <w:rPr>
                <w:rFonts w:eastAsia="TimesNewRomanPSMT"/>
                <w:b/>
                <w:lang w:eastAsia="lt-LT"/>
              </w:rPr>
            </w:pPr>
            <w:r w:rsidRPr="00E55BD4">
              <w:rPr>
                <w:rFonts w:eastAsia="TimesNewRomanPSMT"/>
                <w:b/>
                <w:lang w:eastAsia="lt-LT"/>
              </w:rPr>
              <w:t>namų ar kitų patalpų, skirtų asmeninėms,</w:t>
            </w:r>
          </w:p>
          <w:p w14:paraId="0BE1F9FD" w14:textId="77777777" w:rsidR="00FD5E18" w:rsidRPr="00E55BD4" w:rsidRDefault="00FD5E18" w:rsidP="00E55BD4">
            <w:pPr>
              <w:jc w:val="both"/>
              <w:rPr>
                <w:b/>
              </w:rPr>
            </w:pPr>
            <w:r w:rsidRPr="00E55BD4">
              <w:rPr>
                <w:rFonts w:eastAsia="TimesNewRomanPSMT"/>
                <w:b/>
                <w:lang w:eastAsia="lt-LT"/>
              </w:rPr>
              <w:t>šeimos ar namų reikmėms, įvaduose, Eur/m3:</w:t>
            </w:r>
          </w:p>
        </w:tc>
        <w:tc>
          <w:tcPr>
            <w:tcW w:w="1343" w:type="dxa"/>
            <w:shd w:val="clear" w:color="auto" w:fill="auto"/>
            <w:vAlign w:val="center"/>
          </w:tcPr>
          <w:p w14:paraId="77402052" w14:textId="77777777" w:rsidR="00FD5E18" w:rsidRPr="00E55BD4" w:rsidRDefault="00FD5E18" w:rsidP="00E55BD4">
            <w:pPr>
              <w:jc w:val="center"/>
              <w:rPr>
                <w:b/>
              </w:rPr>
            </w:pPr>
            <w:r w:rsidRPr="00E55BD4">
              <w:rPr>
                <w:b/>
              </w:rPr>
              <w:t>2,54</w:t>
            </w:r>
          </w:p>
        </w:tc>
        <w:tc>
          <w:tcPr>
            <w:tcW w:w="1509" w:type="dxa"/>
            <w:shd w:val="clear" w:color="auto" w:fill="auto"/>
            <w:vAlign w:val="center"/>
          </w:tcPr>
          <w:p w14:paraId="7224D994" w14:textId="77777777" w:rsidR="00FD5E18" w:rsidRPr="00E55BD4" w:rsidRDefault="00FD5E18" w:rsidP="00E55BD4">
            <w:pPr>
              <w:jc w:val="center"/>
              <w:rPr>
                <w:b/>
              </w:rPr>
            </w:pPr>
            <w:r w:rsidRPr="00E55BD4">
              <w:rPr>
                <w:b/>
              </w:rPr>
              <w:t>2,62</w:t>
            </w:r>
          </w:p>
        </w:tc>
        <w:tc>
          <w:tcPr>
            <w:tcW w:w="1835" w:type="dxa"/>
            <w:shd w:val="clear" w:color="auto" w:fill="auto"/>
            <w:vAlign w:val="center"/>
          </w:tcPr>
          <w:p w14:paraId="0ABC0345" w14:textId="77777777" w:rsidR="00FD5E18" w:rsidRPr="00E55BD4" w:rsidRDefault="00FD5E18" w:rsidP="00E55BD4">
            <w:pPr>
              <w:jc w:val="center"/>
              <w:rPr>
                <w:b/>
              </w:rPr>
            </w:pPr>
            <w:r w:rsidRPr="00E55BD4">
              <w:rPr>
                <w:b/>
              </w:rPr>
              <w:t>0,08</w:t>
            </w:r>
          </w:p>
        </w:tc>
        <w:tc>
          <w:tcPr>
            <w:tcW w:w="1516" w:type="dxa"/>
            <w:shd w:val="clear" w:color="auto" w:fill="auto"/>
            <w:vAlign w:val="center"/>
          </w:tcPr>
          <w:p w14:paraId="69D63552" w14:textId="77777777" w:rsidR="00FD5E18" w:rsidRPr="00E55BD4" w:rsidRDefault="00FD5E18" w:rsidP="00E55BD4">
            <w:pPr>
              <w:jc w:val="center"/>
              <w:rPr>
                <w:b/>
              </w:rPr>
            </w:pPr>
            <w:r w:rsidRPr="00E55BD4">
              <w:rPr>
                <w:b/>
              </w:rPr>
              <w:t>3,15</w:t>
            </w:r>
          </w:p>
        </w:tc>
      </w:tr>
      <w:tr w:rsidR="00FD5E18" w:rsidRPr="00E55BD4" w14:paraId="48231F78" w14:textId="77777777" w:rsidTr="00E55BD4">
        <w:tc>
          <w:tcPr>
            <w:tcW w:w="757" w:type="dxa"/>
            <w:shd w:val="clear" w:color="auto" w:fill="auto"/>
          </w:tcPr>
          <w:p w14:paraId="7C0AB524" w14:textId="77777777" w:rsidR="00FD5E18" w:rsidRPr="00E55BD4" w:rsidRDefault="00FD5E18" w:rsidP="00E55BD4">
            <w:pPr>
              <w:jc w:val="both"/>
              <w:rPr>
                <w:b/>
              </w:rPr>
            </w:pPr>
            <w:r w:rsidRPr="00E55BD4">
              <w:rPr>
                <w:b/>
              </w:rPr>
              <w:t>2.1.</w:t>
            </w:r>
          </w:p>
        </w:tc>
        <w:tc>
          <w:tcPr>
            <w:tcW w:w="2895" w:type="dxa"/>
            <w:shd w:val="clear" w:color="auto" w:fill="auto"/>
          </w:tcPr>
          <w:p w14:paraId="41D430D8" w14:textId="77777777" w:rsidR="00FD5E18" w:rsidRPr="00E55BD4" w:rsidRDefault="00FD5E18" w:rsidP="00E55BD4">
            <w:pPr>
              <w:jc w:val="both"/>
              <w:rPr>
                <w:b/>
              </w:rPr>
            </w:pPr>
            <w:r w:rsidRPr="00E55BD4">
              <w:rPr>
                <w:rFonts w:eastAsia="TimesNewRomanPSMT"/>
                <w:b/>
                <w:lang w:eastAsia="lt-LT"/>
              </w:rPr>
              <w:t xml:space="preserve">Geriamojo vandens tiekimo </w:t>
            </w:r>
          </w:p>
        </w:tc>
        <w:tc>
          <w:tcPr>
            <w:tcW w:w="1343" w:type="dxa"/>
            <w:shd w:val="clear" w:color="auto" w:fill="auto"/>
            <w:vAlign w:val="center"/>
          </w:tcPr>
          <w:p w14:paraId="0462B799" w14:textId="77777777" w:rsidR="00FD5E18" w:rsidRPr="00E55BD4" w:rsidRDefault="00FD5E18" w:rsidP="00E55BD4">
            <w:pPr>
              <w:jc w:val="center"/>
              <w:rPr>
                <w:b/>
              </w:rPr>
            </w:pPr>
            <w:r w:rsidRPr="00E55BD4">
              <w:rPr>
                <w:b/>
              </w:rPr>
              <w:t>0,77</w:t>
            </w:r>
          </w:p>
        </w:tc>
        <w:tc>
          <w:tcPr>
            <w:tcW w:w="1509" w:type="dxa"/>
            <w:shd w:val="clear" w:color="auto" w:fill="auto"/>
            <w:vAlign w:val="center"/>
          </w:tcPr>
          <w:p w14:paraId="5A2A15FD" w14:textId="77777777" w:rsidR="00FD5E18" w:rsidRPr="00E55BD4" w:rsidRDefault="00FD5E18" w:rsidP="00E55BD4">
            <w:pPr>
              <w:jc w:val="center"/>
              <w:rPr>
                <w:b/>
              </w:rPr>
            </w:pPr>
            <w:r w:rsidRPr="00E55BD4">
              <w:rPr>
                <w:b/>
              </w:rPr>
              <w:t>0,83</w:t>
            </w:r>
          </w:p>
        </w:tc>
        <w:tc>
          <w:tcPr>
            <w:tcW w:w="1835" w:type="dxa"/>
            <w:shd w:val="clear" w:color="auto" w:fill="auto"/>
            <w:vAlign w:val="center"/>
          </w:tcPr>
          <w:p w14:paraId="1B9A6799" w14:textId="77777777" w:rsidR="00FD5E18" w:rsidRPr="00E55BD4" w:rsidRDefault="00FD5E18" w:rsidP="00E55BD4">
            <w:pPr>
              <w:jc w:val="center"/>
              <w:rPr>
                <w:b/>
              </w:rPr>
            </w:pPr>
            <w:r w:rsidRPr="00E55BD4">
              <w:rPr>
                <w:b/>
              </w:rPr>
              <w:t>0,06</w:t>
            </w:r>
          </w:p>
        </w:tc>
        <w:tc>
          <w:tcPr>
            <w:tcW w:w="1516" w:type="dxa"/>
            <w:shd w:val="clear" w:color="auto" w:fill="auto"/>
            <w:vAlign w:val="center"/>
          </w:tcPr>
          <w:p w14:paraId="0D852683" w14:textId="77777777" w:rsidR="00FD5E18" w:rsidRPr="00E55BD4" w:rsidRDefault="00FD5E18" w:rsidP="00E55BD4">
            <w:pPr>
              <w:jc w:val="center"/>
              <w:rPr>
                <w:b/>
              </w:rPr>
            </w:pPr>
            <w:r w:rsidRPr="00E55BD4">
              <w:rPr>
                <w:b/>
              </w:rPr>
              <w:t>7,79</w:t>
            </w:r>
          </w:p>
        </w:tc>
      </w:tr>
      <w:tr w:rsidR="00FD5E18" w:rsidRPr="00E55BD4" w14:paraId="4B39A03B" w14:textId="77777777" w:rsidTr="00E55BD4">
        <w:tc>
          <w:tcPr>
            <w:tcW w:w="757" w:type="dxa"/>
            <w:shd w:val="clear" w:color="auto" w:fill="auto"/>
          </w:tcPr>
          <w:p w14:paraId="067B1B0F" w14:textId="77777777" w:rsidR="00FD5E18" w:rsidRPr="00E55BD4" w:rsidRDefault="00FD5E18" w:rsidP="00E55BD4">
            <w:pPr>
              <w:jc w:val="both"/>
              <w:rPr>
                <w:b/>
              </w:rPr>
            </w:pPr>
            <w:r w:rsidRPr="00E55BD4">
              <w:rPr>
                <w:b/>
              </w:rPr>
              <w:t>2.2.</w:t>
            </w:r>
          </w:p>
        </w:tc>
        <w:tc>
          <w:tcPr>
            <w:tcW w:w="2895" w:type="dxa"/>
            <w:shd w:val="clear" w:color="auto" w:fill="auto"/>
          </w:tcPr>
          <w:p w14:paraId="3BC9C778" w14:textId="77777777" w:rsidR="00FD5E18" w:rsidRPr="00E55BD4" w:rsidRDefault="00FD5E18" w:rsidP="00E55BD4">
            <w:pPr>
              <w:jc w:val="both"/>
              <w:rPr>
                <w:b/>
              </w:rPr>
            </w:pPr>
            <w:r w:rsidRPr="00E55BD4">
              <w:rPr>
                <w:rFonts w:eastAsia="TimesNewRomanPSMT"/>
                <w:b/>
                <w:lang w:eastAsia="lt-LT"/>
              </w:rPr>
              <w:t>Nuotekų tvarkymo:</w:t>
            </w:r>
          </w:p>
        </w:tc>
        <w:tc>
          <w:tcPr>
            <w:tcW w:w="1343" w:type="dxa"/>
            <w:shd w:val="clear" w:color="auto" w:fill="auto"/>
            <w:vAlign w:val="center"/>
          </w:tcPr>
          <w:p w14:paraId="46F62933" w14:textId="77777777" w:rsidR="00FD5E18" w:rsidRPr="00E55BD4" w:rsidRDefault="00FD5E18" w:rsidP="00E55BD4">
            <w:pPr>
              <w:jc w:val="center"/>
              <w:rPr>
                <w:b/>
              </w:rPr>
            </w:pPr>
            <w:r w:rsidRPr="00E55BD4">
              <w:rPr>
                <w:b/>
              </w:rPr>
              <w:t>1,77</w:t>
            </w:r>
          </w:p>
        </w:tc>
        <w:tc>
          <w:tcPr>
            <w:tcW w:w="1509" w:type="dxa"/>
            <w:shd w:val="clear" w:color="auto" w:fill="auto"/>
            <w:vAlign w:val="center"/>
          </w:tcPr>
          <w:p w14:paraId="6C9764DD" w14:textId="77777777" w:rsidR="00FD5E18" w:rsidRPr="00E55BD4" w:rsidRDefault="00FD5E18" w:rsidP="00E55BD4">
            <w:pPr>
              <w:jc w:val="center"/>
              <w:rPr>
                <w:b/>
              </w:rPr>
            </w:pPr>
            <w:r w:rsidRPr="00E55BD4">
              <w:rPr>
                <w:b/>
              </w:rPr>
              <w:t>1,79</w:t>
            </w:r>
          </w:p>
        </w:tc>
        <w:tc>
          <w:tcPr>
            <w:tcW w:w="1835" w:type="dxa"/>
            <w:shd w:val="clear" w:color="auto" w:fill="auto"/>
            <w:vAlign w:val="center"/>
          </w:tcPr>
          <w:p w14:paraId="07055C3D" w14:textId="77777777" w:rsidR="00FD5E18" w:rsidRPr="00E55BD4" w:rsidRDefault="00FD5E18" w:rsidP="00E55BD4">
            <w:pPr>
              <w:jc w:val="center"/>
              <w:rPr>
                <w:b/>
              </w:rPr>
            </w:pPr>
            <w:r w:rsidRPr="00E55BD4">
              <w:rPr>
                <w:b/>
              </w:rPr>
              <w:t>0,06</w:t>
            </w:r>
          </w:p>
        </w:tc>
        <w:tc>
          <w:tcPr>
            <w:tcW w:w="1516" w:type="dxa"/>
            <w:shd w:val="clear" w:color="auto" w:fill="auto"/>
            <w:vAlign w:val="center"/>
          </w:tcPr>
          <w:p w14:paraId="73B03DA4" w14:textId="77777777" w:rsidR="00FD5E18" w:rsidRPr="00E55BD4" w:rsidRDefault="00FD5E18" w:rsidP="00E55BD4">
            <w:pPr>
              <w:jc w:val="center"/>
              <w:rPr>
                <w:b/>
              </w:rPr>
            </w:pPr>
            <w:r w:rsidRPr="00E55BD4">
              <w:rPr>
                <w:b/>
              </w:rPr>
              <w:t>1,13</w:t>
            </w:r>
          </w:p>
        </w:tc>
      </w:tr>
      <w:tr w:rsidR="00FD5E18" w:rsidRPr="00E55BD4" w14:paraId="10053529" w14:textId="77777777" w:rsidTr="00E55BD4">
        <w:tc>
          <w:tcPr>
            <w:tcW w:w="757" w:type="dxa"/>
            <w:shd w:val="clear" w:color="auto" w:fill="auto"/>
          </w:tcPr>
          <w:p w14:paraId="7CC4E7BF" w14:textId="77777777" w:rsidR="00FD5E18" w:rsidRPr="00E55BD4" w:rsidRDefault="00FD5E18" w:rsidP="00E55BD4">
            <w:pPr>
              <w:jc w:val="both"/>
              <w:rPr>
                <w:bCs/>
              </w:rPr>
            </w:pPr>
            <w:r w:rsidRPr="00E55BD4">
              <w:rPr>
                <w:bCs/>
              </w:rPr>
              <w:t>2.2.1.</w:t>
            </w:r>
          </w:p>
        </w:tc>
        <w:tc>
          <w:tcPr>
            <w:tcW w:w="2895" w:type="dxa"/>
            <w:shd w:val="clear" w:color="auto" w:fill="auto"/>
          </w:tcPr>
          <w:p w14:paraId="28FB954E" w14:textId="77777777" w:rsidR="00FD5E18" w:rsidRPr="00E55BD4" w:rsidRDefault="00FD5E18" w:rsidP="00E55BD4">
            <w:pPr>
              <w:jc w:val="both"/>
              <w:rPr>
                <w:bCs/>
              </w:rPr>
            </w:pPr>
            <w:r w:rsidRPr="00E55BD4">
              <w:rPr>
                <w:rFonts w:eastAsia="TimesNewRomanPSMT"/>
                <w:lang w:eastAsia="lt-LT"/>
              </w:rPr>
              <w:t xml:space="preserve">nuotekų surinkimo </w:t>
            </w:r>
          </w:p>
        </w:tc>
        <w:tc>
          <w:tcPr>
            <w:tcW w:w="1343" w:type="dxa"/>
            <w:shd w:val="clear" w:color="auto" w:fill="auto"/>
            <w:vAlign w:val="center"/>
          </w:tcPr>
          <w:p w14:paraId="569BA22F" w14:textId="77777777" w:rsidR="00FD5E18" w:rsidRPr="00E55BD4" w:rsidRDefault="00FD5E18" w:rsidP="00E55BD4">
            <w:pPr>
              <w:jc w:val="center"/>
              <w:rPr>
                <w:bCs/>
              </w:rPr>
            </w:pPr>
            <w:r w:rsidRPr="00E55BD4">
              <w:rPr>
                <w:bCs/>
              </w:rPr>
              <w:t>0,51</w:t>
            </w:r>
          </w:p>
        </w:tc>
        <w:tc>
          <w:tcPr>
            <w:tcW w:w="1509" w:type="dxa"/>
            <w:shd w:val="clear" w:color="auto" w:fill="auto"/>
            <w:vAlign w:val="center"/>
          </w:tcPr>
          <w:p w14:paraId="2BA9BE8A" w14:textId="77777777" w:rsidR="00FD5E18" w:rsidRPr="00E55BD4" w:rsidRDefault="00FD5E18" w:rsidP="00E55BD4">
            <w:pPr>
              <w:jc w:val="center"/>
              <w:rPr>
                <w:bCs/>
              </w:rPr>
            </w:pPr>
            <w:r w:rsidRPr="00E55BD4">
              <w:rPr>
                <w:bCs/>
              </w:rPr>
              <w:t>0,51</w:t>
            </w:r>
          </w:p>
        </w:tc>
        <w:tc>
          <w:tcPr>
            <w:tcW w:w="1835" w:type="dxa"/>
            <w:shd w:val="clear" w:color="auto" w:fill="auto"/>
            <w:vAlign w:val="center"/>
          </w:tcPr>
          <w:p w14:paraId="29FF8954" w14:textId="77777777" w:rsidR="00FD5E18" w:rsidRPr="00E55BD4" w:rsidRDefault="00FD5E18" w:rsidP="00E55BD4">
            <w:pPr>
              <w:jc w:val="center"/>
              <w:rPr>
                <w:bCs/>
              </w:rPr>
            </w:pPr>
            <w:r w:rsidRPr="00E55BD4">
              <w:rPr>
                <w:bCs/>
              </w:rPr>
              <w:t>nesikeičia</w:t>
            </w:r>
          </w:p>
        </w:tc>
        <w:tc>
          <w:tcPr>
            <w:tcW w:w="1516" w:type="dxa"/>
            <w:shd w:val="clear" w:color="auto" w:fill="auto"/>
            <w:vAlign w:val="center"/>
          </w:tcPr>
          <w:p w14:paraId="4B442326" w14:textId="77777777" w:rsidR="00FD5E18" w:rsidRPr="00E55BD4" w:rsidRDefault="00FD5E18" w:rsidP="00E55BD4">
            <w:pPr>
              <w:jc w:val="center"/>
              <w:rPr>
                <w:bCs/>
              </w:rPr>
            </w:pPr>
            <w:r w:rsidRPr="00E55BD4">
              <w:rPr>
                <w:bCs/>
              </w:rPr>
              <w:t>nesikeičia</w:t>
            </w:r>
          </w:p>
        </w:tc>
      </w:tr>
      <w:tr w:rsidR="00FD5E18" w:rsidRPr="00E55BD4" w14:paraId="4269F9C8" w14:textId="77777777" w:rsidTr="00E55BD4">
        <w:tc>
          <w:tcPr>
            <w:tcW w:w="757" w:type="dxa"/>
            <w:shd w:val="clear" w:color="auto" w:fill="auto"/>
          </w:tcPr>
          <w:p w14:paraId="32D51CE5" w14:textId="77777777" w:rsidR="00FD5E18" w:rsidRPr="00E55BD4" w:rsidRDefault="00FD5E18" w:rsidP="00E55BD4">
            <w:pPr>
              <w:jc w:val="both"/>
              <w:rPr>
                <w:bCs/>
              </w:rPr>
            </w:pPr>
            <w:r w:rsidRPr="00E55BD4">
              <w:rPr>
                <w:bCs/>
              </w:rPr>
              <w:t>2.2.2.</w:t>
            </w:r>
          </w:p>
        </w:tc>
        <w:tc>
          <w:tcPr>
            <w:tcW w:w="2895" w:type="dxa"/>
            <w:shd w:val="clear" w:color="auto" w:fill="auto"/>
          </w:tcPr>
          <w:p w14:paraId="34C23D1B" w14:textId="77777777" w:rsidR="00FD5E18" w:rsidRPr="00E55BD4" w:rsidRDefault="00FD5E18" w:rsidP="00E55BD4">
            <w:pPr>
              <w:jc w:val="both"/>
              <w:rPr>
                <w:bCs/>
              </w:rPr>
            </w:pPr>
            <w:r w:rsidRPr="00E55BD4">
              <w:rPr>
                <w:rFonts w:eastAsia="TimesNewRomanPSMT"/>
                <w:lang w:eastAsia="lt-LT"/>
              </w:rPr>
              <w:t xml:space="preserve">nuotekų valymo </w:t>
            </w:r>
          </w:p>
        </w:tc>
        <w:tc>
          <w:tcPr>
            <w:tcW w:w="1343" w:type="dxa"/>
            <w:shd w:val="clear" w:color="auto" w:fill="auto"/>
            <w:vAlign w:val="center"/>
          </w:tcPr>
          <w:p w14:paraId="1AAF0C54" w14:textId="77777777" w:rsidR="00FD5E18" w:rsidRPr="00E55BD4" w:rsidRDefault="00FD5E18" w:rsidP="00E55BD4">
            <w:pPr>
              <w:jc w:val="center"/>
              <w:rPr>
                <w:bCs/>
              </w:rPr>
            </w:pPr>
            <w:r w:rsidRPr="00E55BD4">
              <w:rPr>
                <w:bCs/>
              </w:rPr>
              <w:t>1,17</w:t>
            </w:r>
          </w:p>
        </w:tc>
        <w:tc>
          <w:tcPr>
            <w:tcW w:w="1509" w:type="dxa"/>
            <w:shd w:val="clear" w:color="auto" w:fill="auto"/>
            <w:vAlign w:val="center"/>
          </w:tcPr>
          <w:p w14:paraId="4878ABFC" w14:textId="77777777" w:rsidR="00FD5E18" w:rsidRPr="00E55BD4" w:rsidRDefault="00FD5E18" w:rsidP="00E55BD4">
            <w:pPr>
              <w:jc w:val="center"/>
              <w:rPr>
                <w:bCs/>
              </w:rPr>
            </w:pPr>
            <w:r w:rsidRPr="00E55BD4">
              <w:rPr>
                <w:bCs/>
              </w:rPr>
              <w:t>1,19</w:t>
            </w:r>
          </w:p>
        </w:tc>
        <w:tc>
          <w:tcPr>
            <w:tcW w:w="1835" w:type="dxa"/>
            <w:shd w:val="clear" w:color="auto" w:fill="auto"/>
            <w:vAlign w:val="center"/>
          </w:tcPr>
          <w:p w14:paraId="586AC899" w14:textId="77777777" w:rsidR="00FD5E18" w:rsidRPr="00E55BD4" w:rsidRDefault="00FD5E18" w:rsidP="00E55BD4">
            <w:pPr>
              <w:jc w:val="center"/>
              <w:rPr>
                <w:bCs/>
              </w:rPr>
            </w:pPr>
            <w:r w:rsidRPr="00E55BD4">
              <w:rPr>
                <w:bCs/>
              </w:rPr>
              <w:t>0,02</w:t>
            </w:r>
          </w:p>
        </w:tc>
        <w:tc>
          <w:tcPr>
            <w:tcW w:w="1516" w:type="dxa"/>
            <w:shd w:val="clear" w:color="auto" w:fill="auto"/>
            <w:vAlign w:val="center"/>
          </w:tcPr>
          <w:p w14:paraId="139E7E8F" w14:textId="77777777" w:rsidR="00FD5E18" w:rsidRPr="00E55BD4" w:rsidRDefault="00FD5E18" w:rsidP="00E55BD4">
            <w:pPr>
              <w:jc w:val="center"/>
              <w:rPr>
                <w:bCs/>
              </w:rPr>
            </w:pPr>
            <w:r w:rsidRPr="00E55BD4">
              <w:rPr>
                <w:bCs/>
              </w:rPr>
              <w:t>1,71</w:t>
            </w:r>
          </w:p>
        </w:tc>
      </w:tr>
      <w:tr w:rsidR="00FD5E18" w:rsidRPr="00E55BD4" w14:paraId="0D194974" w14:textId="77777777" w:rsidTr="00E55BD4">
        <w:tc>
          <w:tcPr>
            <w:tcW w:w="757" w:type="dxa"/>
            <w:shd w:val="clear" w:color="auto" w:fill="auto"/>
          </w:tcPr>
          <w:p w14:paraId="76A05295" w14:textId="77777777" w:rsidR="00FD5E18" w:rsidRPr="00E55BD4" w:rsidRDefault="00FD5E18" w:rsidP="00E55BD4">
            <w:pPr>
              <w:jc w:val="both"/>
              <w:rPr>
                <w:bCs/>
              </w:rPr>
            </w:pPr>
            <w:r w:rsidRPr="00E55BD4">
              <w:rPr>
                <w:bCs/>
              </w:rPr>
              <w:t>2.2.3.</w:t>
            </w:r>
          </w:p>
        </w:tc>
        <w:tc>
          <w:tcPr>
            <w:tcW w:w="2895" w:type="dxa"/>
            <w:shd w:val="clear" w:color="auto" w:fill="auto"/>
          </w:tcPr>
          <w:p w14:paraId="7F8D11AA" w14:textId="77777777" w:rsidR="00FD5E18" w:rsidRPr="00E55BD4" w:rsidRDefault="00FD5E18" w:rsidP="00E55BD4">
            <w:pPr>
              <w:jc w:val="both"/>
              <w:rPr>
                <w:bCs/>
              </w:rPr>
            </w:pPr>
            <w:r w:rsidRPr="00E55BD4">
              <w:rPr>
                <w:rFonts w:eastAsia="TimesNewRomanPSMT"/>
                <w:lang w:eastAsia="lt-LT"/>
              </w:rPr>
              <w:t xml:space="preserve">nuotekų dumblo tvarkymo </w:t>
            </w:r>
          </w:p>
        </w:tc>
        <w:tc>
          <w:tcPr>
            <w:tcW w:w="1343" w:type="dxa"/>
            <w:shd w:val="clear" w:color="auto" w:fill="auto"/>
            <w:vAlign w:val="center"/>
          </w:tcPr>
          <w:p w14:paraId="61EBAA8E" w14:textId="77777777" w:rsidR="00FD5E18" w:rsidRPr="00E55BD4" w:rsidRDefault="00FD5E18" w:rsidP="00E55BD4">
            <w:pPr>
              <w:jc w:val="center"/>
              <w:rPr>
                <w:bCs/>
              </w:rPr>
            </w:pPr>
            <w:r w:rsidRPr="00E55BD4">
              <w:rPr>
                <w:bCs/>
              </w:rPr>
              <w:t>0,09</w:t>
            </w:r>
          </w:p>
        </w:tc>
        <w:tc>
          <w:tcPr>
            <w:tcW w:w="1509" w:type="dxa"/>
            <w:shd w:val="clear" w:color="auto" w:fill="auto"/>
            <w:vAlign w:val="center"/>
          </w:tcPr>
          <w:p w14:paraId="28FAF6E8" w14:textId="77777777" w:rsidR="00FD5E18" w:rsidRPr="00E55BD4" w:rsidRDefault="00FD5E18" w:rsidP="00E55BD4">
            <w:pPr>
              <w:jc w:val="center"/>
              <w:rPr>
                <w:bCs/>
              </w:rPr>
            </w:pPr>
            <w:r w:rsidRPr="00E55BD4">
              <w:rPr>
                <w:bCs/>
              </w:rPr>
              <w:t>0,09</w:t>
            </w:r>
          </w:p>
        </w:tc>
        <w:tc>
          <w:tcPr>
            <w:tcW w:w="1835" w:type="dxa"/>
            <w:shd w:val="clear" w:color="auto" w:fill="auto"/>
            <w:vAlign w:val="center"/>
          </w:tcPr>
          <w:p w14:paraId="3EDEFCA5" w14:textId="77777777" w:rsidR="00FD5E18" w:rsidRPr="00E55BD4" w:rsidRDefault="00FD5E18" w:rsidP="00E55BD4">
            <w:pPr>
              <w:jc w:val="center"/>
              <w:rPr>
                <w:bCs/>
              </w:rPr>
            </w:pPr>
            <w:r w:rsidRPr="00E55BD4">
              <w:rPr>
                <w:bCs/>
              </w:rPr>
              <w:t>nesikeičia</w:t>
            </w:r>
          </w:p>
        </w:tc>
        <w:tc>
          <w:tcPr>
            <w:tcW w:w="1516" w:type="dxa"/>
            <w:shd w:val="clear" w:color="auto" w:fill="auto"/>
            <w:vAlign w:val="center"/>
          </w:tcPr>
          <w:p w14:paraId="0B8F2208" w14:textId="77777777" w:rsidR="00FD5E18" w:rsidRPr="00E55BD4" w:rsidRDefault="00FD5E18" w:rsidP="00E55BD4">
            <w:pPr>
              <w:jc w:val="center"/>
              <w:rPr>
                <w:bCs/>
              </w:rPr>
            </w:pPr>
            <w:r w:rsidRPr="00E55BD4">
              <w:rPr>
                <w:bCs/>
              </w:rPr>
              <w:t>nesikeičia</w:t>
            </w:r>
          </w:p>
        </w:tc>
      </w:tr>
      <w:tr w:rsidR="00FD5E18" w:rsidRPr="00E55BD4" w14:paraId="67288576" w14:textId="77777777" w:rsidTr="00E55BD4">
        <w:tc>
          <w:tcPr>
            <w:tcW w:w="757" w:type="dxa"/>
            <w:shd w:val="clear" w:color="auto" w:fill="auto"/>
          </w:tcPr>
          <w:p w14:paraId="1E2391A1" w14:textId="77777777" w:rsidR="00FD5E18" w:rsidRPr="00E55BD4" w:rsidRDefault="00FD5E18" w:rsidP="00E55BD4">
            <w:pPr>
              <w:jc w:val="both"/>
              <w:rPr>
                <w:b/>
              </w:rPr>
            </w:pPr>
            <w:r w:rsidRPr="00E55BD4">
              <w:rPr>
                <w:b/>
              </w:rPr>
              <w:t>3.</w:t>
            </w:r>
          </w:p>
        </w:tc>
        <w:tc>
          <w:tcPr>
            <w:tcW w:w="2895" w:type="dxa"/>
            <w:shd w:val="clear" w:color="auto" w:fill="auto"/>
          </w:tcPr>
          <w:p w14:paraId="55968097" w14:textId="77777777" w:rsidR="00FD5E18" w:rsidRPr="00E55BD4" w:rsidRDefault="00FD5E18" w:rsidP="00E55BD4">
            <w:pPr>
              <w:autoSpaceDE w:val="0"/>
              <w:autoSpaceDN w:val="0"/>
              <w:adjustRightInd w:val="0"/>
              <w:rPr>
                <w:rFonts w:eastAsia="TimesNewRomanPSMT"/>
                <w:b/>
                <w:lang w:eastAsia="lt-LT"/>
              </w:rPr>
            </w:pPr>
            <w:r w:rsidRPr="00E55BD4">
              <w:rPr>
                <w:rFonts w:eastAsia="TimesNewRomanPSMT"/>
                <w:b/>
                <w:lang w:eastAsia="lt-LT"/>
              </w:rPr>
              <w:t>Geriamojo vandens tiekimo ir nuotekų</w:t>
            </w:r>
          </w:p>
          <w:p w14:paraId="09CFF60D" w14:textId="77777777" w:rsidR="00FD5E18" w:rsidRPr="00E55BD4" w:rsidRDefault="00FD5E18" w:rsidP="00E55BD4">
            <w:pPr>
              <w:autoSpaceDE w:val="0"/>
              <w:autoSpaceDN w:val="0"/>
              <w:adjustRightInd w:val="0"/>
              <w:rPr>
                <w:rFonts w:eastAsia="TimesNewRomanPSMT"/>
                <w:b/>
                <w:lang w:eastAsia="lt-LT"/>
              </w:rPr>
            </w:pPr>
            <w:r w:rsidRPr="00E55BD4">
              <w:rPr>
                <w:rFonts w:eastAsia="TimesNewRomanPSMT"/>
                <w:b/>
                <w:lang w:eastAsia="lt-LT"/>
              </w:rPr>
              <w:t>tvarkymo paslaugų kainos abonentams,</w:t>
            </w:r>
          </w:p>
          <w:p w14:paraId="0A1F185C" w14:textId="77777777" w:rsidR="00FD5E18" w:rsidRPr="00E55BD4" w:rsidRDefault="00FD5E18" w:rsidP="00E55BD4">
            <w:pPr>
              <w:autoSpaceDE w:val="0"/>
              <w:autoSpaceDN w:val="0"/>
              <w:adjustRightInd w:val="0"/>
              <w:rPr>
                <w:rFonts w:eastAsia="TimesNewRomanPSMT"/>
                <w:b/>
                <w:lang w:eastAsia="lt-LT"/>
              </w:rPr>
            </w:pPr>
            <w:r w:rsidRPr="00E55BD4">
              <w:rPr>
                <w:rFonts w:eastAsia="TimesNewRomanPSMT"/>
                <w:b/>
                <w:lang w:eastAsia="lt-LT"/>
              </w:rPr>
              <w:t>perkantiems geriamojo vandens tiekimo ir</w:t>
            </w:r>
          </w:p>
          <w:p w14:paraId="65F62769" w14:textId="77777777" w:rsidR="00FD5E18" w:rsidRPr="00E55BD4" w:rsidRDefault="00FD5E18" w:rsidP="00E55BD4">
            <w:pPr>
              <w:autoSpaceDE w:val="0"/>
              <w:autoSpaceDN w:val="0"/>
              <w:adjustRightInd w:val="0"/>
              <w:rPr>
                <w:rFonts w:eastAsia="TimesNewRomanPSMT"/>
                <w:b/>
                <w:lang w:eastAsia="lt-LT"/>
              </w:rPr>
            </w:pPr>
            <w:r w:rsidRPr="00E55BD4">
              <w:rPr>
                <w:rFonts w:eastAsia="TimesNewRomanPSMT"/>
                <w:b/>
                <w:lang w:eastAsia="lt-LT"/>
              </w:rPr>
              <w:t>nuotekų tvarkymo paslaugas buities ir</w:t>
            </w:r>
          </w:p>
          <w:p w14:paraId="2F52C482" w14:textId="77777777" w:rsidR="00FD5E18" w:rsidRPr="00E55BD4" w:rsidRDefault="00FD5E18" w:rsidP="00E55BD4">
            <w:pPr>
              <w:autoSpaceDE w:val="0"/>
              <w:autoSpaceDN w:val="0"/>
              <w:adjustRightInd w:val="0"/>
              <w:rPr>
                <w:rFonts w:eastAsia="TimesNewRomanPSMT"/>
                <w:b/>
                <w:lang w:eastAsia="lt-LT"/>
              </w:rPr>
            </w:pPr>
            <w:r w:rsidRPr="00E55BD4">
              <w:rPr>
                <w:rFonts w:eastAsia="TimesNewRomanPSMT"/>
                <w:b/>
                <w:lang w:eastAsia="lt-LT"/>
              </w:rPr>
              <w:t>komerciniams poreikiams bei perkantiems</w:t>
            </w:r>
          </w:p>
          <w:p w14:paraId="15496F25" w14:textId="77777777" w:rsidR="00FD5E18" w:rsidRPr="00E55BD4" w:rsidRDefault="00FD5E18" w:rsidP="00E55BD4">
            <w:pPr>
              <w:autoSpaceDE w:val="0"/>
              <w:autoSpaceDN w:val="0"/>
              <w:adjustRightInd w:val="0"/>
              <w:rPr>
                <w:rFonts w:eastAsia="TimesNewRomanPSMT"/>
                <w:b/>
                <w:lang w:eastAsia="lt-LT"/>
              </w:rPr>
            </w:pPr>
            <w:r w:rsidRPr="00E55BD4">
              <w:rPr>
                <w:rFonts w:eastAsia="TimesNewRomanPSMT"/>
                <w:b/>
                <w:lang w:eastAsia="lt-LT"/>
              </w:rPr>
              <w:t>geriamąjį vandenį, skirtą karštam vandeniui</w:t>
            </w:r>
          </w:p>
          <w:p w14:paraId="3D398F98" w14:textId="77777777" w:rsidR="00FD5E18" w:rsidRPr="00E55BD4" w:rsidRDefault="00FD5E18" w:rsidP="00E55BD4">
            <w:pPr>
              <w:jc w:val="both"/>
              <w:rPr>
                <w:b/>
              </w:rPr>
            </w:pPr>
            <w:r w:rsidRPr="00E55BD4">
              <w:rPr>
                <w:rFonts w:eastAsia="TimesNewRomanPSMT"/>
                <w:b/>
                <w:lang w:eastAsia="lt-LT"/>
              </w:rPr>
              <w:t>ruošti ir tiekiamą abonentams Eur/m3:</w:t>
            </w:r>
          </w:p>
        </w:tc>
        <w:tc>
          <w:tcPr>
            <w:tcW w:w="1343" w:type="dxa"/>
            <w:shd w:val="clear" w:color="auto" w:fill="auto"/>
            <w:vAlign w:val="center"/>
          </w:tcPr>
          <w:p w14:paraId="64469A0D" w14:textId="77777777" w:rsidR="00FD5E18" w:rsidRPr="00E55BD4" w:rsidRDefault="00FD5E18" w:rsidP="00E55BD4">
            <w:pPr>
              <w:jc w:val="center"/>
              <w:rPr>
                <w:b/>
              </w:rPr>
            </w:pPr>
            <w:r w:rsidRPr="00E55BD4">
              <w:rPr>
                <w:b/>
              </w:rPr>
              <w:t>2,63</w:t>
            </w:r>
          </w:p>
        </w:tc>
        <w:tc>
          <w:tcPr>
            <w:tcW w:w="1509" w:type="dxa"/>
            <w:shd w:val="clear" w:color="auto" w:fill="auto"/>
            <w:vAlign w:val="center"/>
          </w:tcPr>
          <w:p w14:paraId="0390CAC7" w14:textId="77777777" w:rsidR="00FD5E18" w:rsidRPr="00E55BD4" w:rsidRDefault="00FD5E18" w:rsidP="00E55BD4">
            <w:pPr>
              <w:jc w:val="center"/>
              <w:rPr>
                <w:b/>
              </w:rPr>
            </w:pPr>
            <w:r w:rsidRPr="00E55BD4">
              <w:rPr>
                <w:b/>
              </w:rPr>
              <w:t>2,71</w:t>
            </w:r>
          </w:p>
        </w:tc>
        <w:tc>
          <w:tcPr>
            <w:tcW w:w="1835" w:type="dxa"/>
            <w:shd w:val="clear" w:color="auto" w:fill="auto"/>
            <w:vAlign w:val="center"/>
          </w:tcPr>
          <w:p w14:paraId="64BFF6E7" w14:textId="77777777" w:rsidR="00FD5E18" w:rsidRPr="00E55BD4" w:rsidRDefault="00FD5E18" w:rsidP="00E55BD4">
            <w:pPr>
              <w:jc w:val="center"/>
              <w:rPr>
                <w:b/>
              </w:rPr>
            </w:pPr>
            <w:r w:rsidRPr="00E55BD4">
              <w:rPr>
                <w:b/>
              </w:rPr>
              <w:t>0,08</w:t>
            </w:r>
          </w:p>
        </w:tc>
        <w:tc>
          <w:tcPr>
            <w:tcW w:w="1516" w:type="dxa"/>
            <w:shd w:val="clear" w:color="auto" w:fill="auto"/>
            <w:vAlign w:val="center"/>
          </w:tcPr>
          <w:p w14:paraId="336FE81E" w14:textId="77777777" w:rsidR="00FD5E18" w:rsidRPr="00E55BD4" w:rsidRDefault="00FD5E18" w:rsidP="00E55BD4">
            <w:pPr>
              <w:jc w:val="center"/>
              <w:rPr>
                <w:b/>
              </w:rPr>
            </w:pPr>
            <w:r w:rsidRPr="00E55BD4">
              <w:rPr>
                <w:b/>
              </w:rPr>
              <w:t>3,04</w:t>
            </w:r>
          </w:p>
        </w:tc>
      </w:tr>
      <w:tr w:rsidR="00FD5E18" w:rsidRPr="00E55BD4" w14:paraId="431B8FA5" w14:textId="77777777" w:rsidTr="00E55BD4">
        <w:tc>
          <w:tcPr>
            <w:tcW w:w="757" w:type="dxa"/>
            <w:shd w:val="clear" w:color="auto" w:fill="auto"/>
          </w:tcPr>
          <w:p w14:paraId="1894F369" w14:textId="77777777" w:rsidR="00FD5E18" w:rsidRPr="00E55BD4" w:rsidRDefault="00FD5E18" w:rsidP="00E55BD4">
            <w:pPr>
              <w:jc w:val="both"/>
              <w:rPr>
                <w:b/>
              </w:rPr>
            </w:pPr>
            <w:r w:rsidRPr="00E55BD4">
              <w:rPr>
                <w:b/>
              </w:rPr>
              <w:t>3.1.</w:t>
            </w:r>
          </w:p>
        </w:tc>
        <w:tc>
          <w:tcPr>
            <w:tcW w:w="2895" w:type="dxa"/>
            <w:shd w:val="clear" w:color="auto" w:fill="auto"/>
          </w:tcPr>
          <w:p w14:paraId="254ABA12" w14:textId="77777777" w:rsidR="00FD5E18" w:rsidRPr="00E55BD4" w:rsidRDefault="00FD5E18" w:rsidP="00E55BD4">
            <w:pPr>
              <w:jc w:val="both"/>
              <w:rPr>
                <w:b/>
              </w:rPr>
            </w:pPr>
            <w:r w:rsidRPr="00E55BD4">
              <w:rPr>
                <w:rFonts w:eastAsia="TimesNewRomanPSMT"/>
                <w:b/>
                <w:lang w:eastAsia="lt-LT"/>
              </w:rPr>
              <w:t xml:space="preserve">Geriamojo vandens tiekimo </w:t>
            </w:r>
          </w:p>
        </w:tc>
        <w:tc>
          <w:tcPr>
            <w:tcW w:w="1343" w:type="dxa"/>
            <w:shd w:val="clear" w:color="auto" w:fill="auto"/>
            <w:vAlign w:val="center"/>
          </w:tcPr>
          <w:p w14:paraId="3ED0FD7C" w14:textId="77777777" w:rsidR="00FD5E18" w:rsidRPr="00E55BD4" w:rsidRDefault="00FD5E18" w:rsidP="00E55BD4">
            <w:pPr>
              <w:jc w:val="center"/>
              <w:rPr>
                <w:b/>
              </w:rPr>
            </w:pPr>
            <w:r w:rsidRPr="00E55BD4">
              <w:rPr>
                <w:b/>
              </w:rPr>
              <w:t>0,86</w:t>
            </w:r>
          </w:p>
        </w:tc>
        <w:tc>
          <w:tcPr>
            <w:tcW w:w="1509" w:type="dxa"/>
            <w:shd w:val="clear" w:color="auto" w:fill="auto"/>
            <w:vAlign w:val="center"/>
          </w:tcPr>
          <w:p w14:paraId="729959AE" w14:textId="77777777" w:rsidR="00FD5E18" w:rsidRPr="00E55BD4" w:rsidRDefault="00FD5E18" w:rsidP="00E55BD4">
            <w:pPr>
              <w:jc w:val="center"/>
              <w:rPr>
                <w:b/>
              </w:rPr>
            </w:pPr>
            <w:r w:rsidRPr="00E55BD4">
              <w:rPr>
                <w:b/>
              </w:rPr>
              <w:t>0,92</w:t>
            </w:r>
          </w:p>
        </w:tc>
        <w:tc>
          <w:tcPr>
            <w:tcW w:w="1835" w:type="dxa"/>
            <w:shd w:val="clear" w:color="auto" w:fill="auto"/>
            <w:vAlign w:val="center"/>
          </w:tcPr>
          <w:p w14:paraId="00126E09" w14:textId="77777777" w:rsidR="00FD5E18" w:rsidRPr="00E55BD4" w:rsidRDefault="00FD5E18" w:rsidP="00E55BD4">
            <w:pPr>
              <w:jc w:val="center"/>
              <w:rPr>
                <w:b/>
              </w:rPr>
            </w:pPr>
            <w:r w:rsidRPr="00E55BD4">
              <w:rPr>
                <w:b/>
              </w:rPr>
              <w:t>0,06</w:t>
            </w:r>
          </w:p>
        </w:tc>
        <w:tc>
          <w:tcPr>
            <w:tcW w:w="1516" w:type="dxa"/>
            <w:shd w:val="clear" w:color="auto" w:fill="auto"/>
            <w:vAlign w:val="center"/>
          </w:tcPr>
          <w:p w14:paraId="5E1412A1" w14:textId="77777777" w:rsidR="00FD5E18" w:rsidRPr="00E55BD4" w:rsidRDefault="00FD5E18" w:rsidP="00E55BD4">
            <w:pPr>
              <w:jc w:val="center"/>
              <w:rPr>
                <w:b/>
              </w:rPr>
            </w:pPr>
            <w:r w:rsidRPr="00E55BD4">
              <w:rPr>
                <w:b/>
              </w:rPr>
              <w:t>6,98</w:t>
            </w:r>
          </w:p>
        </w:tc>
      </w:tr>
      <w:tr w:rsidR="00FD5E18" w:rsidRPr="00E55BD4" w14:paraId="3E078FCC" w14:textId="77777777" w:rsidTr="00E55BD4">
        <w:tc>
          <w:tcPr>
            <w:tcW w:w="757" w:type="dxa"/>
            <w:shd w:val="clear" w:color="auto" w:fill="auto"/>
          </w:tcPr>
          <w:p w14:paraId="1362764D" w14:textId="77777777" w:rsidR="00FD5E18" w:rsidRPr="00E55BD4" w:rsidRDefault="00FD5E18" w:rsidP="00E55BD4">
            <w:pPr>
              <w:jc w:val="both"/>
              <w:rPr>
                <w:b/>
              </w:rPr>
            </w:pPr>
            <w:r w:rsidRPr="00E55BD4">
              <w:rPr>
                <w:b/>
              </w:rPr>
              <w:t>3.2.</w:t>
            </w:r>
          </w:p>
        </w:tc>
        <w:tc>
          <w:tcPr>
            <w:tcW w:w="2895" w:type="dxa"/>
            <w:shd w:val="clear" w:color="auto" w:fill="auto"/>
          </w:tcPr>
          <w:p w14:paraId="436114C8" w14:textId="77777777" w:rsidR="00FD5E18" w:rsidRPr="00E55BD4" w:rsidRDefault="00FD5E18" w:rsidP="00E55BD4">
            <w:pPr>
              <w:jc w:val="both"/>
              <w:rPr>
                <w:b/>
              </w:rPr>
            </w:pPr>
            <w:r w:rsidRPr="00E55BD4">
              <w:rPr>
                <w:rFonts w:eastAsia="TimesNewRomanPSMT"/>
                <w:b/>
                <w:lang w:eastAsia="lt-LT"/>
              </w:rPr>
              <w:t>Nuotekų tvarkymo:</w:t>
            </w:r>
          </w:p>
        </w:tc>
        <w:tc>
          <w:tcPr>
            <w:tcW w:w="1343" w:type="dxa"/>
            <w:shd w:val="clear" w:color="auto" w:fill="auto"/>
            <w:vAlign w:val="center"/>
          </w:tcPr>
          <w:p w14:paraId="7E6707F5" w14:textId="77777777" w:rsidR="00FD5E18" w:rsidRPr="00E55BD4" w:rsidRDefault="00FD5E18" w:rsidP="00E55BD4">
            <w:pPr>
              <w:jc w:val="center"/>
              <w:rPr>
                <w:b/>
              </w:rPr>
            </w:pPr>
            <w:r w:rsidRPr="00E55BD4">
              <w:rPr>
                <w:b/>
              </w:rPr>
              <w:t>1,77</w:t>
            </w:r>
          </w:p>
        </w:tc>
        <w:tc>
          <w:tcPr>
            <w:tcW w:w="1509" w:type="dxa"/>
            <w:shd w:val="clear" w:color="auto" w:fill="auto"/>
            <w:vAlign w:val="center"/>
          </w:tcPr>
          <w:p w14:paraId="51A930E6" w14:textId="77777777" w:rsidR="00FD5E18" w:rsidRPr="00E55BD4" w:rsidRDefault="00FD5E18" w:rsidP="00E55BD4">
            <w:pPr>
              <w:jc w:val="center"/>
              <w:rPr>
                <w:b/>
              </w:rPr>
            </w:pPr>
            <w:r w:rsidRPr="00E55BD4">
              <w:rPr>
                <w:b/>
              </w:rPr>
              <w:t>1,79</w:t>
            </w:r>
          </w:p>
        </w:tc>
        <w:tc>
          <w:tcPr>
            <w:tcW w:w="1835" w:type="dxa"/>
            <w:shd w:val="clear" w:color="auto" w:fill="auto"/>
            <w:vAlign w:val="center"/>
          </w:tcPr>
          <w:p w14:paraId="62C5BACC" w14:textId="77777777" w:rsidR="00FD5E18" w:rsidRPr="00E55BD4" w:rsidRDefault="00FD5E18" w:rsidP="00E55BD4">
            <w:pPr>
              <w:jc w:val="center"/>
              <w:rPr>
                <w:b/>
              </w:rPr>
            </w:pPr>
            <w:r w:rsidRPr="00E55BD4">
              <w:rPr>
                <w:b/>
              </w:rPr>
              <w:t>0,02</w:t>
            </w:r>
          </w:p>
        </w:tc>
        <w:tc>
          <w:tcPr>
            <w:tcW w:w="1516" w:type="dxa"/>
            <w:shd w:val="clear" w:color="auto" w:fill="auto"/>
            <w:vAlign w:val="center"/>
          </w:tcPr>
          <w:p w14:paraId="569C1CBE" w14:textId="77777777" w:rsidR="00FD5E18" w:rsidRPr="00E55BD4" w:rsidRDefault="00FD5E18" w:rsidP="00E55BD4">
            <w:pPr>
              <w:jc w:val="center"/>
              <w:rPr>
                <w:b/>
              </w:rPr>
            </w:pPr>
            <w:r w:rsidRPr="00E55BD4">
              <w:rPr>
                <w:b/>
              </w:rPr>
              <w:t>1,13</w:t>
            </w:r>
          </w:p>
        </w:tc>
      </w:tr>
      <w:tr w:rsidR="00FD5E18" w:rsidRPr="00E55BD4" w14:paraId="580A7128" w14:textId="77777777" w:rsidTr="00E55BD4">
        <w:tc>
          <w:tcPr>
            <w:tcW w:w="757" w:type="dxa"/>
            <w:shd w:val="clear" w:color="auto" w:fill="auto"/>
          </w:tcPr>
          <w:p w14:paraId="432458BB" w14:textId="77777777" w:rsidR="00FD5E18" w:rsidRPr="00E55BD4" w:rsidRDefault="00FD5E18" w:rsidP="00E55BD4">
            <w:pPr>
              <w:jc w:val="both"/>
              <w:rPr>
                <w:bCs/>
              </w:rPr>
            </w:pPr>
            <w:r w:rsidRPr="00E55BD4">
              <w:rPr>
                <w:bCs/>
              </w:rPr>
              <w:t>3.2.1.</w:t>
            </w:r>
          </w:p>
        </w:tc>
        <w:tc>
          <w:tcPr>
            <w:tcW w:w="2895" w:type="dxa"/>
            <w:shd w:val="clear" w:color="auto" w:fill="auto"/>
          </w:tcPr>
          <w:p w14:paraId="646CCCAE" w14:textId="77777777" w:rsidR="00FD5E18" w:rsidRPr="00E55BD4" w:rsidRDefault="00FD5E18" w:rsidP="00E55BD4">
            <w:pPr>
              <w:jc w:val="both"/>
              <w:rPr>
                <w:bCs/>
              </w:rPr>
            </w:pPr>
            <w:r w:rsidRPr="00E55BD4">
              <w:rPr>
                <w:rFonts w:eastAsia="TimesNewRomanPSMT"/>
                <w:lang w:eastAsia="lt-LT"/>
              </w:rPr>
              <w:t xml:space="preserve">nuotekų surinkimo </w:t>
            </w:r>
          </w:p>
        </w:tc>
        <w:tc>
          <w:tcPr>
            <w:tcW w:w="1343" w:type="dxa"/>
            <w:shd w:val="clear" w:color="auto" w:fill="auto"/>
            <w:vAlign w:val="center"/>
          </w:tcPr>
          <w:p w14:paraId="3CF52BBE" w14:textId="77777777" w:rsidR="00FD5E18" w:rsidRPr="00E55BD4" w:rsidRDefault="00FD5E18" w:rsidP="00E55BD4">
            <w:pPr>
              <w:jc w:val="center"/>
              <w:rPr>
                <w:bCs/>
              </w:rPr>
            </w:pPr>
            <w:r w:rsidRPr="00E55BD4">
              <w:rPr>
                <w:bCs/>
              </w:rPr>
              <w:t>0,51</w:t>
            </w:r>
          </w:p>
        </w:tc>
        <w:tc>
          <w:tcPr>
            <w:tcW w:w="1509" w:type="dxa"/>
            <w:shd w:val="clear" w:color="auto" w:fill="auto"/>
            <w:vAlign w:val="center"/>
          </w:tcPr>
          <w:p w14:paraId="249BED85" w14:textId="77777777" w:rsidR="00FD5E18" w:rsidRPr="00E55BD4" w:rsidRDefault="00FD5E18" w:rsidP="00E55BD4">
            <w:pPr>
              <w:jc w:val="center"/>
              <w:rPr>
                <w:bCs/>
              </w:rPr>
            </w:pPr>
            <w:r w:rsidRPr="00E55BD4">
              <w:rPr>
                <w:bCs/>
              </w:rPr>
              <w:t>0,51</w:t>
            </w:r>
          </w:p>
        </w:tc>
        <w:tc>
          <w:tcPr>
            <w:tcW w:w="1835" w:type="dxa"/>
            <w:shd w:val="clear" w:color="auto" w:fill="auto"/>
            <w:vAlign w:val="center"/>
          </w:tcPr>
          <w:p w14:paraId="0CF3C476" w14:textId="77777777" w:rsidR="00FD5E18" w:rsidRPr="00E55BD4" w:rsidRDefault="00FD5E18" w:rsidP="00E55BD4">
            <w:pPr>
              <w:jc w:val="center"/>
              <w:rPr>
                <w:bCs/>
              </w:rPr>
            </w:pPr>
            <w:r w:rsidRPr="00E55BD4">
              <w:rPr>
                <w:bCs/>
              </w:rPr>
              <w:t>nesikeičia</w:t>
            </w:r>
          </w:p>
        </w:tc>
        <w:tc>
          <w:tcPr>
            <w:tcW w:w="1516" w:type="dxa"/>
            <w:shd w:val="clear" w:color="auto" w:fill="auto"/>
            <w:vAlign w:val="center"/>
          </w:tcPr>
          <w:p w14:paraId="7EC49EBB" w14:textId="77777777" w:rsidR="00FD5E18" w:rsidRPr="00E55BD4" w:rsidRDefault="00FD5E18" w:rsidP="00E55BD4">
            <w:pPr>
              <w:jc w:val="center"/>
              <w:rPr>
                <w:bCs/>
              </w:rPr>
            </w:pPr>
            <w:r w:rsidRPr="00E55BD4">
              <w:rPr>
                <w:bCs/>
              </w:rPr>
              <w:t>nesikeičia</w:t>
            </w:r>
          </w:p>
        </w:tc>
      </w:tr>
      <w:tr w:rsidR="00FD5E18" w:rsidRPr="00E55BD4" w14:paraId="11ED9B70" w14:textId="77777777" w:rsidTr="00E55BD4">
        <w:tc>
          <w:tcPr>
            <w:tcW w:w="757" w:type="dxa"/>
            <w:shd w:val="clear" w:color="auto" w:fill="auto"/>
          </w:tcPr>
          <w:p w14:paraId="23A3E3E0" w14:textId="77777777" w:rsidR="00FD5E18" w:rsidRPr="00E55BD4" w:rsidRDefault="00FD5E18" w:rsidP="00E55BD4">
            <w:pPr>
              <w:jc w:val="both"/>
              <w:rPr>
                <w:bCs/>
              </w:rPr>
            </w:pPr>
            <w:r w:rsidRPr="00E55BD4">
              <w:rPr>
                <w:bCs/>
              </w:rPr>
              <w:t>3.2.2.</w:t>
            </w:r>
          </w:p>
        </w:tc>
        <w:tc>
          <w:tcPr>
            <w:tcW w:w="2895" w:type="dxa"/>
            <w:shd w:val="clear" w:color="auto" w:fill="auto"/>
          </w:tcPr>
          <w:p w14:paraId="6169C1C5" w14:textId="77777777" w:rsidR="00FD5E18" w:rsidRPr="00E55BD4" w:rsidRDefault="00FD5E18" w:rsidP="00E55BD4">
            <w:pPr>
              <w:jc w:val="both"/>
              <w:rPr>
                <w:bCs/>
              </w:rPr>
            </w:pPr>
            <w:r w:rsidRPr="00E55BD4">
              <w:rPr>
                <w:rFonts w:eastAsia="TimesNewRomanPSMT"/>
                <w:lang w:eastAsia="lt-LT"/>
              </w:rPr>
              <w:t xml:space="preserve">nuotekų valymo </w:t>
            </w:r>
          </w:p>
        </w:tc>
        <w:tc>
          <w:tcPr>
            <w:tcW w:w="1343" w:type="dxa"/>
            <w:shd w:val="clear" w:color="auto" w:fill="auto"/>
            <w:vAlign w:val="center"/>
          </w:tcPr>
          <w:p w14:paraId="313B81A7" w14:textId="77777777" w:rsidR="00FD5E18" w:rsidRPr="00E55BD4" w:rsidRDefault="00FD5E18" w:rsidP="00E55BD4">
            <w:pPr>
              <w:jc w:val="center"/>
              <w:rPr>
                <w:bCs/>
              </w:rPr>
            </w:pPr>
            <w:r w:rsidRPr="00E55BD4">
              <w:rPr>
                <w:bCs/>
              </w:rPr>
              <w:t>1,17</w:t>
            </w:r>
          </w:p>
        </w:tc>
        <w:tc>
          <w:tcPr>
            <w:tcW w:w="1509" w:type="dxa"/>
            <w:shd w:val="clear" w:color="auto" w:fill="auto"/>
            <w:vAlign w:val="center"/>
          </w:tcPr>
          <w:p w14:paraId="52E9AA66" w14:textId="77777777" w:rsidR="00FD5E18" w:rsidRPr="00E55BD4" w:rsidRDefault="00FD5E18" w:rsidP="00E55BD4">
            <w:pPr>
              <w:jc w:val="center"/>
              <w:rPr>
                <w:bCs/>
              </w:rPr>
            </w:pPr>
            <w:r w:rsidRPr="00E55BD4">
              <w:rPr>
                <w:bCs/>
              </w:rPr>
              <w:t>1,19</w:t>
            </w:r>
          </w:p>
        </w:tc>
        <w:tc>
          <w:tcPr>
            <w:tcW w:w="1835" w:type="dxa"/>
            <w:shd w:val="clear" w:color="auto" w:fill="auto"/>
            <w:vAlign w:val="center"/>
          </w:tcPr>
          <w:p w14:paraId="693AF6E0" w14:textId="77777777" w:rsidR="00FD5E18" w:rsidRPr="00E55BD4" w:rsidRDefault="00FD5E18" w:rsidP="00E55BD4">
            <w:pPr>
              <w:jc w:val="center"/>
              <w:rPr>
                <w:bCs/>
              </w:rPr>
            </w:pPr>
            <w:r w:rsidRPr="00E55BD4">
              <w:rPr>
                <w:bCs/>
              </w:rPr>
              <w:t>0,02</w:t>
            </w:r>
          </w:p>
        </w:tc>
        <w:tc>
          <w:tcPr>
            <w:tcW w:w="1516" w:type="dxa"/>
            <w:shd w:val="clear" w:color="auto" w:fill="auto"/>
            <w:vAlign w:val="center"/>
          </w:tcPr>
          <w:p w14:paraId="161DD7D4" w14:textId="77777777" w:rsidR="00FD5E18" w:rsidRPr="00E55BD4" w:rsidRDefault="00FD5E18" w:rsidP="00E55BD4">
            <w:pPr>
              <w:jc w:val="center"/>
              <w:rPr>
                <w:bCs/>
              </w:rPr>
            </w:pPr>
            <w:r w:rsidRPr="00E55BD4">
              <w:rPr>
                <w:bCs/>
              </w:rPr>
              <w:t>1,71</w:t>
            </w:r>
          </w:p>
        </w:tc>
      </w:tr>
      <w:tr w:rsidR="00FD5E18" w:rsidRPr="00E55BD4" w14:paraId="2B0762FF" w14:textId="77777777" w:rsidTr="00E55BD4">
        <w:tc>
          <w:tcPr>
            <w:tcW w:w="757" w:type="dxa"/>
            <w:shd w:val="clear" w:color="auto" w:fill="auto"/>
          </w:tcPr>
          <w:p w14:paraId="6370CCBC" w14:textId="77777777" w:rsidR="00FD5E18" w:rsidRPr="00E55BD4" w:rsidRDefault="00FD5E18" w:rsidP="00E55BD4">
            <w:pPr>
              <w:jc w:val="both"/>
              <w:rPr>
                <w:bCs/>
              </w:rPr>
            </w:pPr>
            <w:r w:rsidRPr="00E55BD4">
              <w:rPr>
                <w:bCs/>
              </w:rPr>
              <w:t>3.2.3.</w:t>
            </w:r>
          </w:p>
        </w:tc>
        <w:tc>
          <w:tcPr>
            <w:tcW w:w="2895" w:type="dxa"/>
            <w:shd w:val="clear" w:color="auto" w:fill="auto"/>
          </w:tcPr>
          <w:p w14:paraId="796B3936" w14:textId="77777777" w:rsidR="00FD5E18" w:rsidRPr="00E55BD4" w:rsidRDefault="00FD5E18" w:rsidP="00E55BD4">
            <w:pPr>
              <w:jc w:val="both"/>
              <w:rPr>
                <w:bCs/>
              </w:rPr>
            </w:pPr>
            <w:r w:rsidRPr="00E55BD4">
              <w:rPr>
                <w:rFonts w:eastAsia="TimesNewRomanPSMT"/>
                <w:lang w:eastAsia="lt-LT"/>
              </w:rPr>
              <w:t xml:space="preserve">nuotekų dumblo tvarkymo </w:t>
            </w:r>
          </w:p>
        </w:tc>
        <w:tc>
          <w:tcPr>
            <w:tcW w:w="1343" w:type="dxa"/>
            <w:shd w:val="clear" w:color="auto" w:fill="auto"/>
            <w:vAlign w:val="center"/>
          </w:tcPr>
          <w:p w14:paraId="217EC28E" w14:textId="77777777" w:rsidR="00FD5E18" w:rsidRPr="00E55BD4" w:rsidRDefault="00FD5E18" w:rsidP="00E55BD4">
            <w:pPr>
              <w:jc w:val="center"/>
              <w:rPr>
                <w:bCs/>
              </w:rPr>
            </w:pPr>
            <w:r w:rsidRPr="00E55BD4">
              <w:rPr>
                <w:bCs/>
              </w:rPr>
              <w:t>0,09</w:t>
            </w:r>
          </w:p>
        </w:tc>
        <w:tc>
          <w:tcPr>
            <w:tcW w:w="1509" w:type="dxa"/>
            <w:shd w:val="clear" w:color="auto" w:fill="auto"/>
            <w:vAlign w:val="center"/>
          </w:tcPr>
          <w:p w14:paraId="16FA97D5" w14:textId="77777777" w:rsidR="00FD5E18" w:rsidRPr="00E55BD4" w:rsidRDefault="00FD5E18" w:rsidP="00E55BD4">
            <w:pPr>
              <w:jc w:val="center"/>
              <w:rPr>
                <w:bCs/>
              </w:rPr>
            </w:pPr>
            <w:r w:rsidRPr="00E55BD4">
              <w:rPr>
                <w:bCs/>
              </w:rPr>
              <w:t>0,09</w:t>
            </w:r>
          </w:p>
        </w:tc>
        <w:tc>
          <w:tcPr>
            <w:tcW w:w="1835" w:type="dxa"/>
            <w:shd w:val="clear" w:color="auto" w:fill="auto"/>
            <w:vAlign w:val="center"/>
          </w:tcPr>
          <w:p w14:paraId="269F7C7B" w14:textId="77777777" w:rsidR="00FD5E18" w:rsidRPr="00E55BD4" w:rsidRDefault="00FD5E18" w:rsidP="00E55BD4">
            <w:pPr>
              <w:jc w:val="center"/>
              <w:rPr>
                <w:bCs/>
              </w:rPr>
            </w:pPr>
            <w:r w:rsidRPr="00E55BD4">
              <w:rPr>
                <w:bCs/>
              </w:rPr>
              <w:t>nesikeičia</w:t>
            </w:r>
          </w:p>
        </w:tc>
        <w:tc>
          <w:tcPr>
            <w:tcW w:w="1516" w:type="dxa"/>
            <w:shd w:val="clear" w:color="auto" w:fill="auto"/>
            <w:vAlign w:val="center"/>
          </w:tcPr>
          <w:p w14:paraId="4F7733B4" w14:textId="77777777" w:rsidR="00FD5E18" w:rsidRPr="00E55BD4" w:rsidRDefault="00FD5E18" w:rsidP="00E55BD4">
            <w:pPr>
              <w:jc w:val="center"/>
              <w:rPr>
                <w:bCs/>
              </w:rPr>
            </w:pPr>
            <w:r w:rsidRPr="00E55BD4">
              <w:rPr>
                <w:bCs/>
              </w:rPr>
              <w:t>nesikeičia</w:t>
            </w:r>
          </w:p>
        </w:tc>
      </w:tr>
      <w:tr w:rsidR="00FD5E18" w:rsidRPr="00E55BD4" w14:paraId="6EDB3F66" w14:textId="77777777" w:rsidTr="00E55BD4">
        <w:tc>
          <w:tcPr>
            <w:tcW w:w="757" w:type="dxa"/>
            <w:shd w:val="clear" w:color="auto" w:fill="auto"/>
          </w:tcPr>
          <w:p w14:paraId="556DABF9" w14:textId="77777777" w:rsidR="00FD5E18" w:rsidRPr="00E55BD4" w:rsidRDefault="00FD5E18" w:rsidP="00E55BD4">
            <w:pPr>
              <w:jc w:val="both"/>
              <w:rPr>
                <w:b/>
              </w:rPr>
            </w:pPr>
            <w:r w:rsidRPr="00E55BD4">
              <w:rPr>
                <w:b/>
              </w:rPr>
              <w:t>4.</w:t>
            </w:r>
          </w:p>
        </w:tc>
        <w:tc>
          <w:tcPr>
            <w:tcW w:w="2895" w:type="dxa"/>
            <w:shd w:val="clear" w:color="auto" w:fill="auto"/>
          </w:tcPr>
          <w:p w14:paraId="6B6B5967" w14:textId="77777777" w:rsidR="00FD5E18" w:rsidRPr="00E55BD4" w:rsidRDefault="00FD5E18" w:rsidP="00E55BD4">
            <w:pPr>
              <w:autoSpaceDE w:val="0"/>
              <w:autoSpaceDN w:val="0"/>
              <w:adjustRightInd w:val="0"/>
              <w:rPr>
                <w:rFonts w:eastAsia="TimesNewRomanPSMT"/>
                <w:b/>
                <w:lang w:eastAsia="lt-LT"/>
              </w:rPr>
            </w:pPr>
            <w:r w:rsidRPr="00E55BD4">
              <w:rPr>
                <w:rFonts w:eastAsia="TimesNewRomanPSMT"/>
                <w:b/>
                <w:lang w:eastAsia="lt-LT"/>
              </w:rPr>
              <w:t>Geriamojo vandens tiekimo ir nuotekų</w:t>
            </w:r>
          </w:p>
          <w:p w14:paraId="1051BE7B" w14:textId="77777777" w:rsidR="00FD5E18" w:rsidRPr="00E55BD4" w:rsidRDefault="00FD5E18" w:rsidP="00E55BD4">
            <w:pPr>
              <w:autoSpaceDE w:val="0"/>
              <w:autoSpaceDN w:val="0"/>
              <w:adjustRightInd w:val="0"/>
              <w:rPr>
                <w:rFonts w:eastAsia="TimesNewRomanPSMT"/>
                <w:b/>
                <w:lang w:eastAsia="lt-LT"/>
              </w:rPr>
            </w:pPr>
            <w:r w:rsidRPr="00E55BD4">
              <w:rPr>
                <w:rFonts w:eastAsia="TimesNewRomanPSMT"/>
                <w:b/>
                <w:lang w:eastAsia="lt-LT"/>
              </w:rPr>
              <w:t xml:space="preserve">tvarkymo paslaugų </w:t>
            </w:r>
            <w:r w:rsidRPr="00E55BD4">
              <w:rPr>
                <w:rFonts w:eastAsia="TimesNewRomanPSMT"/>
                <w:b/>
                <w:lang w:eastAsia="lt-LT"/>
              </w:rPr>
              <w:lastRenderedPageBreak/>
              <w:t>kainos abonentams,</w:t>
            </w:r>
          </w:p>
          <w:p w14:paraId="2B05241D" w14:textId="77777777" w:rsidR="00FD5E18" w:rsidRPr="00E55BD4" w:rsidRDefault="00FD5E18" w:rsidP="00E55BD4">
            <w:pPr>
              <w:autoSpaceDE w:val="0"/>
              <w:autoSpaceDN w:val="0"/>
              <w:adjustRightInd w:val="0"/>
              <w:rPr>
                <w:rFonts w:eastAsia="TimesNewRomanPSMT"/>
                <w:b/>
                <w:lang w:eastAsia="lt-LT"/>
              </w:rPr>
            </w:pPr>
            <w:r w:rsidRPr="00E55BD4">
              <w:rPr>
                <w:rFonts w:eastAsia="TimesNewRomanPSMT"/>
                <w:b/>
                <w:lang w:eastAsia="lt-LT"/>
              </w:rPr>
              <w:t>perkantiems vandenį patalpoms šildyti ir</w:t>
            </w:r>
          </w:p>
          <w:p w14:paraId="7F47458C" w14:textId="77777777" w:rsidR="00FD5E18" w:rsidRPr="00E55BD4" w:rsidRDefault="00FD5E18" w:rsidP="00E55BD4">
            <w:pPr>
              <w:autoSpaceDE w:val="0"/>
              <w:autoSpaceDN w:val="0"/>
              <w:adjustRightInd w:val="0"/>
              <w:rPr>
                <w:rFonts w:eastAsia="TimesNewRomanPSMT"/>
                <w:b/>
                <w:lang w:eastAsia="lt-LT"/>
              </w:rPr>
            </w:pPr>
            <w:r w:rsidRPr="00E55BD4">
              <w:rPr>
                <w:rFonts w:eastAsia="TimesNewRomanPSMT"/>
                <w:b/>
                <w:lang w:eastAsia="lt-LT"/>
              </w:rPr>
              <w:t>karštam vandeniui ruošti ir vartotojų grupei,</w:t>
            </w:r>
          </w:p>
          <w:p w14:paraId="6C4403F8" w14:textId="77777777" w:rsidR="00FD5E18" w:rsidRPr="00E55BD4" w:rsidRDefault="00FD5E18" w:rsidP="00E55BD4">
            <w:pPr>
              <w:autoSpaceDE w:val="0"/>
              <w:autoSpaceDN w:val="0"/>
              <w:adjustRightInd w:val="0"/>
              <w:rPr>
                <w:rFonts w:eastAsia="TimesNewRomanPSMT"/>
                <w:b/>
                <w:lang w:eastAsia="lt-LT"/>
              </w:rPr>
            </w:pPr>
            <w:r w:rsidRPr="00E55BD4">
              <w:rPr>
                <w:rFonts w:eastAsia="TimesNewRomanPSMT"/>
                <w:b/>
                <w:lang w:eastAsia="lt-LT"/>
              </w:rPr>
              <w:t>atsiskaitančiai daugiabučio namo įvade,</w:t>
            </w:r>
          </w:p>
          <w:p w14:paraId="08592188" w14:textId="77777777" w:rsidR="00FD5E18" w:rsidRPr="00E55BD4" w:rsidRDefault="00FD5E18" w:rsidP="00E55BD4">
            <w:pPr>
              <w:jc w:val="both"/>
              <w:rPr>
                <w:b/>
              </w:rPr>
            </w:pPr>
            <w:r w:rsidRPr="00E55BD4">
              <w:rPr>
                <w:rFonts w:eastAsia="TimesNewRomanPSMT"/>
                <w:b/>
                <w:lang w:eastAsia="lt-LT"/>
              </w:rPr>
              <w:t>Eur/m3:</w:t>
            </w:r>
          </w:p>
        </w:tc>
        <w:tc>
          <w:tcPr>
            <w:tcW w:w="1343" w:type="dxa"/>
            <w:shd w:val="clear" w:color="auto" w:fill="auto"/>
            <w:vAlign w:val="center"/>
          </w:tcPr>
          <w:p w14:paraId="5E680930" w14:textId="77777777" w:rsidR="00FD5E18" w:rsidRPr="00E55BD4" w:rsidRDefault="00FD5E18" w:rsidP="00E55BD4">
            <w:pPr>
              <w:jc w:val="center"/>
              <w:rPr>
                <w:b/>
              </w:rPr>
            </w:pPr>
            <w:r w:rsidRPr="00E55BD4">
              <w:rPr>
                <w:b/>
              </w:rPr>
              <w:lastRenderedPageBreak/>
              <w:t>2,54</w:t>
            </w:r>
          </w:p>
        </w:tc>
        <w:tc>
          <w:tcPr>
            <w:tcW w:w="1509" w:type="dxa"/>
            <w:shd w:val="clear" w:color="auto" w:fill="auto"/>
            <w:vAlign w:val="center"/>
          </w:tcPr>
          <w:p w14:paraId="58356BC6" w14:textId="77777777" w:rsidR="00FD5E18" w:rsidRPr="00E55BD4" w:rsidRDefault="00FD5E18" w:rsidP="00E55BD4">
            <w:pPr>
              <w:jc w:val="center"/>
              <w:rPr>
                <w:b/>
              </w:rPr>
            </w:pPr>
            <w:r w:rsidRPr="00E55BD4">
              <w:rPr>
                <w:b/>
              </w:rPr>
              <w:t>2,62</w:t>
            </w:r>
          </w:p>
        </w:tc>
        <w:tc>
          <w:tcPr>
            <w:tcW w:w="1835" w:type="dxa"/>
            <w:shd w:val="clear" w:color="auto" w:fill="auto"/>
            <w:vAlign w:val="center"/>
          </w:tcPr>
          <w:p w14:paraId="14747601" w14:textId="77777777" w:rsidR="00FD5E18" w:rsidRPr="00E55BD4" w:rsidRDefault="00FD5E18" w:rsidP="00E55BD4">
            <w:pPr>
              <w:jc w:val="center"/>
              <w:rPr>
                <w:b/>
              </w:rPr>
            </w:pPr>
            <w:r w:rsidRPr="00E55BD4">
              <w:rPr>
                <w:b/>
              </w:rPr>
              <w:t>0,08</w:t>
            </w:r>
          </w:p>
        </w:tc>
        <w:tc>
          <w:tcPr>
            <w:tcW w:w="1516" w:type="dxa"/>
            <w:shd w:val="clear" w:color="auto" w:fill="auto"/>
            <w:vAlign w:val="center"/>
          </w:tcPr>
          <w:p w14:paraId="52DFCD7E" w14:textId="77777777" w:rsidR="00FD5E18" w:rsidRPr="00E55BD4" w:rsidRDefault="00FD5E18" w:rsidP="00E55BD4">
            <w:pPr>
              <w:jc w:val="center"/>
              <w:rPr>
                <w:b/>
              </w:rPr>
            </w:pPr>
            <w:r w:rsidRPr="00E55BD4">
              <w:rPr>
                <w:b/>
              </w:rPr>
              <w:t>3,15</w:t>
            </w:r>
          </w:p>
        </w:tc>
      </w:tr>
      <w:tr w:rsidR="00FD5E18" w:rsidRPr="00E55BD4" w14:paraId="5AE69364" w14:textId="77777777" w:rsidTr="00E55BD4">
        <w:tc>
          <w:tcPr>
            <w:tcW w:w="757" w:type="dxa"/>
            <w:shd w:val="clear" w:color="auto" w:fill="auto"/>
          </w:tcPr>
          <w:p w14:paraId="6C1C2A15" w14:textId="77777777" w:rsidR="00FD5E18" w:rsidRPr="00E55BD4" w:rsidRDefault="00FD5E18" w:rsidP="00E55BD4">
            <w:pPr>
              <w:jc w:val="both"/>
              <w:rPr>
                <w:b/>
              </w:rPr>
            </w:pPr>
            <w:r w:rsidRPr="00E55BD4">
              <w:rPr>
                <w:b/>
              </w:rPr>
              <w:t>4.1.</w:t>
            </w:r>
          </w:p>
        </w:tc>
        <w:tc>
          <w:tcPr>
            <w:tcW w:w="2895" w:type="dxa"/>
            <w:shd w:val="clear" w:color="auto" w:fill="auto"/>
          </w:tcPr>
          <w:p w14:paraId="0F87558D" w14:textId="77777777" w:rsidR="00FD5E18" w:rsidRPr="00E55BD4" w:rsidRDefault="00FD5E18" w:rsidP="00E55BD4">
            <w:pPr>
              <w:jc w:val="both"/>
              <w:rPr>
                <w:b/>
              </w:rPr>
            </w:pPr>
            <w:r w:rsidRPr="00E55BD4">
              <w:rPr>
                <w:rFonts w:eastAsia="TimesNewRomanPSMT"/>
                <w:b/>
                <w:lang w:eastAsia="lt-LT"/>
              </w:rPr>
              <w:t xml:space="preserve">Geriamojo vandens tiekimo </w:t>
            </w:r>
          </w:p>
        </w:tc>
        <w:tc>
          <w:tcPr>
            <w:tcW w:w="1343" w:type="dxa"/>
            <w:shd w:val="clear" w:color="auto" w:fill="auto"/>
            <w:vAlign w:val="center"/>
          </w:tcPr>
          <w:p w14:paraId="55E9C7AE" w14:textId="77777777" w:rsidR="00FD5E18" w:rsidRPr="00E55BD4" w:rsidRDefault="00FD5E18" w:rsidP="00E55BD4">
            <w:pPr>
              <w:jc w:val="center"/>
              <w:rPr>
                <w:b/>
              </w:rPr>
            </w:pPr>
            <w:r w:rsidRPr="00E55BD4">
              <w:rPr>
                <w:b/>
              </w:rPr>
              <w:t>0,77</w:t>
            </w:r>
          </w:p>
        </w:tc>
        <w:tc>
          <w:tcPr>
            <w:tcW w:w="1509" w:type="dxa"/>
            <w:shd w:val="clear" w:color="auto" w:fill="auto"/>
            <w:vAlign w:val="center"/>
          </w:tcPr>
          <w:p w14:paraId="049E46AA" w14:textId="77777777" w:rsidR="00FD5E18" w:rsidRPr="00E55BD4" w:rsidRDefault="00FD5E18" w:rsidP="00E55BD4">
            <w:pPr>
              <w:jc w:val="center"/>
              <w:rPr>
                <w:b/>
              </w:rPr>
            </w:pPr>
            <w:r w:rsidRPr="00E55BD4">
              <w:rPr>
                <w:b/>
              </w:rPr>
              <w:t>0,83</w:t>
            </w:r>
          </w:p>
        </w:tc>
        <w:tc>
          <w:tcPr>
            <w:tcW w:w="1835" w:type="dxa"/>
            <w:shd w:val="clear" w:color="auto" w:fill="auto"/>
            <w:vAlign w:val="center"/>
          </w:tcPr>
          <w:p w14:paraId="4709A32D" w14:textId="77777777" w:rsidR="00FD5E18" w:rsidRPr="00E55BD4" w:rsidRDefault="00FD5E18" w:rsidP="00E55BD4">
            <w:pPr>
              <w:jc w:val="center"/>
              <w:rPr>
                <w:b/>
              </w:rPr>
            </w:pPr>
            <w:r w:rsidRPr="00E55BD4">
              <w:rPr>
                <w:b/>
              </w:rPr>
              <w:t>0,06</w:t>
            </w:r>
          </w:p>
        </w:tc>
        <w:tc>
          <w:tcPr>
            <w:tcW w:w="1516" w:type="dxa"/>
            <w:shd w:val="clear" w:color="auto" w:fill="auto"/>
            <w:vAlign w:val="center"/>
          </w:tcPr>
          <w:p w14:paraId="57C5D0C2" w14:textId="77777777" w:rsidR="00FD5E18" w:rsidRPr="00E55BD4" w:rsidRDefault="00FD5E18" w:rsidP="00E55BD4">
            <w:pPr>
              <w:jc w:val="center"/>
              <w:rPr>
                <w:b/>
              </w:rPr>
            </w:pPr>
            <w:r w:rsidRPr="00E55BD4">
              <w:rPr>
                <w:b/>
              </w:rPr>
              <w:t>7,79</w:t>
            </w:r>
          </w:p>
        </w:tc>
      </w:tr>
      <w:tr w:rsidR="00FD5E18" w:rsidRPr="00E55BD4" w14:paraId="5F916B71" w14:textId="77777777" w:rsidTr="00E55BD4">
        <w:tc>
          <w:tcPr>
            <w:tcW w:w="757" w:type="dxa"/>
            <w:shd w:val="clear" w:color="auto" w:fill="auto"/>
          </w:tcPr>
          <w:p w14:paraId="5AB15944" w14:textId="77777777" w:rsidR="00FD5E18" w:rsidRPr="00E55BD4" w:rsidRDefault="00FD5E18" w:rsidP="00E55BD4">
            <w:pPr>
              <w:jc w:val="both"/>
              <w:rPr>
                <w:b/>
              </w:rPr>
            </w:pPr>
            <w:r w:rsidRPr="00E55BD4">
              <w:rPr>
                <w:b/>
              </w:rPr>
              <w:t>4.2.</w:t>
            </w:r>
          </w:p>
        </w:tc>
        <w:tc>
          <w:tcPr>
            <w:tcW w:w="2895" w:type="dxa"/>
            <w:shd w:val="clear" w:color="auto" w:fill="auto"/>
          </w:tcPr>
          <w:p w14:paraId="60BA5BCB" w14:textId="77777777" w:rsidR="00FD5E18" w:rsidRPr="00E55BD4" w:rsidRDefault="00FD5E18" w:rsidP="00E55BD4">
            <w:pPr>
              <w:jc w:val="both"/>
              <w:rPr>
                <w:b/>
              </w:rPr>
            </w:pPr>
            <w:r w:rsidRPr="00E55BD4">
              <w:rPr>
                <w:rFonts w:eastAsia="TimesNewRomanPSMT"/>
                <w:b/>
                <w:lang w:eastAsia="lt-LT"/>
              </w:rPr>
              <w:t>Nuotekų tvarkymo:</w:t>
            </w:r>
          </w:p>
        </w:tc>
        <w:tc>
          <w:tcPr>
            <w:tcW w:w="1343" w:type="dxa"/>
            <w:shd w:val="clear" w:color="auto" w:fill="auto"/>
            <w:vAlign w:val="center"/>
          </w:tcPr>
          <w:p w14:paraId="68606FA2" w14:textId="77777777" w:rsidR="00FD5E18" w:rsidRPr="00E55BD4" w:rsidRDefault="00FD5E18" w:rsidP="00E55BD4">
            <w:pPr>
              <w:jc w:val="center"/>
              <w:rPr>
                <w:b/>
              </w:rPr>
            </w:pPr>
            <w:r w:rsidRPr="00E55BD4">
              <w:rPr>
                <w:b/>
              </w:rPr>
              <w:t>1,77</w:t>
            </w:r>
          </w:p>
        </w:tc>
        <w:tc>
          <w:tcPr>
            <w:tcW w:w="1509" w:type="dxa"/>
            <w:shd w:val="clear" w:color="auto" w:fill="auto"/>
            <w:vAlign w:val="center"/>
          </w:tcPr>
          <w:p w14:paraId="56A7817A" w14:textId="77777777" w:rsidR="00FD5E18" w:rsidRPr="00E55BD4" w:rsidRDefault="00FD5E18" w:rsidP="00E55BD4">
            <w:pPr>
              <w:jc w:val="center"/>
              <w:rPr>
                <w:b/>
              </w:rPr>
            </w:pPr>
            <w:r w:rsidRPr="00E55BD4">
              <w:rPr>
                <w:b/>
              </w:rPr>
              <w:t>1,79</w:t>
            </w:r>
          </w:p>
        </w:tc>
        <w:tc>
          <w:tcPr>
            <w:tcW w:w="1835" w:type="dxa"/>
            <w:shd w:val="clear" w:color="auto" w:fill="auto"/>
            <w:vAlign w:val="center"/>
          </w:tcPr>
          <w:p w14:paraId="731F072D" w14:textId="77777777" w:rsidR="00FD5E18" w:rsidRPr="00E55BD4" w:rsidRDefault="00FD5E18" w:rsidP="00E55BD4">
            <w:pPr>
              <w:jc w:val="center"/>
              <w:rPr>
                <w:b/>
              </w:rPr>
            </w:pPr>
            <w:r w:rsidRPr="00E55BD4">
              <w:rPr>
                <w:b/>
              </w:rPr>
              <w:t>0,02</w:t>
            </w:r>
          </w:p>
        </w:tc>
        <w:tc>
          <w:tcPr>
            <w:tcW w:w="1516" w:type="dxa"/>
            <w:shd w:val="clear" w:color="auto" w:fill="auto"/>
            <w:vAlign w:val="center"/>
          </w:tcPr>
          <w:p w14:paraId="08632BBB" w14:textId="77777777" w:rsidR="00FD5E18" w:rsidRPr="00E55BD4" w:rsidRDefault="00FD5E18" w:rsidP="00E55BD4">
            <w:pPr>
              <w:jc w:val="center"/>
              <w:rPr>
                <w:b/>
              </w:rPr>
            </w:pPr>
            <w:r w:rsidRPr="00E55BD4">
              <w:rPr>
                <w:b/>
              </w:rPr>
              <w:t>1,13</w:t>
            </w:r>
          </w:p>
        </w:tc>
      </w:tr>
      <w:tr w:rsidR="00FD5E18" w:rsidRPr="00E55BD4" w14:paraId="0A32677E" w14:textId="77777777" w:rsidTr="00E55BD4">
        <w:tc>
          <w:tcPr>
            <w:tcW w:w="757" w:type="dxa"/>
            <w:shd w:val="clear" w:color="auto" w:fill="auto"/>
          </w:tcPr>
          <w:p w14:paraId="68D3A4F7" w14:textId="77777777" w:rsidR="00FD5E18" w:rsidRPr="00E55BD4" w:rsidRDefault="00FD5E18" w:rsidP="00E55BD4">
            <w:pPr>
              <w:jc w:val="both"/>
              <w:rPr>
                <w:bCs/>
              </w:rPr>
            </w:pPr>
            <w:r w:rsidRPr="00E55BD4">
              <w:rPr>
                <w:bCs/>
              </w:rPr>
              <w:t>4.2.1.</w:t>
            </w:r>
          </w:p>
        </w:tc>
        <w:tc>
          <w:tcPr>
            <w:tcW w:w="2895" w:type="dxa"/>
            <w:shd w:val="clear" w:color="auto" w:fill="auto"/>
          </w:tcPr>
          <w:p w14:paraId="1A6C8C8C" w14:textId="77777777" w:rsidR="00FD5E18" w:rsidRPr="00E55BD4" w:rsidRDefault="00FD5E18" w:rsidP="00E55BD4">
            <w:pPr>
              <w:jc w:val="both"/>
              <w:rPr>
                <w:bCs/>
              </w:rPr>
            </w:pPr>
            <w:r w:rsidRPr="00E55BD4">
              <w:rPr>
                <w:rFonts w:eastAsia="TimesNewRomanPSMT"/>
                <w:lang w:eastAsia="lt-LT"/>
              </w:rPr>
              <w:t xml:space="preserve">nuotekų surinkimo </w:t>
            </w:r>
          </w:p>
        </w:tc>
        <w:tc>
          <w:tcPr>
            <w:tcW w:w="1343" w:type="dxa"/>
            <w:shd w:val="clear" w:color="auto" w:fill="auto"/>
            <w:vAlign w:val="center"/>
          </w:tcPr>
          <w:p w14:paraId="51589127" w14:textId="77777777" w:rsidR="00FD5E18" w:rsidRPr="00E55BD4" w:rsidRDefault="00FD5E18" w:rsidP="00E55BD4">
            <w:pPr>
              <w:jc w:val="center"/>
              <w:rPr>
                <w:bCs/>
              </w:rPr>
            </w:pPr>
            <w:r w:rsidRPr="00E55BD4">
              <w:rPr>
                <w:bCs/>
              </w:rPr>
              <w:t>0,51</w:t>
            </w:r>
          </w:p>
        </w:tc>
        <w:tc>
          <w:tcPr>
            <w:tcW w:w="1509" w:type="dxa"/>
            <w:shd w:val="clear" w:color="auto" w:fill="auto"/>
            <w:vAlign w:val="center"/>
          </w:tcPr>
          <w:p w14:paraId="4DC56B25" w14:textId="77777777" w:rsidR="00FD5E18" w:rsidRPr="00E55BD4" w:rsidRDefault="00FD5E18" w:rsidP="00E55BD4">
            <w:pPr>
              <w:jc w:val="center"/>
              <w:rPr>
                <w:bCs/>
              </w:rPr>
            </w:pPr>
            <w:r w:rsidRPr="00E55BD4">
              <w:rPr>
                <w:bCs/>
              </w:rPr>
              <w:t>0,51</w:t>
            </w:r>
          </w:p>
        </w:tc>
        <w:tc>
          <w:tcPr>
            <w:tcW w:w="1835" w:type="dxa"/>
            <w:shd w:val="clear" w:color="auto" w:fill="auto"/>
            <w:vAlign w:val="center"/>
          </w:tcPr>
          <w:p w14:paraId="29AC4C73" w14:textId="77777777" w:rsidR="00FD5E18" w:rsidRPr="00E55BD4" w:rsidRDefault="00FD5E18" w:rsidP="00E55BD4">
            <w:pPr>
              <w:jc w:val="center"/>
              <w:rPr>
                <w:bCs/>
              </w:rPr>
            </w:pPr>
            <w:r w:rsidRPr="00E55BD4">
              <w:rPr>
                <w:bCs/>
              </w:rPr>
              <w:t>nesikeičia</w:t>
            </w:r>
          </w:p>
        </w:tc>
        <w:tc>
          <w:tcPr>
            <w:tcW w:w="1516" w:type="dxa"/>
            <w:shd w:val="clear" w:color="auto" w:fill="auto"/>
            <w:vAlign w:val="center"/>
          </w:tcPr>
          <w:p w14:paraId="51FDA1BB" w14:textId="77777777" w:rsidR="00FD5E18" w:rsidRPr="00E55BD4" w:rsidRDefault="00FD5E18" w:rsidP="00E55BD4">
            <w:pPr>
              <w:jc w:val="center"/>
              <w:rPr>
                <w:bCs/>
              </w:rPr>
            </w:pPr>
            <w:r w:rsidRPr="00E55BD4">
              <w:rPr>
                <w:bCs/>
              </w:rPr>
              <w:t>nesikeičia</w:t>
            </w:r>
          </w:p>
        </w:tc>
      </w:tr>
      <w:tr w:rsidR="00FD5E18" w:rsidRPr="00E55BD4" w14:paraId="1E042F4E" w14:textId="77777777" w:rsidTr="00E55BD4">
        <w:tc>
          <w:tcPr>
            <w:tcW w:w="757" w:type="dxa"/>
            <w:shd w:val="clear" w:color="auto" w:fill="auto"/>
          </w:tcPr>
          <w:p w14:paraId="4AB8F71C" w14:textId="77777777" w:rsidR="00FD5E18" w:rsidRPr="00E55BD4" w:rsidRDefault="00FD5E18" w:rsidP="00E55BD4">
            <w:pPr>
              <w:jc w:val="both"/>
              <w:rPr>
                <w:bCs/>
              </w:rPr>
            </w:pPr>
            <w:r w:rsidRPr="00E55BD4">
              <w:rPr>
                <w:bCs/>
              </w:rPr>
              <w:t>4.2.2.</w:t>
            </w:r>
          </w:p>
        </w:tc>
        <w:tc>
          <w:tcPr>
            <w:tcW w:w="2895" w:type="dxa"/>
            <w:shd w:val="clear" w:color="auto" w:fill="auto"/>
          </w:tcPr>
          <w:p w14:paraId="34ECB8B3" w14:textId="77777777" w:rsidR="00FD5E18" w:rsidRPr="00E55BD4" w:rsidRDefault="00FD5E18" w:rsidP="00E55BD4">
            <w:pPr>
              <w:jc w:val="both"/>
              <w:rPr>
                <w:bCs/>
              </w:rPr>
            </w:pPr>
            <w:r w:rsidRPr="00E55BD4">
              <w:rPr>
                <w:rFonts w:eastAsia="TimesNewRomanPSMT"/>
                <w:lang w:eastAsia="lt-LT"/>
              </w:rPr>
              <w:t xml:space="preserve">nuotekų valymo </w:t>
            </w:r>
          </w:p>
        </w:tc>
        <w:tc>
          <w:tcPr>
            <w:tcW w:w="1343" w:type="dxa"/>
            <w:shd w:val="clear" w:color="auto" w:fill="auto"/>
            <w:vAlign w:val="center"/>
          </w:tcPr>
          <w:p w14:paraId="78768876" w14:textId="77777777" w:rsidR="00FD5E18" w:rsidRPr="00E55BD4" w:rsidRDefault="00FD5E18" w:rsidP="00E55BD4">
            <w:pPr>
              <w:jc w:val="center"/>
              <w:rPr>
                <w:bCs/>
              </w:rPr>
            </w:pPr>
            <w:r w:rsidRPr="00E55BD4">
              <w:rPr>
                <w:bCs/>
              </w:rPr>
              <w:t>1,17</w:t>
            </w:r>
          </w:p>
        </w:tc>
        <w:tc>
          <w:tcPr>
            <w:tcW w:w="1509" w:type="dxa"/>
            <w:shd w:val="clear" w:color="auto" w:fill="auto"/>
            <w:vAlign w:val="center"/>
          </w:tcPr>
          <w:p w14:paraId="765E041C" w14:textId="77777777" w:rsidR="00FD5E18" w:rsidRPr="00E55BD4" w:rsidRDefault="00FD5E18" w:rsidP="00E55BD4">
            <w:pPr>
              <w:jc w:val="center"/>
              <w:rPr>
                <w:bCs/>
              </w:rPr>
            </w:pPr>
            <w:r w:rsidRPr="00E55BD4">
              <w:rPr>
                <w:bCs/>
              </w:rPr>
              <w:t>1,19</w:t>
            </w:r>
          </w:p>
        </w:tc>
        <w:tc>
          <w:tcPr>
            <w:tcW w:w="1835" w:type="dxa"/>
            <w:shd w:val="clear" w:color="auto" w:fill="auto"/>
            <w:vAlign w:val="center"/>
          </w:tcPr>
          <w:p w14:paraId="0FD0A015" w14:textId="77777777" w:rsidR="00FD5E18" w:rsidRPr="00E55BD4" w:rsidRDefault="00FD5E18" w:rsidP="00E55BD4">
            <w:pPr>
              <w:jc w:val="center"/>
              <w:rPr>
                <w:bCs/>
              </w:rPr>
            </w:pPr>
            <w:r w:rsidRPr="00E55BD4">
              <w:rPr>
                <w:bCs/>
              </w:rPr>
              <w:t>0,02</w:t>
            </w:r>
          </w:p>
        </w:tc>
        <w:tc>
          <w:tcPr>
            <w:tcW w:w="1516" w:type="dxa"/>
            <w:shd w:val="clear" w:color="auto" w:fill="auto"/>
            <w:vAlign w:val="center"/>
          </w:tcPr>
          <w:p w14:paraId="519A0D7C" w14:textId="77777777" w:rsidR="00FD5E18" w:rsidRPr="00E55BD4" w:rsidRDefault="00FD5E18" w:rsidP="00E55BD4">
            <w:pPr>
              <w:jc w:val="center"/>
              <w:rPr>
                <w:bCs/>
              </w:rPr>
            </w:pPr>
            <w:r w:rsidRPr="00E55BD4">
              <w:rPr>
                <w:bCs/>
              </w:rPr>
              <w:t>1,17</w:t>
            </w:r>
          </w:p>
        </w:tc>
      </w:tr>
      <w:tr w:rsidR="00FD5E18" w:rsidRPr="00E55BD4" w14:paraId="48B33358" w14:textId="77777777" w:rsidTr="00E55BD4">
        <w:tc>
          <w:tcPr>
            <w:tcW w:w="757" w:type="dxa"/>
            <w:shd w:val="clear" w:color="auto" w:fill="auto"/>
          </w:tcPr>
          <w:p w14:paraId="21979456" w14:textId="77777777" w:rsidR="00FD5E18" w:rsidRPr="00E55BD4" w:rsidRDefault="00FD5E18" w:rsidP="00E55BD4">
            <w:pPr>
              <w:jc w:val="both"/>
              <w:rPr>
                <w:bCs/>
              </w:rPr>
            </w:pPr>
            <w:r w:rsidRPr="00E55BD4">
              <w:rPr>
                <w:bCs/>
              </w:rPr>
              <w:t>4.2.3.</w:t>
            </w:r>
          </w:p>
        </w:tc>
        <w:tc>
          <w:tcPr>
            <w:tcW w:w="2895" w:type="dxa"/>
            <w:shd w:val="clear" w:color="auto" w:fill="auto"/>
          </w:tcPr>
          <w:p w14:paraId="4F226848" w14:textId="77777777" w:rsidR="00FD5E18" w:rsidRPr="00E55BD4" w:rsidRDefault="00FD5E18" w:rsidP="00E55BD4">
            <w:pPr>
              <w:jc w:val="both"/>
              <w:rPr>
                <w:bCs/>
              </w:rPr>
            </w:pPr>
            <w:r w:rsidRPr="00E55BD4">
              <w:rPr>
                <w:rFonts w:eastAsia="TimesNewRomanPSMT"/>
                <w:lang w:eastAsia="lt-LT"/>
              </w:rPr>
              <w:t xml:space="preserve">nuotekų dumblo tvarkymo </w:t>
            </w:r>
          </w:p>
        </w:tc>
        <w:tc>
          <w:tcPr>
            <w:tcW w:w="1343" w:type="dxa"/>
            <w:shd w:val="clear" w:color="auto" w:fill="auto"/>
            <w:vAlign w:val="center"/>
          </w:tcPr>
          <w:p w14:paraId="76075F1B" w14:textId="77777777" w:rsidR="00FD5E18" w:rsidRPr="00E55BD4" w:rsidRDefault="00FD5E18" w:rsidP="00E55BD4">
            <w:pPr>
              <w:jc w:val="center"/>
              <w:rPr>
                <w:bCs/>
              </w:rPr>
            </w:pPr>
            <w:r w:rsidRPr="00E55BD4">
              <w:rPr>
                <w:bCs/>
              </w:rPr>
              <w:t>0,09</w:t>
            </w:r>
          </w:p>
        </w:tc>
        <w:tc>
          <w:tcPr>
            <w:tcW w:w="1509" w:type="dxa"/>
            <w:shd w:val="clear" w:color="auto" w:fill="auto"/>
            <w:vAlign w:val="center"/>
          </w:tcPr>
          <w:p w14:paraId="13D87D8E" w14:textId="77777777" w:rsidR="00FD5E18" w:rsidRPr="00E55BD4" w:rsidRDefault="00FD5E18" w:rsidP="00E55BD4">
            <w:pPr>
              <w:jc w:val="center"/>
              <w:rPr>
                <w:bCs/>
              </w:rPr>
            </w:pPr>
            <w:r w:rsidRPr="00E55BD4">
              <w:rPr>
                <w:bCs/>
              </w:rPr>
              <w:t>0,09</w:t>
            </w:r>
          </w:p>
        </w:tc>
        <w:tc>
          <w:tcPr>
            <w:tcW w:w="1835" w:type="dxa"/>
            <w:shd w:val="clear" w:color="auto" w:fill="auto"/>
            <w:vAlign w:val="center"/>
          </w:tcPr>
          <w:p w14:paraId="7355760B" w14:textId="77777777" w:rsidR="00FD5E18" w:rsidRPr="00E55BD4" w:rsidRDefault="00FD5E18" w:rsidP="00E55BD4">
            <w:pPr>
              <w:jc w:val="center"/>
              <w:rPr>
                <w:bCs/>
              </w:rPr>
            </w:pPr>
            <w:r w:rsidRPr="00E55BD4">
              <w:rPr>
                <w:bCs/>
              </w:rPr>
              <w:t>nesikeičia</w:t>
            </w:r>
          </w:p>
        </w:tc>
        <w:tc>
          <w:tcPr>
            <w:tcW w:w="1516" w:type="dxa"/>
            <w:shd w:val="clear" w:color="auto" w:fill="auto"/>
            <w:vAlign w:val="center"/>
          </w:tcPr>
          <w:p w14:paraId="309E6C73" w14:textId="77777777" w:rsidR="00FD5E18" w:rsidRPr="00E55BD4" w:rsidRDefault="00FD5E18" w:rsidP="00E55BD4">
            <w:pPr>
              <w:jc w:val="center"/>
              <w:rPr>
                <w:bCs/>
              </w:rPr>
            </w:pPr>
            <w:r w:rsidRPr="00E55BD4">
              <w:rPr>
                <w:bCs/>
              </w:rPr>
              <w:t>nesikeičia</w:t>
            </w:r>
          </w:p>
        </w:tc>
      </w:tr>
      <w:tr w:rsidR="00FD5E18" w:rsidRPr="00E55BD4" w14:paraId="7C26EF29" w14:textId="77777777" w:rsidTr="00E55BD4">
        <w:tc>
          <w:tcPr>
            <w:tcW w:w="757" w:type="dxa"/>
            <w:shd w:val="clear" w:color="auto" w:fill="auto"/>
          </w:tcPr>
          <w:p w14:paraId="1DC5A052" w14:textId="77777777" w:rsidR="00FD5E18" w:rsidRPr="00E55BD4" w:rsidRDefault="00FD5E18" w:rsidP="00E55BD4">
            <w:pPr>
              <w:jc w:val="both"/>
              <w:rPr>
                <w:b/>
              </w:rPr>
            </w:pPr>
            <w:r w:rsidRPr="00E55BD4">
              <w:rPr>
                <w:b/>
              </w:rPr>
              <w:t>5.</w:t>
            </w:r>
          </w:p>
        </w:tc>
        <w:tc>
          <w:tcPr>
            <w:tcW w:w="2895" w:type="dxa"/>
            <w:shd w:val="clear" w:color="auto" w:fill="auto"/>
          </w:tcPr>
          <w:p w14:paraId="41A42C1A" w14:textId="77777777" w:rsidR="00FD5E18" w:rsidRPr="00E55BD4" w:rsidRDefault="00FD5E18" w:rsidP="00E55BD4">
            <w:pPr>
              <w:autoSpaceDE w:val="0"/>
              <w:autoSpaceDN w:val="0"/>
              <w:adjustRightInd w:val="0"/>
              <w:rPr>
                <w:rFonts w:eastAsia="TimesNewRomanPSMT"/>
                <w:b/>
                <w:lang w:eastAsia="lt-LT"/>
              </w:rPr>
            </w:pPr>
            <w:r w:rsidRPr="00E55BD4">
              <w:rPr>
                <w:rFonts w:eastAsia="TimesNewRomanPSMT"/>
                <w:b/>
                <w:lang w:eastAsia="lt-LT"/>
              </w:rPr>
              <w:t>Paviršinių nuotekų tvarkymo paslaugų kaina</w:t>
            </w:r>
          </w:p>
          <w:p w14:paraId="523CB1C5" w14:textId="77777777" w:rsidR="00FD5E18" w:rsidRPr="00E55BD4" w:rsidRDefault="00FD5E18" w:rsidP="00E55BD4">
            <w:pPr>
              <w:autoSpaceDE w:val="0"/>
              <w:autoSpaceDN w:val="0"/>
              <w:adjustRightInd w:val="0"/>
              <w:rPr>
                <w:rFonts w:eastAsia="TimesNewRomanPSMT"/>
                <w:b/>
                <w:lang w:eastAsia="lt-LT"/>
              </w:rPr>
            </w:pPr>
            <w:r w:rsidRPr="00E55BD4">
              <w:rPr>
                <w:rFonts w:eastAsia="TimesNewRomanPSMT"/>
                <w:b/>
                <w:lang w:eastAsia="lt-LT"/>
              </w:rPr>
              <w:t>abonentams, perkantiems paviršinių nuotekų</w:t>
            </w:r>
          </w:p>
          <w:p w14:paraId="7D7CA19D" w14:textId="77777777" w:rsidR="00FD5E18" w:rsidRPr="00E55BD4" w:rsidRDefault="00FD5E18" w:rsidP="00E55BD4">
            <w:pPr>
              <w:jc w:val="both"/>
              <w:rPr>
                <w:b/>
              </w:rPr>
            </w:pPr>
            <w:r w:rsidRPr="00E55BD4">
              <w:rPr>
                <w:rFonts w:eastAsia="TimesNewRomanPSMT"/>
                <w:b/>
                <w:lang w:eastAsia="lt-LT"/>
              </w:rPr>
              <w:t>tvarkymo paslaugas</w:t>
            </w:r>
          </w:p>
        </w:tc>
        <w:tc>
          <w:tcPr>
            <w:tcW w:w="1343" w:type="dxa"/>
            <w:shd w:val="clear" w:color="auto" w:fill="auto"/>
            <w:vAlign w:val="center"/>
          </w:tcPr>
          <w:p w14:paraId="3150F614" w14:textId="77777777" w:rsidR="00FD5E18" w:rsidRPr="00E55BD4" w:rsidRDefault="00FD5E18" w:rsidP="00E55BD4">
            <w:pPr>
              <w:jc w:val="center"/>
              <w:rPr>
                <w:b/>
              </w:rPr>
            </w:pPr>
            <w:r w:rsidRPr="00E55BD4">
              <w:rPr>
                <w:b/>
              </w:rPr>
              <w:t>0,07</w:t>
            </w:r>
          </w:p>
        </w:tc>
        <w:tc>
          <w:tcPr>
            <w:tcW w:w="1509" w:type="dxa"/>
            <w:shd w:val="clear" w:color="auto" w:fill="auto"/>
            <w:vAlign w:val="center"/>
          </w:tcPr>
          <w:p w14:paraId="09FD226E" w14:textId="77777777" w:rsidR="00FD5E18" w:rsidRPr="00E55BD4" w:rsidRDefault="00FD5E18" w:rsidP="00E55BD4">
            <w:pPr>
              <w:jc w:val="center"/>
              <w:rPr>
                <w:b/>
              </w:rPr>
            </w:pPr>
            <w:r w:rsidRPr="00E55BD4">
              <w:rPr>
                <w:b/>
              </w:rPr>
              <w:t>0,07</w:t>
            </w:r>
          </w:p>
        </w:tc>
        <w:tc>
          <w:tcPr>
            <w:tcW w:w="1835" w:type="dxa"/>
            <w:shd w:val="clear" w:color="auto" w:fill="auto"/>
            <w:vAlign w:val="center"/>
          </w:tcPr>
          <w:p w14:paraId="4F1E7C2C" w14:textId="77777777" w:rsidR="00FD5E18" w:rsidRPr="00E55BD4" w:rsidRDefault="00FD5E18" w:rsidP="00E55BD4">
            <w:pPr>
              <w:jc w:val="center"/>
              <w:rPr>
                <w:b/>
              </w:rPr>
            </w:pPr>
            <w:r w:rsidRPr="00E55BD4">
              <w:rPr>
                <w:b/>
              </w:rPr>
              <w:t>nesikeičia</w:t>
            </w:r>
          </w:p>
        </w:tc>
        <w:tc>
          <w:tcPr>
            <w:tcW w:w="1516" w:type="dxa"/>
            <w:shd w:val="clear" w:color="auto" w:fill="auto"/>
            <w:vAlign w:val="center"/>
          </w:tcPr>
          <w:p w14:paraId="5F8E9640" w14:textId="77777777" w:rsidR="00FD5E18" w:rsidRPr="00E55BD4" w:rsidRDefault="00FD5E18" w:rsidP="00E55BD4">
            <w:pPr>
              <w:jc w:val="center"/>
              <w:rPr>
                <w:b/>
              </w:rPr>
            </w:pPr>
            <w:r w:rsidRPr="00E55BD4">
              <w:rPr>
                <w:b/>
              </w:rPr>
              <w:t>nesikeičia</w:t>
            </w:r>
          </w:p>
        </w:tc>
      </w:tr>
    </w:tbl>
    <w:p w14:paraId="7CB1F6E5" w14:textId="77777777" w:rsidR="00C35528" w:rsidRPr="004D6957" w:rsidRDefault="00C35528" w:rsidP="00500043">
      <w:pPr>
        <w:spacing w:line="360" w:lineRule="auto"/>
        <w:ind w:firstLine="720"/>
        <w:jc w:val="both"/>
        <w:rPr>
          <w:bCs/>
        </w:rPr>
      </w:pPr>
    </w:p>
    <w:p w14:paraId="5259AAE6" w14:textId="2F479C71" w:rsidR="000C5A83" w:rsidRPr="004D6957" w:rsidRDefault="000C5A83" w:rsidP="00500043">
      <w:pPr>
        <w:pStyle w:val="HTMLiankstoformatuotas"/>
        <w:spacing w:line="360" w:lineRule="auto"/>
        <w:ind w:firstLine="741"/>
        <w:jc w:val="both"/>
        <w:rPr>
          <w:rFonts w:ascii="Times New Roman" w:hAnsi="Times New Roman" w:cs="Times New Roman"/>
          <w:sz w:val="24"/>
          <w:szCs w:val="24"/>
          <w:lang w:val="lt-LT"/>
        </w:rPr>
      </w:pPr>
      <w:r w:rsidRPr="004D6957">
        <w:rPr>
          <w:rFonts w:ascii="Times New Roman" w:hAnsi="Times New Roman" w:cs="Times New Roman"/>
          <w:sz w:val="24"/>
          <w:szCs w:val="24"/>
          <w:lang w:val="lt-LT"/>
        </w:rPr>
        <w:t xml:space="preserve">Viešųjų vandens tiekėjų tiekiamo geriamojo vandens ir nuotekų tvarkymo paslaugų kainodara nustatoma vadovaujantis nediskriminavimo, sąnaudų susigrąžinimo principais ir principu „teršėjas moka“. Kainos gali būti diferencijuojamos pagal atskiras abonentų (vartotojų) kategorijas, atsižvelgiant į kriterijus, susijusius su būtinosiomis sąnaudomis, reikalingomis vandeniui patiekti ir (arba) nuotekų tvarkymo paslaugoms teikti tam tikros kategorijos abonentams (vartotojams). Nuotekų tvarkymo paslaugų kainos turi priklausyti nuo abonento (vartotojo) išleidžiamų teršalų kiekio ir taršos pobūdžio. Geriamojo vandens ir nuotekų tvarkymo paslaugų kainos skaičiuojamos pagal sąnaudas atskiroms geriamojo vandens tiekimo ir nuotekų tvarkymo veiklos dalims, kurias nustato Valstybinė </w:t>
      </w:r>
      <w:r w:rsidR="00A90A03">
        <w:rPr>
          <w:rFonts w:ascii="Times New Roman" w:hAnsi="Times New Roman" w:cs="Times New Roman"/>
          <w:sz w:val="24"/>
          <w:szCs w:val="24"/>
          <w:lang w:val="lt-LT"/>
        </w:rPr>
        <w:t>energetikos</w:t>
      </w:r>
      <w:r w:rsidRPr="004D6957">
        <w:rPr>
          <w:rFonts w:ascii="Times New Roman" w:hAnsi="Times New Roman" w:cs="Times New Roman"/>
          <w:sz w:val="24"/>
          <w:szCs w:val="24"/>
          <w:lang w:val="lt-LT"/>
        </w:rPr>
        <w:t xml:space="preserve"> </w:t>
      </w:r>
      <w:r w:rsidR="00A90A03">
        <w:rPr>
          <w:rFonts w:ascii="Times New Roman" w:hAnsi="Times New Roman" w:cs="Times New Roman"/>
          <w:sz w:val="24"/>
          <w:szCs w:val="24"/>
          <w:lang w:val="lt-LT"/>
        </w:rPr>
        <w:t>reguliavimo taryba</w:t>
      </w:r>
      <w:r w:rsidRPr="004D6957">
        <w:rPr>
          <w:rFonts w:ascii="Times New Roman" w:hAnsi="Times New Roman" w:cs="Times New Roman"/>
          <w:sz w:val="24"/>
          <w:szCs w:val="24"/>
          <w:lang w:val="lt-LT"/>
        </w:rPr>
        <w:t>.</w:t>
      </w:r>
    </w:p>
    <w:p w14:paraId="54FE0F32" w14:textId="77777777" w:rsidR="00FD5E18" w:rsidRPr="00595A65" w:rsidRDefault="00595A65" w:rsidP="00500043">
      <w:pPr>
        <w:spacing w:line="360" w:lineRule="auto"/>
        <w:ind w:firstLine="720"/>
        <w:jc w:val="both"/>
      </w:pPr>
      <w:r>
        <w:t xml:space="preserve">Perskaičiuotų </w:t>
      </w:r>
      <w:r w:rsidRPr="004D6957">
        <w:t>geriamojo vandens tiekimo ir nuotekų tvarkymo paslaugų kainų</w:t>
      </w:r>
      <w:r>
        <w:t xml:space="preserve"> padidėjimą labiausiai įtakojo </w:t>
      </w:r>
      <w:r>
        <w:rPr>
          <w:lang w:eastAsia="lt-LT"/>
        </w:rPr>
        <w:t xml:space="preserve">elektros energijos kainos padidėjimas, </w:t>
      </w:r>
      <w:r w:rsidRPr="00595A65">
        <w:rPr>
          <w:lang w:eastAsia="lt-LT"/>
        </w:rPr>
        <w:t>mokesčio už gamtos išteklius tarif</w:t>
      </w:r>
      <w:r>
        <w:rPr>
          <w:lang w:eastAsia="lt-LT"/>
        </w:rPr>
        <w:t>ų</w:t>
      </w:r>
      <w:r w:rsidRPr="00595A65">
        <w:rPr>
          <w:lang w:eastAsia="lt-LT"/>
        </w:rPr>
        <w:t xml:space="preserve"> geriamajam</w:t>
      </w:r>
      <w:r>
        <w:rPr>
          <w:lang w:eastAsia="lt-LT"/>
        </w:rPr>
        <w:t xml:space="preserve"> vandeniui, tiekiamam vartotojui ir abonentui, padidėjimas, </w:t>
      </w:r>
      <w:r w:rsidRPr="00595A65">
        <w:rPr>
          <w:lang w:eastAsia="lt-LT"/>
        </w:rPr>
        <w:t xml:space="preserve">Finansų ministerijos skelbiamo darbo užmokesčio </w:t>
      </w:r>
      <w:r>
        <w:rPr>
          <w:lang w:eastAsia="lt-LT"/>
        </w:rPr>
        <w:t>padidėjimas</w:t>
      </w:r>
      <w:r w:rsidR="00C0549B">
        <w:rPr>
          <w:lang w:eastAsia="lt-LT"/>
        </w:rPr>
        <w:t>.</w:t>
      </w:r>
    </w:p>
    <w:p w14:paraId="3199E29B" w14:textId="77777777" w:rsidR="000C5A83" w:rsidRPr="004D6957" w:rsidRDefault="000C5A83" w:rsidP="00500043">
      <w:pPr>
        <w:spacing w:line="360" w:lineRule="auto"/>
        <w:ind w:firstLine="720"/>
        <w:jc w:val="both"/>
      </w:pPr>
      <w:r w:rsidRPr="004D6957">
        <w:t>Įgyvendinus</w:t>
      </w:r>
      <w:r w:rsidR="002C4B93" w:rsidRPr="004D6957">
        <w:t xml:space="preserve"> Lazdijų</w:t>
      </w:r>
      <w:r w:rsidRPr="004D6957">
        <w:t xml:space="preserve"> rajono savivaldybės tarybos sprendimą,</w:t>
      </w:r>
      <w:r w:rsidR="00DA5D5A" w:rsidRPr="004D6957">
        <w:t xml:space="preserve"> </w:t>
      </w:r>
      <w:r w:rsidR="00C6322F" w:rsidRPr="004D6957">
        <w:t xml:space="preserve">bus </w:t>
      </w:r>
      <w:r w:rsidR="00763001" w:rsidRPr="004D6957">
        <w:t xml:space="preserve">padengtos UAB „Lazdijų vanduo“ </w:t>
      </w:r>
      <w:r w:rsidR="00763001" w:rsidRPr="004D6957">
        <w:rPr>
          <w:color w:val="000000"/>
        </w:rPr>
        <w:t>tiekiamo geriamojo vandens ir teikiamų nuotekų tvarkymo paslaugų būtinosios sąnaudos, susijusios su viešojo vandens tiekimo veikla</w:t>
      </w:r>
      <w:r w:rsidR="00763001" w:rsidRPr="004D6957">
        <w:t xml:space="preserve">, taip pat bus užtikrintas UAB „Lazdijų vanduo“ </w:t>
      </w:r>
      <w:r w:rsidR="00763001" w:rsidRPr="004D6957">
        <w:rPr>
          <w:color w:val="000000"/>
        </w:rPr>
        <w:t>veiklos ir plėtros planų įgyvendinimas.</w:t>
      </w:r>
    </w:p>
    <w:p w14:paraId="77972E4B" w14:textId="77777777" w:rsidR="000C5A83" w:rsidRPr="004D6957" w:rsidRDefault="000C5A83" w:rsidP="00BB7A22">
      <w:pPr>
        <w:spacing w:line="360" w:lineRule="auto"/>
        <w:ind w:firstLine="709"/>
        <w:jc w:val="both"/>
      </w:pPr>
      <w:r w:rsidRPr="004D6957">
        <w:t>Galimos neigiamos pasekmės priėmus projektą, kokių priemonių reikėtų imtis,</w:t>
      </w:r>
      <w:r w:rsidR="00BB7A22" w:rsidRPr="004D6957">
        <w:t xml:space="preserve"> </w:t>
      </w:r>
      <w:r w:rsidRPr="004D6957">
        <w:t xml:space="preserve">kad tokių pasekmių būtų išvengta – priėmus šį Lazdijų rajono savivaldybės tarybos sprendimą, </w:t>
      </w:r>
      <w:r w:rsidR="00BB7A22" w:rsidRPr="004D6957">
        <w:t>neigiamų pasekmių nenumatoma.</w:t>
      </w:r>
    </w:p>
    <w:p w14:paraId="7DD7F937" w14:textId="77777777" w:rsidR="000C5A83" w:rsidRPr="004D6957" w:rsidRDefault="000C5A83" w:rsidP="00500043">
      <w:pPr>
        <w:spacing w:line="360" w:lineRule="auto"/>
        <w:ind w:firstLine="720"/>
        <w:jc w:val="both"/>
      </w:pPr>
      <w:r w:rsidRPr="004D6957">
        <w:lastRenderedPageBreak/>
        <w:t>Kokie šios srities aktai tebegalioja ir kokius galiojančius aktus būtina pakeisti ar panaikinti, priėmus teikiamą projektą – priėmus šį Lazdijų rajono savivaldybės tarybos sprendimą, galiojančių teisės aktų</w:t>
      </w:r>
      <w:r w:rsidR="000A338F" w:rsidRPr="004D6957">
        <w:t xml:space="preserve">, </w:t>
      </w:r>
      <w:r w:rsidRPr="004D6957">
        <w:t xml:space="preserve">pakeisti ar panaikinti nereikės. </w:t>
      </w:r>
      <w:r w:rsidR="00BB7A22" w:rsidRPr="004D6957">
        <w:t xml:space="preserve"> </w:t>
      </w:r>
    </w:p>
    <w:p w14:paraId="201972D3" w14:textId="1B9D3A2C" w:rsidR="000C5A83" w:rsidRPr="004D6957" w:rsidRDefault="000C5A83" w:rsidP="0002176E">
      <w:pPr>
        <w:spacing w:line="360" w:lineRule="auto"/>
        <w:ind w:firstLine="720"/>
        <w:jc w:val="both"/>
      </w:pPr>
      <w:r w:rsidRPr="004D6957">
        <w:t>Rengiant projektą gauti specialistų vertinimai ir išvados – dėl sprendimo projekto pastabų ir pasiūlymų negauta.</w:t>
      </w:r>
    </w:p>
    <w:p w14:paraId="0B56D455" w14:textId="77777777" w:rsidR="000C5A83" w:rsidRPr="004D6957" w:rsidRDefault="000C5A83" w:rsidP="00500043">
      <w:pPr>
        <w:spacing w:line="360" w:lineRule="auto"/>
        <w:ind w:firstLine="720"/>
        <w:jc w:val="both"/>
      </w:pPr>
      <w:r w:rsidRPr="004D6957">
        <w:t xml:space="preserve">Sprendimo projektą parengė Lazdijų rajono savivaldybės administracijos </w:t>
      </w:r>
      <w:r w:rsidR="0017075A">
        <w:t xml:space="preserve">Vietinio ūkio skyriaus </w:t>
      </w:r>
      <w:r w:rsidR="00125F4E">
        <w:t>vedėja Indrė Adomynienė</w:t>
      </w:r>
    </w:p>
    <w:p w14:paraId="1D1C85E4" w14:textId="77777777" w:rsidR="000C5A83" w:rsidRPr="004D6957" w:rsidRDefault="000C5A83" w:rsidP="00500043">
      <w:pPr>
        <w:spacing w:line="360" w:lineRule="auto"/>
        <w:jc w:val="both"/>
      </w:pPr>
    </w:p>
    <w:p w14:paraId="6A493A77" w14:textId="77777777" w:rsidR="000C5A83" w:rsidRPr="004D6957" w:rsidRDefault="000C5A83" w:rsidP="00500043">
      <w:pPr>
        <w:spacing w:line="360" w:lineRule="auto"/>
        <w:jc w:val="both"/>
      </w:pPr>
    </w:p>
    <w:p w14:paraId="1654E1BE" w14:textId="77777777" w:rsidR="000C5A83" w:rsidRPr="004D6957" w:rsidRDefault="000C5A83" w:rsidP="00500043">
      <w:pPr>
        <w:spacing w:line="360" w:lineRule="auto"/>
        <w:jc w:val="both"/>
      </w:pPr>
    </w:p>
    <w:p w14:paraId="5164E8D3" w14:textId="77777777" w:rsidR="00F317DF" w:rsidRPr="004D6957" w:rsidRDefault="00125F4E" w:rsidP="00500043">
      <w:pPr>
        <w:tabs>
          <w:tab w:val="left" w:pos="0"/>
        </w:tabs>
        <w:spacing w:line="360" w:lineRule="auto"/>
        <w:jc w:val="both"/>
      </w:pPr>
      <w:r>
        <w:t xml:space="preserve">Vietinio ūkio skyriaus vedėja </w:t>
      </w:r>
      <w:r>
        <w:tab/>
      </w:r>
      <w:r>
        <w:tab/>
      </w:r>
      <w:r>
        <w:tab/>
      </w:r>
      <w:r>
        <w:tab/>
      </w:r>
      <w:r>
        <w:tab/>
      </w:r>
      <w:r>
        <w:tab/>
        <w:t>Indrė Adomynienė</w:t>
      </w:r>
    </w:p>
    <w:sectPr w:rsidR="00F317DF" w:rsidRPr="004D6957" w:rsidSect="00EC22CB">
      <w:pgSz w:w="11907" w:h="16840" w:code="9"/>
      <w:pgMar w:top="1134" w:right="567" w:bottom="1134" w:left="1701" w:header="720" w:footer="720" w:gutter="0"/>
      <w:cols w:space="26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0B1E4" w14:textId="77777777" w:rsidR="006636FE" w:rsidRDefault="006636FE">
      <w:r>
        <w:separator/>
      </w:r>
    </w:p>
  </w:endnote>
  <w:endnote w:type="continuationSeparator" w:id="0">
    <w:p w14:paraId="54E4DEBC" w14:textId="77777777" w:rsidR="006636FE" w:rsidRDefault="0066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97743" w14:textId="77777777" w:rsidR="006636FE" w:rsidRDefault="006636FE">
      <w:r>
        <w:separator/>
      </w:r>
    </w:p>
  </w:footnote>
  <w:footnote w:type="continuationSeparator" w:id="0">
    <w:p w14:paraId="76146776" w14:textId="77777777" w:rsidR="006636FE" w:rsidRDefault="00663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E27E6" w14:textId="77777777" w:rsidR="005F0AAA" w:rsidRDefault="005F0AAA" w:rsidP="00B633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DD6F48" w14:textId="77777777" w:rsidR="005F0AAA" w:rsidRDefault="005F0AA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664F" w14:textId="77777777" w:rsidR="00B633A0" w:rsidRPr="009B2F4B" w:rsidRDefault="00B633A0" w:rsidP="00AF1603">
    <w:pPr>
      <w:pStyle w:val="Antrats"/>
      <w:framePr w:wrap="around" w:vAnchor="text" w:hAnchor="margin" w:xAlign="center" w:y="1"/>
      <w:rPr>
        <w:rStyle w:val="Puslapionumeris"/>
      </w:rPr>
    </w:pPr>
    <w:r w:rsidRPr="009B2F4B">
      <w:rPr>
        <w:rStyle w:val="Puslapionumeris"/>
      </w:rPr>
      <w:fldChar w:fldCharType="begin"/>
    </w:r>
    <w:r w:rsidRPr="009B2F4B">
      <w:rPr>
        <w:rStyle w:val="Puslapionumeris"/>
      </w:rPr>
      <w:instrText xml:space="preserve">PAGE  </w:instrText>
    </w:r>
    <w:r w:rsidRPr="009B2F4B">
      <w:rPr>
        <w:rStyle w:val="Puslapionumeris"/>
      </w:rPr>
      <w:fldChar w:fldCharType="separate"/>
    </w:r>
    <w:r w:rsidR="009D694A" w:rsidRPr="009B2F4B">
      <w:rPr>
        <w:rStyle w:val="Puslapionumeris"/>
        <w:noProof/>
      </w:rPr>
      <w:t>2</w:t>
    </w:r>
    <w:r w:rsidRPr="009B2F4B">
      <w:rPr>
        <w:rStyle w:val="Puslapionumeris"/>
      </w:rPr>
      <w:fldChar w:fldCharType="end"/>
    </w:r>
  </w:p>
  <w:p w14:paraId="5CC3BE16" w14:textId="77777777" w:rsidR="00B633A0" w:rsidRDefault="00B633A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08DE1" w14:textId="77777777" w:rsidR="005F0AAA" w:rsidRPr="009265F3" w:rsidRDefault="005F0AAA" w:rsidP="00B96724">
    <w:pPr>
      <w:pStyle w:val="Antrats"/>
      <w:ind w:left="6545"/>
      <w:rPr>
        <w:b/>
        <w:sz w:val="26"/>
        <w:szCs w:val="26"/>
      </w:rPr>
    </w:pPr>
    <w:r w:rsidRPr="009265F3">
      <w:rPr>
        <w:b/>
        <w:sz w:val="26"/>
        <w:szCs w:val="26"/>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47842"/>
    <w:multiLevelType w:val="hybridMultilevel"/>
    <w:tmpl w:val="902698B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D114B84"/>
    <w:multiLevelType w:val="hybridMultilevel"/>
    <w:tmpl w:val="282EEF9C"/>
    <w:lvl w:ilvl="0" w:tplc="231E77A2">
      <w:start w:val="1"/>
      <w:numFmt w:val="bullet"/>
      <w:suff w:val="space"/>
      <w:lvlText w:val=""/>
      <w:lvlJc w:val="left"/>
      <w:pPr>
        <w:ind w:left="567" w:firstLine="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2491770A"/>
    <w:multiLevelType w:val="multilevel"/>
    <w:tmpl w:val="FC387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233888"/>
    <w:multiLevelType w:val="hybridMultilevel"/>
    <w:tmpl w:val="CC8A7FB4"/>
    <w:lvl w:ilvl="0" w:tplc="0DE45442">
      <w:start w:val="1"/>
      <w:numFmt w:val="decimal"/>
      <w:suff w:val="space"/>
      <w:lvlText w:val="%1)"/>
      <w:lvlJc w:val="left"/>
      <w:pPr>
        <w:ind w:left="567" w:firstLine="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3BCB2348"/>
    <w:multiLevelType w:val="hybridMultilevel"/>
    <w:tmpl w:val="E098CB4C"/>
    <w:lvl w:ilvl="0" w:tplc="2C46C2FC">
      <w:start w:val="1"/>
      <w:numFmt w:val="decimal"/>
      <w:suff w:val="space"/>
      <w:lvlText w:val="%1."/>
      <w:lvlJc w:val="left"/>
      <w:pPr>
        <w:ind w:left="567" w:firstLine="0"/>
      </w:pPr>
      <w:rPr>
        <w:rFonts w:hint="default"/>
      </w:rPr>
    </w:lvl>
    <w:lvl w:ilvl="1" w:tplc="04270019" w:tentative="1">
      <w:start w:val="1"/>
      <w:numFmt w:val="lowerLetter"/>
      <w:lvlText w:val="%2."/>
      <w:lvlJc w:val="left"/>
      <w:pPr>
        <w:ind w:left="5345" w:hanging="360"/>
      </w:pPr>
    </w:lvl>
    <w:lvl w:ilvl="2" w:tplc="0427001B" w:tentative="1">
      <w:start w:val="1"/>
      <w:numFmt w:val="lowerRoman"/>
      <w:lvlText w:val="%3."/>
      <w:lvlJc w:val="right"/>
      <w:pPr>
        <w:ind w:left="6065" w:hanging="180"/>
      </w:pPr>
    </w:lvl>
    <w:lvl w:ilvl="3" w:tplc="0427000F" w:tentative="1">
      <w:start w:val="1"/>
      <w:numFmt w:val="decimal"/>
      <w:lvlText w:val="%4."/>
      <w:lvlJc w:val="left"/>
      <w:pPr>
        <w:ind w:left="6785" w:hanging="360"/>
      </w:pPr>
    </w:lvl>
    <w:lvl w:ilvl="4" w:tplc="04270019" w:tentative="1">
      <w:start w:val="1"/>
      <w:numFmt w:val="lowerLetter"/>
      <w:lvlText w:val="%5."/>
      <w:lvlJc w:val="left"/>
      <w:pPr>
        <w:ind w:left="7505" w:hanging="360"/>
      </w:pPr>
    </w:lvl>
    <w:lvl w:ilvl="5" w:tplc="0427001B" w:tentative="1">
      <w:start w:val="1"/>
      <w:numFmt w:val="lowerRoman"/>
      <w:lvlText w:val="%6."/>
      <w:lvlJc w:val="right"/>
      <w:pPr>
        <w:ind w:left="8225" w:hanging="180"/>
      </w:pPr>
    </w:lvl>
    <w:lvl w:ilvl="6" w:tplc="0427000F" w:tentative="1">
      <w:start w:val="1"/>
      <w:numFmt w:val="decimal"/>
      <w:lvlText w:val="%7."/>
      <w:lvlJc w:val="left"/>
      <w:pPr>
        <w:ind w:left="8945" w:hanging="360"/>
      </w:pPr>
    </w:lvl>
    <w:lvl w:ilvl="7" w:tplc="04270019" w:tentative="1">
      <w:start w:val="1"/>
      <w:numFmt w:val="lowerLetter"/>
      <w:lvlText w:val="%8."/>
      <w:lvlJc w:val="left"/>
      <w:pPr>
        <w:ind w:left="9665" w:hanging="360"/>
      </w:pPr>
    </w:lvl>
    <w:lvl w:ilvl="8" w:tplc="0427001B" w:tentative="1">
      <w:start w:val="1"/>
      <w:numFmt w:val="lowerRoman"/>
      <w:lvlText w:val="%9."/>
      <w:lvlJc w:val="right"/>
      <w:pPr>
        <w:ind w:left="10385" w:hanging="180"/>
      </w:pPr>
    </w:lvl>
  </w:abstractNum>
  <w:abstractNum w:abstractNumId="5" w15:restartNumberingAfterBreak="0">
    <w:nsid w:val="6B1F510D"/>
    <w:multiLevelType w:val="hybridMultilevel"/>
    <w:tmpl w:val="14E4D8B0"/>
    <w:lvl w:ilvl="0" w:tplc="C05E8A38">
      <w:start w:val="1"/>
      <w:numFmt w:val="decimal"/>
      <w:suff w:val="space"/>
      <w:lvlText w:val="%1."/>
      <w:lvlJc w:val="left"/>
      <w:pPr>
        <w:ind w:left="567" w:firstLine="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5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6B5C"/>
    <w:rsid w:val="00005B4E"/>
    <w:rsid w:val="000127CF"/>
    <w:rsid w:val="0001629E"/>
    <w:rsid w:val="0002176E"/>
    <w:rsid w:val="00024E9B"/>
    <w:rsid w:val="00026E1E"/>
    <w:rsid w:val="000318D4"/>
    <w:rsid w:val="00034D6B"/>
    <w:rsid w:val="000647EF"/>
    <w:rsid w:val="00076B65"/>
    <w:rsid w:val="000906AF"/>
    <w:rsid w:val="0009078C"/>
    <w:rsid w:val="00091830"/>
    <w:rsid w:val="000929B4"/>
    <w:rsid w:val="000A338F"/>
    <w:rsid w:val="000B1106"/>
    <w:rsid w:val="000C5A83"/>
    <w:rsid w:val="000C634F"/>
    <w:rsid w:val="000D22CA"/>
    <w:rsid w:val="000D6F38"/>
    <w:rsid w:val="000F1952"/>
    <w:rsid w:val="000F506C"/>
    <w:rsid w:val="00110894"/>
    <w:rsid w:val="00125F4E"/>
    <w:rsid w:val="0013661D"/>
    <w:rsid w:val="0014003A"/>
    <w:rsid w:val="001700F0"/>
    <w:rsid w:val="0017075A"/>
    <w:rsid w:val="001979A1"/>
    <w:rsid w:val="001B225B"/>
    <w:rsid w:val="001C00D7"/>
    <w:rsid w:val="001C162C"/>
    <w:rsid w:val="001E6613"/>
    <w:rsid w:val="001E6B22"/>
    <w:rsid w:val="001F1F28"/>
    <w:rsid w:val="00217335"/>
    <w:rsid w:val="00233F1D"/>
    <w:rsid w:val="0027276A"/>
    <w:rsid w:val="002778FE"/>
    <w:rsid w:val="00281B9D"/>
    <w:rsid w:val="002839AD"/>
    <w:rsid w:val="00292D1A"/>
    <w:rsid w:val="00294626"/>
    <w:rsid w:val="002C4B93"/>
    <w:rsid w:val="002D4646"/>
    <w:rsid w:val="002E0AA5"/>
    <w:rsid w:val="002F38BB"/>
    <w:rsid w:val="00341D76"/>
    <w:rsid w:val="003424A6"/>
    <w:rsid w:val="00345DF6"/>
    <w:rsid w:val="0036060E"/>
    <w:rsid w:val="003903C0"/>
    <w:rsid w:val="00393713"/>
    <w:rsid w:val="003A68F3"/>
    <w:rsid w:val="003B2BE2"/>
    <w:rsid w:val="003C32D2"/>
    <w:rsid w:val="003C4FCC"/>
    <w:rsid w:val="003D4712"/>
    <w:rsid w:val="003D745C"/>
    <w:rsid w:val="003F6EEC"/>
    <w:rsid w:val="004133EC"/>
    <w:rsid w:val="00426A2F"/>
    <w:rsid w:val="004302A3"/>
    <w:rsid w:val="00432E14"/>
    <w:rsid w:val="0043467F"/>
    <w:rsid w:val="00442453"/>
    <w:rsid w:val="00463F5D"/>
    <w:rsid w:val="004651BD"/>
    <w:rsid w:val="004700EB"/>
    <w:rsid w:val="00482817"/>
    <w:rsid w:val="00497D1E"/>
    <w:rsid w:val="004A0ED1"/>
    <w:rsid w:val="004C1C05"/>
    <w:rsid w:val="004C2235"/>
    <w:rsid w:val="004C6F11"/>
    <w:rsid w:val="004C74A9"/>
    <w:rsid w:val="004C7A89"/>
    <w:rsid w:val="004D6957"/>
    <w:rsid w:val="004E369F"/>
    <w:rsid w:val="004E3E48"/>
    <w:rsid w:val="004F785E"/>
    <w:rsid w:val="00500043"/>
    <w:rsid w:val="0051249F"/>
    <w:rsid w:val="0051799C"/>
    <w:rsid w:val="005261A6"/>
    <w:rsid w:val="00531C2E"/>
    <w:rsid w:val="00533477"/>
    <w:rsid w:val="0057424C"/>
    <w:rsid w:val="00576A98"/>
    <w:rsid w:val="00576C67"/>
    <w:rsid w:val="005770DC"/>
    <w:rsid w:val="00595A65"/>
    <w:rsid w:val="005B0B55"/>
    <w:rsid w:val="005B1C45"/>
    <w:rsid w:val="005B2226"/>
    <w:rsid w:val="005B370D"/>
    <w:rsid w:val="005C5D69"/>
    <w:rsid w:val="005F03AC"/>
    <w:rsid w:val="005F0AAA"/>
    <w:rsid w:val="00601D8A"/>
    <w:rsid w:val="0060730E"/>
    <w:rsid w:val="00614A24"/>
    <w:rsid w:val="00616A84"/>
    <w:rsid w:val="0062074A"/>
    <w:rsid w:val="0062555E"/>
    <w:rsid w:val="00625F8E"/>
    <w:rsid w:val="00633813"/>
    <w:rsid w:val="00635CBB"/>
    <w:rsid w:val="006438FE"/>
    <w:rsid w:val="006462F9"/>
    <w:rsid w:val="0064715C"/>
    <w:rsid w:val="006636FE"/>
    <w:rsid w:val="00670A1D"/>
    <w:rsid w:val="006745B2"/>
    <w:rsid w:val="00675254"/>
    <w:rsid w:val="00690CF8"/>
    <w:rsid w:val="00693368"/>
    <w:rsid w:val="006946B9"/>
    <w:rsid w:val="006B6105"/>
    <w:rsid w:val="006B7BDE"/>
    <w:rsid w:val="006C0838"/>
    <w:rsid w:val="006D0DE9"/>
    <w:rsid w:val="006E19DF"/>
    <w:rsid w:val="006F265F"/>
    <w:rsid w:val="006F4C6B"/>
    <w:rsid w:val="0071498C"/>
    <w:rsid w:val="00743196"/>
    <w:rsid w:val="00763001"/>
    <w:rsid w:val="00791B0F"/>
    <w:rsid w:val="007A4E34"/>
    <w:rsid w:val="007B612C"/>
    <w:rsid w:val="007C2C6D"/>
    <w:rsid w:val="007D32D0"/>
    <w:rsid w:val="007E27B3"/>
    <w:rsid w:val="007E28B7"/>
    <w:rsid w:val="007F2B8A"/>
    <w:rsid w:val="007F2CDC"/>
    <w:rsid w:val="008027DE"/>
    <w:rsid w:val="00802D07"/>
    <w:rsid w:val="008267F6"/>
    <w:rsid w:val="00836032"/>
    <w:rsid w:val="00863D7E"/>
    <w:rsid w:val="00880EBA"/>
    <w:rsid w:val="0089702E"/>
    <w:rsid w:val="008A60BD"/>
    <w:rsid w:val="008A669C"/>
    <w:rsid w:val="008C62B0"/>
    <w:rsid w:val="008D39E9"/>
    <w:rsid w:val="008D5B1E"/>
    <w:rsid w:val="008D636C"/>
    <w:rsid w:val="008D748B"/>
    <w:rsid w:val="008E7095"/>
    <w:rsid w:val="008F5F38"/>
    <w:rsid w:val="008F6D74"/>
    <w:rsid w:val="00904D29"/>
    <w:rsid w:val="00917B6A"/>
    <w:rsid w:val="00923C8A"/>
    <w:rsid w:val="009265F3"/>
    <w:rsid w:val="00936B72"/>
    <w:rsid w:val="009401FB"/>
    <w:rsid w:val="00943BC3"/>
    <w:rsid w:val="0094750E"/>
    <w:rsid w:val="00952EAD"/>
    <w:rsid w:val="0098510D"/>
    <w:rsid w:val="009865BF"/>
    <w:rsid w:val="00992A0F"/>
    <w:rsid w:val="009950B2"/>
    <w:rsid w:val="009A2AB5"/>
    <w:rsid w:val="009B0A24"/>
    <w:rsid w:val="009B0FBD"/>
    <w:rsid w:val="009B2F4B"/>
    <w:rsid w:val="009B7B26"/>
    <w:rsid w:val="009C5EE5"/>
    <w:rsid w:val="009D694A"/>
    <w:rsid w:val="009F0F9B"/>
    <w:rsid w:val="009F4151"/>
    <w:rsid w:val="00A03339"/>
    <w:rsid w:val="00A038D1"/>
    <w:rsid w:val="00A22ECD"/>
    <w:rsid w:val="00A338E9"/>
    <w:rsid w:val="00A63E2A"/>
    <w:rsid w:val="00A6757D"/>
    <w:rsid w:val="00A72BC8"/>
    <w:rsid w:val="00A73E0E"/>
    <w:rsid w:val="00A83940"/>
    <w:rsid w:val="00A90A03"/>
    <w:rsid w:val="00AA1CF4"/>
    <w:rsid w:val="00AB65A3"/>
    <w:rsid w:val="00AC306E"/>
    <w:rsid w:val="00AD7F24"/>
    <w:rsid w:val="00AE2A7A"/>
    <w:rsid w:val="00AE6EAA"/>
    <w:rsid w:val="00AF1603"/>
    <w:rsid w:val="00B019E3"/>
    <w:rsid w:val="00B20F42"/>
    <w:rsid w:val="00B34C2D"/>
    <w:rsid w:val="00B44A83"/>
    <w:rsid w:val="00B5148F"/>
    <w:rsid w:val="00B61B52"/>
    <w:rsid w:val="00B633A0"/>
    <w:rsid w:val="00B63B41"/>
    <w:rsid w:val="00B71CE3"/>
    <w:rsid w:val="00B7535B"/>
    <w:rsid w:val="00B8433F"/>
    <w:rsid w:val="00B90FA3"/>
    <w:rsid w:val="00B96724"/>
    <w:rsid w:val="00BA5E1E"/>
    <w:rsid w:val="00BB7A22"/>
    <w:rsid w:val="00BC0716"/>
    <w:rsid w:val="00BC3077"/>
    <w:rsid w:val="00BC56CA"/>
    <w:rsid w:val="00BD3C55"/>
    <w:rsid w:val="00BD46BC"/>
    <w:rsid w:val="00BF6EC8"/>
    <w:rsid w:val="00BF77DB"/>
    <w:rsid w:val="00C05485"/>
    <w:rsid w:val="00C0549B"/>
    <w:rsid w:val="00C110CF"/>
    <w:rsid w:val="00C21726"/>
    <w:rsid w:val="00C2241D"/>
    <w:rsid w:val="00C32EA5"/>
    <w:rsid w:val="00C35528"/>
    <w:rsid w:val="00C363A5"/>
    <w:rsid w:val="00C434E0"/>
    <w:rsid w:val="00C43E29"/>
    <w:rsid w:val="00C47F2D"/>
    <w:rsid w:val="00C6322F"/>
    <w:rsid w:val="00C66C47"/>
    <w:rsid w:val="00C71A17"/>
    <w:rsid w:val="00C72BAB"/>
    <w:rsid w:val="00C75E37"/>
    <w:rsid w:val="00C879FB"/>
    <w:rsid w:val="00CA748C"/>
    <w:rsid w:val="00CC28FA"/>
    <w:rsid w:val="00CC56AF"/>
    <w:rsid w:val="00CD6DC6"/>
    <w:rsid w:val="00CE35DB"/>
    <w:rsid w:val="00CE4FE4"/>
    <w:rsid w:val="00D00C0A"/>
    <w:rsid w:val="00D1457B"/>
    <w:rsid w:val="00D23504"/>
    <w:rsid w:val="00D40629"/>
    <w:rsid w:val="00D7009F"/>
    <w:rsid w:val="00D74644"/>
    <w:rsid w:val="00D9145D"/>
    <w:rsid w:val="00D965D6"/>
    <w:rsid w:val="00DA5D5A"/>
    <w:rsid w:val="00DB54B9"/>
    <w:rsid w:val="00DC7ADC"/>
    <w:rsid w:val="00DE5A7B"/>
    <w:rsid w:val="00DF2358"/>
    <w:rsid w:val="00DF4D21"/>
    <w:rsid w:val="00E009C4"/>
    <w:rsid w:val="00E10495"/>
    <w:rsid w:val="00E12D46"/>
    <w:rsid w:val="00E15BAC"/>
    <w:rsid w:val="00E26B5C"/>
    <w:rsid w:val="00E30AC2"/>
    <w:rsid w:val="00E32AE5"/>
    <w:rsid w:val="00E41DF7"/>
    <w:rsid w:val="00E50ECB"/>
    <w:rsid w:val="00E5589D"/>
    <w:rsid w:val="00E55BD4"/>
    <w:rsid w:val="00E572B3"/>
    <w:rsid w:val="00E61231"/>
    <w:rsid w:val="00E72935"/>
    <w:rsid w:val="00E833F7"/>
    <w:rsid w:val="00E83AB0"/>
    <w:rsid w:val="00E84921"/>
    <w:rsid w:val="00E938AD"/>
    <w:rsid w:val="00EA7F7C"/>
    <w:rsid w:val="00EB18AB"/>
    <w:rsid w:val="00EB31C3"/>
    <w:rsid w:val="00EC1605"/>
    <w:rsid w:val="00EC22CB"/>
    <w:rsid w:val="00ED3E12"/>
    <w:rsid w:val="00EE14CD"/>
    <w:rsid w:val="00EF32EB"/>
    <w:rsid w:val="00F030A2"/>
    <w:rsid w:val="00F07683"/>
    <w:rsid w:val="00F10B73"/>
    <w:rsid w:val="00F317DF"/>
    <w:rsid w:val="00F40C1C"/>
    <w:rsid w:val="00F44355"/>
    <w:rsid w:val="00F4435A"/>
    <w:rsid w:val="00F45740"/>
    <w:rsid w:val="00F961CF"/>
    <w:rsid w:val="00F96AF5"/>
    <w:rsid w:val="00FA776F"/>
    <w:rsid w:val="00FC40B6"/>
    <w:rsid w:val="00FC5D8F"/>
    <w:rsid w:val="00FD5E18"/>
    <w:rsid w:val="00FD7A47"/>
    <w:rsid w:val="00FE2139"/>
    <w:rsid w:val="00FE346F"/>
    <w:rsid w:val="00FE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5832DA8"/>
  <w15:chartTrackingRefBased/>
  <w15:docId w15:val="{D3423055-1520-46BE-AE08-2169C24C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16A84"/>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bCs/>
      <w:sz w:val="22"/>
    </w:rPr>
  </w:style>
  <w:style w:type="paragraph" w:styleId="Antrat3">
    <w:name w:val="heading 3"/>
    <w:basedOn w:val="prastasis"/>
    <w:next w:val="prastasis"/>
    <w:qFormat/>
    <w:pPr>
      <w:keepNext/>
      <w:jc w:val="center"/>
      <w:outlineLvl w:val="2"/>
    </w:pPr>
    <w:rPr>
      <w:b/>
      <w:bCs/>
      <w:sz w:val="26"/>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923C8A"/>
    <w:rPr>
      <w:color w:val="0000FF"/>
      <w:u w:val="single"/>
    </w:rPr>
  </w:style>
  <w:style w:type="paragraph" w:styleId="Debesliotekstas">
    <w:name w:val="Balloon Text"/>
    <w:basedOn w:val="prastasis"/>
    <w:semiHidden/>
    <w:rsid w:val="00923C8A"/>
    <w:rPr>
      <w:rFonts w:ascii="Tahoma" w:hAnsi="Tahoma" w:cs="Tahoma"/>
      <w:sz w:val="16"/>
      <w:szCs w:val="16"/>
    </w:rPr>
  </w:style>
  <w:style w:type="paragraph" w:styleId="Pagrindinistekstas">
    <w:name w:val="Body Text"/>
    <w:basedOn w:val="prastasis"/>
    <w:rsid w:val="008A669C"/>
    <w:pPr>
      <w:jc w:val="center"/>
    </w:pPr>
    <w:rPr>
      <w:b/>
      <w:bCs/>
      <w:noProof/>
      <w:sz w:val="26"/>
    </w:rPr>
  </w:style>
  <w:style w:type="paragraph" w:styleId="Antrats">
    <w:name w:val="header"/>
    <w:basedOn w:val="prastasis"/>
    <w:rsid w:val="00B96724"/>
    <w:pPr>
      <w:tabs>
        <w:tab w:val="center" w:pos="4986"/>
        <w:tab w:val="right" w:pos="9972"/>
      </w:tabs>
    </w:pPr>
  </w:style>
  <w:style w:type="paragraph" w:styleId="Porat">
    <w:name w:val="footer"/>
    <w:basedOn w:val="prastasis"/>
    <w:rsid w:val="00B96724"/>
    <w:pPr>
      <w:tabs>
        <w:tab w:val="center" w:pos="4986"/>
        <w:tab w:val="right" w:pos="9972"/>
      </w:tabs>
    </w:pPr>
  </w:style>
  <w:style w:type="character" w:styleId="Puslapionumeris">
    <w:name w:val="page number"/>
    <w:basedOn w:val="Numatytasispastraiposriftas"/>
    <w:rsid w:val="00B96724"/>
  </w:style>
  <w:style w:type="paragraph" w:styleId="HTMLiankstoformatuotas">
    <w:name w:val="HTML Preformatted"/>
    <w:basedOn w:val="prastasis"/>
    <w:rsid w:val="00FC4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iagramaDiagramaCharCharDiagramaCharCharDiagrama1">
    <w:name w:val="Diagrama Diagrama Char Char Diagrama Char Char Diagrama1"/>
    <w:basedOn w:val="prastasis"/>
    <w:rsid w:val="00625F8E"/>
    <w:pPr>
      <w:spacing w:after="160" w:line="240" w:lineRule="exact"/>
    </w:pPr>
    <w:rPr>
      <w:rFonts w:ascii="Tahoma" w:hAnsi="Tahoma"/>
      <w:sz w:val="20"/>
      <w:szCs w:val="20"/>
      <w:lang w:val="en-US"/>
    </w:rPr>
  </w:style>
  <w:style w:type="table" w:styleId="Lentelstinklelis">
    <w:name w:val="Table Grid"/>
    <w:basedOn w:val="prastojilentel"/>
    <w:rsid w:val="00C32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C62B0"/>
    <w:pPr>
      <w:ind w:left="720"/>
      <w:contextualSpacing/>
    </w:pPr>
  </w:style>
  <w:style w:type="paragraph" w:customStyle="1" w:styleId="tajtip">
    <w:name w:val="tajtip"/>
    <w:basedOn w:val="prastasis"/>
    <w:rsid w:val="0027276A"/>
    <w:pPr>
      <w:spacing w:after="150"/>
    </w:pPr>
    <w:rPr>
      <w:lang w:eastAsia="lt-LT"/>
    </w:rPr>
  </w:style>
  <w:style w:type="character" w:customStyle="1" w:styleId="dlxnowrap">
    <w:name w:val="dlxnowrap"/>
    <w:basedOn w:val="Numatytasispastraiposriftas"/>
    <w:rsid w:val="00AC306E"/>
  </w:style>
  <w:style w:type="character" w:styleId="Komentaronuoroda">
    <w:name w:val="annotation reference"/>
    <w:rsid w:val="00C43E29"/>
    <w:rPr>
      <w:sz w:val="16"/>
      <w:szCs w:val="16"/>
    </w:rPr>
  </w:style>
  <w:style w:type="paragraph" w:styleId="Komentarotekstas">
    <w:name w:val="annotation text"/>
    <w:basedOn w:val="prastasis"/>
    <w:link w:val="KomentarotekstasDiagrama"/>
    <w:rsid w:val="00C43E29"/>
    <w:rPr>
      <w:sz w:val="20"/>
      <w:szCs w:val="20"/>
    </w:rPr>
  </w:style>
  <w:style w:type="character" w:customStyle="1" w:styleId="KomentarotekstasDiagrama">
    <w:name w:val="Komentaro tekstas Diagrama"/>
    <w:link w:val="Komentarotekstas"/>
    <w:rsid w:val="00C43E29"/>
    <w:rPr>
      <w:lang w:eastAsia="en-US"/>
    </w:rPr>
  </w:style>
  <w:style w:type="paragraph" w:styleId="Komentarotema">
    <w:name w:val="annotation subject"/>
    <w:basedOn w:val="Komentarotekstas"/>
    <w:next w:val="Komentarotekstas"/>
    <w:link w:val="KomentarotemaDiagrama"/>
    <w:rsid w:val="00C43E29"/>
    <w:rPr>
      <w:b/>
      <w:bCs/>
    </w:rPr>
  </w:style>
  <w:style w:type="character" w:customStyle="1" w:styleId="KomentarotemaDiagrama">
    <w:name w:val="Komentaro tema Diagrama"/>
    <w:link w:val="Komentarotema"/>
    <w:rsid w:val="00C43E2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82456">
      <w:bodyDiv w:val="1"/>
      <w:marLeft w:val="0"/>
      <w:marRight w:val="0"/>
      <w:marTop w:val="0"/>
      <w:marBottom w:val="0"/>
      <w:divBdr>
        <w:top w:val="none" w:sz="0" w:space="0" w:color="auto"/>
        <w:left w:val="none" w:sz="0" w:space="0" w:color="auto"/>
        <w:bottom w:val="none" w:sz="0" w:space="0" w:color="auto"/>
        <w:right w:val="none" w:sz="0" w:space="0" w:color="auto"/>
      </w:divBdr>
    </w:div>
    <w:div w:id="402947461">
      <w:bodyDiv w:val="1"/>
      <w:marLeft w:val="0"/>
      <w:marRight w:val="0"/>
      <w:marTop w:val="0"/>
      <w:marBottom w:val="0"/>
      <w:divBdr>
        <w:top w:val="none" w:sz="0" w:space="0" w:color="auto"/>
        <w:left w:val="none" w:sz="0" w:space="0" w:color="auto"/>
        <w:bottom w:val="none" w:sz="0" w:space="0" w:color="auto"/>
        <w:right w:val="none" w:sz="0" w:space="0" w:color="auto"/>
      </w:divBdr>
    </w:div>
    <w:div w:id="480274305">
      <w:bodyDiv w:val="1"/>
      <w:marLeft w:val="0"/>
      <w:marRight w:val="0"/>
      <w:marTop w:val="0"/>
      <w:marBottom w:val="0"/>
      <w:divBdr>
        <w:top w:val="none" w:sz="0" w:space="0" w:color="auto"/>
        <w:left w:val="none" w:sz="0" w:space="0" w:color="auto"/>
        <w:bottom w:val="none" w:sz="0" w:space="0" w:color="auto"/>
        <w:right w:val="none" w:sz="0" w:space="0" w:color="auto"/>
      </w:divBdr>
    </w:div>
    <w:div w:id="548498446">
      <w:bodyDiv w:val="1"/>
      <w:marLeft w:val="0"/>
      <w:marRight w:val="0"/>
      <w:marTop w:val="0"/>
      <w:marBottom w:val="0"/>
      <w:divBdr>
        <w:top w:val="none" w:sz="0" w:space="0" w:color="auto"/>
        <w:left w:val="none" w:sz="0" w:space="0" w:color="auto"/>
        <w:bottom w:val="none" w:sz="0" w:space="0" w:color="auto"/>
        <w:right w:val="none" w:sz="0" w:space="0" w:color="auto"/>
      </w:divBdr>
      <w:divsChild>
        <w:div w:id="626860852">
          <w:marLeft w:val="0"/>
          <w:marRight w:val="0"/>
          <w:marTop w:val="0"/>
          <w:marBottom w:val="0"/>
          <w:divBdr>
            <w:top w:val="none" w:sz="0" w:space="0" w:color="auto"/>
            <w:left w:val="none" w:sz="0" w:space="0" w:color="auto"/>
            <w:bottom w:val="none" w:sz="0" w:space="0" w:color="auto"/>
            <w:right w:val="none" w:sz="0" w:space="0" w:color="auto"/>
          </w:divBdr>
          <w:divsChild>
            <w:div w:id="264384413">
              <w:marLeft w:val="0"/>
              <w:marRight w:val="0"/>
              <w:marTop w:val="0"/>
              <w:marBottom w:val="0"/>
              <w:divBdr>
                <w:top w:val="none" w:sz="0" w:space="0" w:color="auto"/>
                <w:left w:val="none" w:sz="0" w:space="0" w:color="auto"/>
                <w:bottom w:val="none" w:sz="0" w:space="0" w:color="auto"/>
                <w:right w:val="none" w:sz="0" w:space="0" w:color="auto"/>
              </w:divBdr>
              <w:divsChild>
                <w:div w:id="1261597871">
                  <w:marLeft w:val="0"/>
                  <w:marRight w:val="0"/>
                  <w:marTop w:val="0"/>
                  <w:marBottom w:val="0"/>
                  <w:divBdr>
                    <w:top w:val="none" w:sz="0" w:space="0" w:color="auto"/>
                    <w:left w:val="none" w:sz="0" w:space="0" w:color="auto"/>
                    <w:bottom w:val="none" w:sz="0" w:space="0" w:color="auto"/>
                    <w:right w:val="none" w:sz="0" w:space="0" w:color="auto"/>
                  </w:divBdr>
                  <w:divsChild>
                    <w:div w:id="2091729216">
                      <w:marLeft w:val="0"/>
                      <w:marRight w:val="0"/>
                      <w:marTop w:val="0"/>
                      <w:marBottom w:val="0"/>
                      <w:divBdr>
                        <w:top w:val="none" w:sz="0" w:space="0" w:color="auto"/>
                        <w:left w:val="none" w:sz="0" w:space="0" w:color="auto"/>
                        <w:bottom w:val="none" w:sz="0" w:space="0" w:color="auto"/>
                        <w:right w:val="none" w:sz="0" w:space="0" w:color="auto"/>
                      </w:divBdr>
                      <w:divsChild>
                        <w:div w:id="9108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5284">
      <w:bodyDiv w:val="1"/>
      <w:marLeft w:val="0"/>
      <w:marRight w:val="0"/>
      <w:marTop w:val="0"/>
      <w:marBottom w:val="0"/>
      <w:divBdr>
        <w:top w:val="none" w:sz="0" w:space="0" w:color="auto"/>
        <w:left w:val="none" w:sz="0" w:space="0" w:color="auto"/>
        <w:bottom w:val="none" w:sz="0" w:space="0" w:color="auto"/>
        <w:right w:val="none" w:sz="0" w:space="0" w:color="auto"/>
      </w:divBdr>
    </w:div>
    <w:div w:id="727920324">
      <w:bodyDiv w:val="1"/>
      <w:marLeft w:val="0"/>
      <w:marRight w:val="0"/>
      <w:marTop w:val="0"/>
      <w:marBottom w:val="0"/>
      <w:divBdr>
        <w:top w:val="none" w:sz="0" w:space="0" w:color="auto"/>
        <w:left w:val="none" w:sz="0" w:space="0" w:color="auto"/>
        <w:bottom w:val="none" w:sz="0" w:space="0" w:color="auto"/>
        <w:right w:val="none" w:sz="0" w:space="0" w:color="auto"/>
      </w:divBdr>
    </w:div>
    <w:div w:id="878591067">
      <w:bodyDiv w:val="1"/>
      <w:marLeft w:val="0"/>
      <w:marRight w:val="0"/>
      <w:marTop w:val="0"/>
      <w:marBottom w:val="0"/>
      <w:divBdr>
        <w:top w:val="none" w:sz="0" w:space="0" w:color="auto"/>
        <w:left w:val="none" w:sz="0" w:space="0" w:color="auto"/>
        <w:bottom w:val="none" w:sz="0" w:space="0" w:color="auto"/>
        <w:right w:val="none" w:sz="0" w:space="0" w:color="auto"/>
      </w:divBdr>
    </w:div>
    <w:div w:id="912663567">
      <w:bodyDiv w:val="1"/>
      <w:marLeft w:val="0"/>
      <w:marRight w:val="0"/>
      <w:marTop w:val="0"/>
      <w:marBottom w:val="0"/>
      <w:divBdr>
        <w:top w:val="none" w:sz="0" w:space="0" w:color="auto"/>
        <w:left w:val="none" w:sz="0" w:space="0" w:color="auto"/>
        <w:bottom w:val="none" w:sz="0" w:space="0" w:color="auto"/>
        <w:right w:val="none" w:sz="0" w:space="0" w:color="auto"/>
      </w:divBdr>
    </w:div>
    <w:div w:id="1029143832">
      <w:bodyDiv w:val="1"/>
      <w:marLeft w:val="0"/>
      <w:marRight w:val="0"/>
      <w:marTop w:val="0"/>
      <w:marBottom w:val="0"/>
      <w:divBdr>
        <w:top w:val="none" w:sz="0" w:space="0" w:color="auto"/>
        <w:left w:val="none" w:sz="0" w:space="0" w:color="auto"/>
        <w:bottom w:val="none" w:sz="0" w:space="0" w:color="auto"/>
        <w:right w:val="none" w:sz="0" w:space="0" w:color="auto"/>
      </w:divBdr>
    </w:div>
    <w:div w:id="1176460887">
      <w:bodyDiv w:val="1"/>
      <w:marLeft w:val="0"/>
      <w:marRight w:val="0"/>
      <w:marTop w:val="0"/>
      <w:marBottom w:val="0"/>
      <w:divBdr>
        <w:top w:val="none" w:sz="0" w:space="0" w:color="auto"/>
        <w:left w:val="none" w:sz="0" w:space="0" w:color="auto"/>
        <w:bottom w:val="none" w:sz="0" w:space="0" w:color="auto"/>
        <w:right w:val="none" w:sz="0" w:space="0" w:color="auto"/>
      </w:divBdr>
    </w:div>
    <w:div w:id="1514953280">
      <w:bodyDiv w:val="1"/>
      <w:marLeft w:val="0"/>
      <w:marRight w:val="0"/>
      <w:marTop w:val="0"/>
      <w:marBottom w:val="0"/>
      <w:divBdr>
        <w:top w:val="none" w:sz="0" w:space="0" w:color="auto"/>
        <w:left w:val="none" w:sz="0" w:space="0" w:color="auto"/>
        <w:bottom w:val="none" w:sz="0" w:space="0" w:color="auto"/>
        <w:right w:val="none" w:sz="0" w:space="0" w:color="auto"/>
      </w:divBdr>
      <w:divsChild>
        <w:div w:id="543714462">
          <w:marLeft w:val="0"/>
          <w:marRight w:val="0"/>
          <w:marTop w:val="0"/>
          <w:marBottom w:val="0"/>
          <w:divBdr>
            <w:top w:val="none" w:sz="0" w:space="0" w:color="auto"/>
            <w:left w:val="none" w:sz="0" w:space="0" w:color="auto"/>
            <w:bottom w:val="none" w:sz="0" w:space="0" w:color="auto"/>
            <w:right w:val="none" w:sz="0" w:space="0" w:color="auto"/>
          </w:divBdr>
          <w:divsChild>
            <w:div w:id="1339500512">
              <w:marLeft w:val="0"/>
              <w:marRight w:val="0"/>
              <w:marTop w:val="0"/>
              <w:marBottom w:val="0"/>
              <w:divBdr>
                <w:top w:val="none" w:sz="0" w:space="0" w:color="auto"/>
                <w:left w:val="none" w:sz="0" w:space="0" w:color="auto"/>
                <w:bottom w:val="none" w:sz="0" w:space="0" w:color="auto"/>
                <w:right w:val="none" w:sz="0" w:space="0" w:color="auto"/>
              </w:divBdr>
              <w:divsChild>
                <w:div w:id="66922264">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 w:id="1555315779">
      <w:bodyDiv w:val="1"/>
      <w:marLeft w:val="0"/>
      <w:marRight w:val="0"/>
      <w:marTop w:val="0"/>
      <w:marBottom w:val="0"/>
      <w:divBdr>
        <w:top w:val="none" w:sz="0" w:space="0" w:color="auto"/>
        <w:left w:val="none" w:sz="0" w:space="0" w:color="auto"/>
        <w:bottom w:val="none" w:sz="0" w:space="0" w:color="auto"/>
        <w:right w:val="none" w:sz="0" w:space="0" w:color="auto"/>
      </w:divBdr>
    </w:div>
    <w:div w:id="1651448162">
      <w:bodyDiv w:val="1"/>
      <w:marLeft w:val="0"/>
      <w:marRight w:val="0"/>
      <w:marTop w:val="0"/>
      <w:marBottom w:val="0"/>
      <w:divBdr>
        <w:top w:val="none" w:sz="0" w:space="0" w:color="auto"/>
        <w:left w:val="none" w:sz="0" w:space="0" w:color="auto"/>
        <w:bottom w:val="none" w:sz="0" w:space="0" w:color="auto"/>
        <w:right w:val="none" w:sz="0" w:space="0" w:color="auto"/>
      </w:divBdr>
    </w:div>
    <w:div w:id="1743790257">
      <w:bodyDiv w:val="1"/>
      <w:marLeft w:val="0"/>
      <w:marRight w:val="0"/>
      <w:marTop w:val="0"/>
      <w:marBottom w:val="0"/>
      <w:divBdr>
        <w:top w:val="none" w:sz="0" w:space="0" w:color="auto"/>
        <w:left w:val="none" w:sz="0" w:space="0" w:color="auto"/>
        <w:bottom w:val="none" w:sz="0" w:space="0" w:color="auto"/>
        <w:right w:val="none" w:sz="0" w:space="0" w:color="auto"/>
      </w:divBdr>
    </w:div>
    <w:div w:id="1906064747">
      <w:bodyDiv w:val="1"/>
      <w:marLeft w:val="0"/>
      <w:marRight w:val="0"/>
      <w:marTop w:val="0"/>
      <w:marBottom w:val="0"/>
      <w:divBdr>
        <w:top w:val="none" w:sz="0" w:space="0" w:color="auto"/>
        <w:left w:val="none" w:sz="0" w:space="0" w:color="auto"/>
        <w:bottom w:val="none" w:sz="0" w:space="0" w:color="auto"/>
        <w:right w:val="none" w:sz="0" w:space="0" w:color="auto"/>
      </w:divBdr>
    </w:div>
    <w:div w:id="1929462105">
      <w:bodyDiv w:val="1"/>
      <w:marLeft w:val="0"/>
      <w:marRight w:val="0"/>
      <w:marTop w:val="0"/>
      <w:marBottom w:val="0"/>
      <w:divBdr>
        <w:top w:val="none" w:sz="0" w:space="0" w:color="auto"/>
        <w:left w:val="none" w:sz="0" w:space="0" w:color="auto"/>
        <w:bottom w:val="none" w:sz="0" w:space="0" w:color="auto"/>
        <w:right w:val="none" w:sz="0" w:space="0" w:color="auto"/>
      </w:divBdr>
    </w:div>
    <w:div w:id="1956980216">
      <w:bodyDiv w:val="1"/>
      <w:marLeft w:val="0"/>
      <w:marRight w:val="0"/>
      <w:marTop w:val="0"/>
      <w:marBottom w:val="0"/>
      <w:divBdr>
        <w:top w:val="none" w:sz="0" w:space="0" w:color="auto"/>
        <w:left w:val="none" w:sz="0" w:space="0" w:color="auto"/>
        <w:bottom w:val="none" w:sz="0" w:space="0" w:color="auto"/>
        <w:right w:val="none" w:sz="0" w:space="0" w:color="auto"/>
      </w:divBdr>
    </w:div>
    <w:div w:id="1999265360">
      <w:bodyDiv w:val="1"/>
      <w:marLeft w:val="0"/>
      <w:marRight w:val="0"/>
      <w:marTop w:val="0"/>
      <w:marBottom w:val="0"/>
      <w:divBdr>
        <w:top w:val="none" w:sz="0" w:space="0" w:color="auto"/>
        <w:left w:val="none" w:sz="0" w:space="0" w:color="auto"/>
        <w:bottom w:val="none" w:sz="0" w:space="0" w:color="auto"/>
        <w:right w:val="none" w:sz="0" w:space="0" w:color="auto"/>
      </w:divBdr>
    </w:div>
    <w:div w:id="2010020034">
      <w:bodyDiv w:val="1"/>
      <w:marLeft w:val="0"/>
      <w:marRight w:val="0"/>
      <w:marTop w:val="0"/>
      <w:marBottom w:val="0"/>
      <w:divBdr>
        <w:top w:val="none" w:sz="0" w:space="0" w:color="auto"/>
        <w:left w:val="none" w:sz="0" w:space="0" w:color="auto"/>
        <w:bottom w:val="none" w:sz="0" w:space="0" w:color="auto"/>
        <w:right w:val="none" w:sz="0" w:space="0" w:color="auto"/>
      </w:divBdr>
    </w:div>
    <w:div w:id="2028561997">
      <w:bodyDiv w:val="1"/>
      <w:marLeft w:val="0"/>
      <w:marRight w:val="0"/>
      <w:marTop w:val="0"/>
      <w:marBottom w:val="0"/>
      <w:divBdr>
        <w:top w:val="none" w:sz="0" w:space="0" w:color="auto"/>
        <w:left w:val="none" w:sz="0" w:space="0" w:color="auto"/>
        <w:bottom w:val="none" w:sz="0" w:space="0" w:color="auto"/>
        <w:right w:val="none" w:sz="0" w:space="0" w:color="auto"/>
      </w:divBdr>
    </w:div>
    <w:div w:id="21004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281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6327-7CAE-46AA-8BCF-580416EB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8072</Words>
  <Characters>4602</Characters>
  <Application>Microsoft Office Word</Application>
  <DocSecurity>0</DocSecurity>
  <Lines>38</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Mano namai</Company>
  <LinksUpToDate>false</LinksUpToDate>
  <CharactersWithSpaces>12649</CharactersWithSpaces>
  <SharedDoc>false</SharedDoc>
  <HLinks>
    <vt:vector size="6" baseType="variant">
      <vt:variant>
        <vt:i4>6029395</vt:i4>
      </vt:variant>
      <vt:variant>
        <vt:i4>0</vt:i4>
      </vt:variant>
      <vt:variant>
        <vt:i4>0</vt:i4>
      </vt:variant>
      <vt:variant>
        <vt:i4>5</vt:i4>
      </vt:variant>
      <vt:variant>
        <vt:lpwstr>http://www.infolex.lt/lazdijai/Default.aspx?Id=3&amp;DocId=28103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Ilona</dc:creator>
  <cp:keywords/>
  <dc:description/>
  <cp:lastModifiedBy>Jurgita Vaitulioniene</cp:lastModifiedBy>
  <cp:revision>3</cp:revision>
  <cp:lastPrinted>2018-06-21T06:20:00Z</cp:lastPrinted>
  <dcterms:created xsi:type="dcterms:W3CDTF">2020-11-17T05:13:00Z</dcterms:created>
  <dcterms:modified xsi:type="dcterms:W3CDTF">2020-11-18T15:12:00Z</dcterms:modified>
</cp:coreProperties>
</file>