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1D34" w14:textId="77777777" w:rsidR="00423D65" w:rsidRPr="00C22A49" w:rsidRDefault="00423D65">
      <w:pPr>
        <w:jc w:val="center"/>
      </w:pPr>
    </w:p>
    <w:p w14:paraId="6C2B3C0A" w14:textId="77777777" w:rsidR="00423D65" w:rsidRPr="00C22A49" w:rsidRDefault="00423D65">
      <w:pPr>
        <w:jc w:val="center"/>
        <w:rPr>
          <w:b/>
        </w:rPr>
      </w:pPr>
    </w:p>
    <w:p w14:paraId="51AB380E" w14:textId="77777777" w:rsidR="00423D65" w:rsidRPr="00C22A49" w:rsidRDefault="00423D65">
      <w:pPr>
        <w:jc w:val="center"/>
        <w:rPr>
          <w:b/>
        </w:rPr>
      </w:pPr>
      <w:r w:rsidRPr="00C22A49">
        <w:rPr>
          <w:b/>
        </w:rPr>
        <w:t>LAZDIJŲ RAJONO SAVIVALDYBĖS TARYBA</w:t>
      </w:r>
    </w:p>
    <w:p w14:paraId="309244A2" w14:textId="77777777" w:rsidR="00423D65" w:rsidRPr="00C22A49" w:rsidRDefault="00423D65">
      <w:pPr>
        <w:jc w:val="center"/>
      </w:pPr>
    </w:p>
    <w:p w14:paraId="765FC2A1" w14:textId="77777777" w:rsidR="00423D65" w:rsidRPr="00C22A49" w:rsidRDefault="00423D65">
      <w:pPr>
        <w:pStyle w:val="Antrat1"/>
        <w:rPr>
          <w:rFonts w:ascii="Times New Roman" w:hAnsi="Times New Roman"/>
        </w:rPr>
      </w:pPr>
      <w:r w:rsidRPr="00C22A49">
        <w:rPr>
          <w:rFonts w:ascii="Times New Roman" w:hAnsi="Times New Roman"/>
        </w:rPr>
        <w:t>SPRENDIMAS</w:t>
      </w:r>
    </w:p>
    <w:p w14:paraId="52BA9B24" w14:textId="77777777" w:rsidR="00423D65" w:rsidRPr="00C22A49" w:rsidRDefault="00423D65">
      <w:pPr>
        <w:jc w:val="center"/>
        <w:rPr>
          <w:b/>
        </w:rPr>
      </w:pPr>
      <w:r w:rsidRPr="00C22A49">
        <w:rPr>
          <w:b/>
        </w:rPr>
        <w:t xml:space="preserve">DĖL </w:t>
      </w:r>
      <w:r w:rsidR="009B01B1" w:rsidRPr="00C22A49">
        <w:rPr>
          <w:b/>
        </w:rPr>
        <w:t xml:space="preserve">LAZDIJŲ RAJONO SAVIVALDYBĖS </w:t>
      </w:r>
      <w:r w:rsidR="00995E34" w:rsidRPr="00C22A49">
        <w:rPr>
          <w:b/>
        </w:rPr>
        <w:t>KONTROLĖS IR AUDITO TARNYBOS</w:t>
      </w:r>
      <w:r w:rsidR="00C22A49">
        <w:rPr>
          <w:b/>
        </w:rPr>
        <w:t xml:space="preserve"> </w:t>
      </w:r>
      <w:r w:rsidR="00995E34" w:rsidRPr="00C22A49">
        <w:rPr>
          <w:b/>
        </w:rPr>
        <w:t>SAVIVALDYBĖS KONTROLIERIAUS</w:t>
      </w:r>
      <w:r w:rsidR="00696865" w:rsidRPr="00C22A49">
        <w:rPr>
          <w:b/>
        </w:rPr>
        <w:t xml:space="preserve"> </w:t>
      </w:r>
      <w:r w:rsidR="00BB11C1" w:rsidRPr="00C22A49">
        <w:rPr>
          <w:b/>
        </w:rPr>
        <w:t>PAREIGYBĖS APRAŠYMO PATVIRTINIMO</w:t>
      </w:r>
    </w:p>
    <w:p w14:paraId="5BDE8945" w14:textId="77777777" w:rsidR="00423D65" w:rsidRPr="00C22A49" w:rsidRDefault="00423D65">
      <w:pPr>
        <w:jc w:val="center"/>
      </w:pPr>
    </w:p>
    <w:p w14:paraId="03450A11" w14:textId="7C351BC3" w:rsidR="00423D65" w:rsidRPr="00C22A49" w:rsidRDefault="00423D65">
      <w:pPr>
        <w:jc w:val="center"/>
      </w:pPr>
      <w:r w:rsidRPr="00C22A49">
        <w:t>20</w:t>
      </w:r>
      <w:r w:rsidR="00190208">
        <w:t>20</w:t>
      </w:r>
      <w:r w:rsidR="00190D5B" w:rsidRPr="00C22A49">
        <w:t xml:space="preserve"> </w:t>
      </w:r>
      <w:r w:rsidRPr="00C22A49">
        <w:t xml:space="preserve">m. </w:t>
      </w:r>
      <w:r w:rsidR="00D27EAB">
        <w:t>birželio</w:t>
      </w:r>
      <w:r w:rsidR="00262965">
        <w:t xml:space="preserve"> 14 </w:t>
      </w:r>
      <w:r w:rsidR="008F19F6" w:rsidRPr="00C22A49">
        <w:t>d.</w:t>
      </w:r>
      <w:r w:rsidRPr="00C22A49">
        <w:t xml:space="preserve"> Nr. </w:t>
      </w:r>
      <w:r w:rsidR="00CB60F4">
        <w:t>34-</w:t>
      </w:r>
      <w:r w:rsidR="00262965">
        <w:t>406</w:t>
      </w:r>
    </w:p>
    <w:p w14:paraId="0A9FD42B" w14:textId="77777777" w:rsidR="00423D65" w:rsidRPr="00C22A49" w:rsidRDefault="00423D65">
      <w:pPr>
        <w:jc w:val="center"/>
      </w:pPr>
      <w:r w:rsidRPr="00C22A49">
        <w:t>Lazdijai</w:t>
      </w:r>
    </w:p>
    <w:p w14:paraId="309B2C9F" w14:textId="77777777" w:rsidR="00423D65" w:rsidRPr="00C22A49" w:rsidRDefault="00423D65"/>
    <w:p w14:paraId="4C0BA6AB" w14:textId="0861888B" w:rsidR="00423D65" w:rsidRPr="00C22A49" w:rsidRDefault="00423D65" w:rsidP="00D4156D">
      <w:pPr>
        <w:spacing w:line="360" w:lineRule="auto"/>
        <w:ind w:firstLine="720"/>
        <w:jc w:val="both"/>
      </w:pPr>
      <w:r w:rsidRPr="00C22A49">
        <w:t>Vadovaudamasi</w:t>
      </w:r>
      <w:r w:rsidR="00521DAA" w:rsidRPr="00C22A49">
        <w:t xml:space="preserve"> Lietuvos Respublikos vietos savivaldos įstatymo </w:t>
      </w:r>
      <w:r w:rsidR="00AF1482" w:rsidRPr="00C22A49">
        <w:t>1</w:t>
      </w:r>
      <w:r w:rsidR="00190D5B" w:rsidRPr="00C22A49">
        <w:t>6</w:t>
      </w:r>
      <w:r w:rsidR="00AF1482" w:rsidRPr="00C22A49">
        <w:t xml:space="preserve"> straipsnio </w:t>
      </w:r>
      <w:r w:rsidR="002D58C3">
        <w:t>4</w:t>
      </w:r>
      <w:r w:rsidR="00190D5B" w:rsidRPr="00C22A49">
        <w:t xml:space="preserve"> dali</w:t>
      </w:r>
      <w:r w:rsidR="002D58C3">
        <w:t>mi</w:t>
      </w:r>
      <w:r w:rsidR="00C471F9" w:rsidRPr="00C22A49">
        <w:t xml:space="preserve"> ir 18 straipsnio 1 dalimi</w:t>
      </w:r>
      <w:r w:rsidR="00AF1482" w:rsidRPr="00C22A49">
        <w:t xml:space="preserve">, </w:t>
      </w:r>
      <w:r w:rsidR="009B01B1" w:rsidRPr="00C22A49">
        <w:t>Lietuvos Respublikos valstybės tarnybos įstatymo</w:t>
      </w:r>
      <w:r w:rsidR="00D4156D" w:rsidRPr="00C22A49">
        <w:t xml:space="preserve"> 8 straipsnio 4 dalies </w:t>
      </w:r>
      <w:r w:rsidR="006B3B1B" w:rsidRPr="00C22A49">
        <w:t>5</w:t>
      </w:r>
      <w:r w:rsidR="00D4156D" w:rsidRPr="00C22A49">
        <w:t xml:space="preserve"> punktu ir Valstybės tarnautojų pareigybių aprašymo ir vertinimo metodika, patvirtinta Lietuvos Respublikos Vyriausybės 2018 m. lapkričio 28 d. nutarimu Nr. 1176 „Dėl Lietuvos Respublikos valstybės tarnybos įstatymo įgyvendinimo“</w:t>
      </w:r>
      <w:r w:rsidR="00AF1482" w:rsidRPr="00C22A49">
        <w:t xml:space="preserve">, </w:t>
      </w:r>
      <w:r w:rsidRPr="00C22A49">
        <w:t xml:space="preserve">Lazdijų rajono savivaldybės taryba </w:t>
      </w:r>
      <w:r w:rsidRPr="00C22A49">
        <w:rPr>
          <w:spacing w:val="30"/>
        </w:rPr>
        <w:t>nusprendžia</w:t>
      </w:r>
      <w:r w:rsidRPr="00C22A49">
        <w:t>:</w:t>
      </w:r>
    </w:p>
    <w:p w14:paraId="7605D3AF" w14:textId="77777777" w:rsidR="00C800AE" w:rsidRPr="00C22A49" w:rsidRDefault="00991E0A" w:rsidP="003761E3">
      <w:pPr>
        <w:spacing w:line="360" w:lineRule="auto"/>
        <w:ind w:firstLine="720"/>
        <w:jc w:val="both"/>
      </w:pPr>
      <w:r w:rsidRPr="00C22A49">
        <w:t xml:space="preserve">1. </w:t>
      </w:r>
      <w:r w:rsidR="00BB11C1" w:rsidRPr="00C22A49">
        <w:t xml:space="preserve">Patvirtinti </w:t>
      </w:r>
      <w:r w:rsidR="009B01B1" w:rsidRPr="00C22A49">
        <w:t xml:space="preserve">Lazdijų rajono savivaldybės </w:t>
      </w:r>
      <w:r w:rsidR="00995E34" w:rsidRPr="00C22A49">
        <w:t>kontrolės ir audito tarnybos savivaldybės kontrolieriaus p</w:t>
      </w:r>
      <w:r w:rsidR="00BB11C1" w:rsidRPr="00C22A49">
        <w:t>areigybės aprašymą (pridedama)</w:t>
      </w:r>
      <w:r w:rsidR="00696865" w:rsidRPr="00C22A49">
        <w:t>.</w:t>
      </w:r>
    </w:p>
    <w:p w14:paraId="5896D5C3" w14:textId="6B9E4B82" w:rsidR="000F3ED1" w:rsidRPr="00C22A49" w:rsidRDefault="00991E0A" w:rsidP="003761E3">
      <w:pPr>
        <w:spacing w:line="360" w:lineRule="auto"/>
        <w:ind w:firstLine="720"/>
        <w:jc w:val="both"/>
      </w:pPr>
      <w:r w:rsidRPr="00C22A49">
        <w:t xml:space="preserve">2. </w:t>
      </w:r>
      <w:r w:rsidR="00C471F9" w:rsidRPr="00C22A49">
        <w:t xml:space="preserve">Pripažinti </w:t>
      </w:r>
      <w:r w:rsidR="000F3ED1" w:rsidRPr="00C22A49">
        <w:t xml:space="preserve">netekusiu </w:t>
      </w:r>
      <w:r w:rsidR="00EC0E02" w:rsidRPr="00C22A49">
        <w:t xml:space="preserve">galios </w:t>
      </w:r>
      <w:r w:rsidR="00C471F9" w:rsidRPr="00C22A49">
        <w:t xml:space="preserve">Lazdijų </w:t>
      </w:r>
      <w:r w:rsidR="000F3ED1" w:rsidRPr="00C22A49">
        <w:t>rajon</w:t>
      </w:r>
      <w:r w:rsidR="00BC62D6" w:rsidRPr="00C22A49">
        <w:t>o savivaldybės tarybos 20</w:t>
      </w:r>
      <w:r w:rsidR="00C471F9" w:rsidRPr="00C22A49">
        <w:t>1</w:t>
      </w:r>
      <w:r w:rsidR="00A531DE">
        <w:t>8</w:t>
      </w:r>
      <w:r w:rsidR="00BC62D6" w:rsidRPr="00C22A49">
        <w:t xml:space="preserve"> m. </w:t>
      </w:r>
      <w:r w:rsidR="00A531DE">
        <w:t>gruodžio 20</w:t>
      </w:r>
      <w:r w:rsidR="000F3ED1" w:rsidRPr="00C22A49">
        <w:t xml:space="preserve"> d. sprendim</w:t>
      </w:r>
      <w:r w:rsidR="002D58C3">
        <w:t>ą</w:t>
      </w:r>
      <w:r w:rsidR="000F3ED1" w:rsidRPr="00C22A49">
        <w:t xml:space="preserve"> </w:t>
      </w:r>
      <w:bookmarkStart w:id="0" w:name="n_0"/>
      <w:r w:rsidR="00D4156D" w:rsidRPr="00C22A49">
        <w:t>Nr.</w:t>
      </w:r>
      <w:r w:rsidR="00FF4E0C">
        <w:t xml:space="preserve"> </w:t>
      </w:r>
      <w:r w:rsidR="00D4156D" w:rsidRPr="00C22A49">
        <w:t>5TS-</w:t>
      </w:r>
      <w:bookmarkEnd w:id="0"/>
      <w:r w:rsidR="00F62ECB">
        <w:t>1529</w:t>
      </w:r>
      <w:r w:rsidR="000F3ED1" w:rsidRPr="00C22A49">
        <w:t xml:space="preserve"> „</w:t>
      </w:r>
      <w:r w:rsidR="003761E3" w:rsidRPr="00C22A49">
        <w:t>Dėl Lazdijų rajono savivaldybės kontrolieriaus pareigybės kategorijos nustatymo ir pareigybės aprašymo patvirtinimo</w:t>
      </w:r>
      <w:r w:rsidR="00995E34" w:rsidRPr="00C22A49">
        <w:t xml:space="preserve">“. </w:t>
      </w:r>
    </w:p>
    <w:p w14:paraId="2D9376FA" w14:textId="77777777" w:rsidR="00D4156D" w:rsidRPr="00C22A49" w:rsidRDefault="00A4054E" w:rsidP="003761E3">
      <w:pPr>
        <w:spacing w:line="360" w:lineRule="auto"/>
        <w:ind w:firstLine="720"/>
        <w:jc w:val="both"/>
      </w:pPr>
      <w:r w:rsidRPr="00C22A49">
        <w:t>3. Nustatyti, kad šis sprendimas</w:t>
      </w:r>
      <w:r w:rsidR="00D4156D" w:rsidRPr="00C22A49">
        <w:t>:</w:t>
      </w:r>
    </w:p>
    <w:p w14:paraId="0D482632" w14:textId="6EC61B44" w:rsidR="00D4156D" w:rsidRPr="00C22A49" w:rsidRDefault="00D4156D" w:rsidP="00D4156D">
      <w:pPr>
        <w:spacing w:line="360" w:lineRule="auto"/>
        <w:ind w:firstLine="720"/>
        <w:jc w:val="both"/>
      </w:pPr>
      <w:r w:rsidRPr="00C22A49">
        <w:t>3.1. įsigalioja 20</w:t>
      </w:r>
      <w:r w:rsidR="00F62ECB">
        <w:t>20 m. liepos 1 d.</w:t>
      </w:r>
      <w:r w:rsidRPr="00C22A49">
        <w:t>;</w:t>
      </w:r>
    </w:p>
    <w:p w14:paraId="23EE09AF" w14:textId="77777777" w:rsidR="00A4054E" w:rsidRPr="00C22A49" w:rsidRDefault="00D4156D" w:rsidP="00D4156D">
      <w:pPr>
        <w:spacing w:line="360" w:lineRule="auto"/>
        <w:ind w:firstLine="720"/>
        <w:jc w:val="both"/>
      </w:pPr>
      <w:r w:rsidRPr="00C22A49">
        <w:t>3.2.</w:t>
      </w:r>
      <w:r w:rsidR="00A4054E" w:rsidRPr="00C22A49">
        <w:t xml:space="preserve"> gali būti skundžiamas Lietuvos Respublikos administracinių bylų teisenos įstatymo nustatyta tvarka ir terminais.</w:t>
      </w:r>
    </w:p>
    <w:p w14:paraId="69A5C5FC" w14:textId="77777777" w:rsidR="00991E0A" w:rsidRPr="00C22A49" w:rsidRDefault="00991E0A" w:rsidP="000F3ED1"/>
    <w:p w14:paraId="17A9550D" w14:textId="77777777" w:rsidR="00696865" w:rsidRPr="00C22A49" w:rsidRDefault="00696865" w:rsidP="00995E34">
      <w:pPr>
        <w:jc w:val="both"/>
      </w:pPr>
    </w:p>
    <w:p w14:paraId="56309AE7" w14:textId="77777777" w:rsidR="00696865" w:rsidRPr="00C22A49" w:rsidRDefault="00696865" w:rsidP="00D707BE"/>
    <w:p w14:paraId="21B37F30" w14:textId="77777777" w:rsidR="005E4315" w:rsidRPr="00C22A49" w:rsidRDefault="005E4315" w:rsidP="00D707BE">
      <w:r w:rsidRPr="00C22A49">
        <w:t xml:space="preserve"> </w:t>
      </w:r>
    </w:p>
    <w:p w14:paraId="7E232428" w14:textId="3977A117" w:rsidR="00860AEC" w:rsidRPr="00C22A49" w:rsidRDefault="00860AEC" w:rsidP="00D4156D">
      <w:pPr>
        <w:tabs>
          <w:tab w:val="right" w:pos="9638"/>
        </w:tabs>
      </w:pPr>
      <w:r w:rsidRPr="00C22A49">
        <w:t>Savivaldybės mer</w:t>
      </w:r>
      <w:r w:rsidR="00D27EAB">
        <w:t>ė</w:t>
      </w:r>
      <w:r w:rsidRPr="00C22A49">
        <w:tab/>
      </w:r>
      <w:r w:rsidR="00D27EAB">
        <w:t>Ausma Miškinienė</w:t>
      </w:r>
    </w:p>
    <w:p w14:paraId="252F1CED" w14:textId="77777777" w:rsidR="00423D65" w:rsidRPr="00C22A49" w:rsidRDefault="00423D65"/>
    <w:p w14:paraId="1B757675" w14:textId="77777777" w:rsidR="00423D65" w:rsidRPr="00C22A49" w:rsidRDefault="00423D65"/>
    <w:p w14:paraId="044E2F7D" w14:textId="07727890" w:rsidR="00F62ECB" w:rsidRDefault="00044686" w:rsidP="00044686">
      <w:pPr>
        <w:ind w:right="-48" w:firstLine="720"/>
        <w:rPr>
          <w:color w:val="000000"/>
        </w:rPr>
      </w:pPr>
      <w:r w:rsidRPr="00C22A49">
        <w:rPr>
          <w:color w:val="000000"/>
        </w:rPr>
        <w:tab/>
        <w:t xml:space="preserve"> </w:t>
      </w:r>
    </w:p>
    <w:p w14:paraId="55E092C3" w14:textId="77777777" w:rsidR="00636361" w:rsidRDefault="00636361">
      <w:pPr>
        <w:rPr>
          <w:color w:val="000000"/>
        </w:rPr>
      </w:pPr>
    </w:p>
    <w:p w14:paraId="606E82EA" w14:textId="77777777" w:rsidR="00636361" w:rsidRDefault="00636361">
      <w:pPr>
        <w:rPr>
          <w:color w:val="000000"/>
        </w:rPr>
      </w:pPr>
    </w:p>
    <w:p w14:paraId="654890E5" w14:textId="77777777" w:rsidR="00636361" w:rsidRDefault="00636361">
      <w:pPr>
        <w:rPr>
          <w:color w:val="000000"/>
        </w:rPr>
      </w:pPr>
    </w:p>
    <w:p w14:paraId="07FD83FD" w14:textId="77777777" w:rsidR="00636361" w:rsidRDefault="00636361">
      <w:pPr>
        <w:rPr>
          <w:color w:val="000000"/>
        </w:rPr>
      </w:pPr>
    </w:p>
    <w:p w14:paraId="2F302D60" w14:textId="77777777" w:rsidR="00636361" w:rsidRDefault="00636361">
      <w:pPr>
        <w:rPr>
          <w:color w:val="000000"/>
        </w:rPr>
      </w:pPr>
    </w:p>
    <w:p w14:paraId="2F26E8FC" w14:textId="77777777" w:rsidR="00636361" w:rsidRDefault="00636361">
      <w:pPr>
        <w:rPr>
          <w:color w:val="000000"/>
        </w:rPr>
      </w:pPr>
    </w:p>
    <w:p w14:paraId="51C150C3" w14:textId="77777777" w:rsidR="00636361" w:rsidRDefault="00636361">
      <w:pPr>
        <w:rPr>
          <w:color w:val="000000"/>
        </w:rPr>
      </w:pPr>
    </w:p>
    <w:p w14:paraId="4D87DE84" w14:textId="29BE69BB" w:rsidR="00F62ECB" w:rsidRDefault="00636361">
      <w:pPr>
        <w:rPr>
          <w:color w:val="000000"/>
        </w:rPr>
      </w:pPr>
      <w:r>
        <w:rPr>
          <w:color w:val="000000"/>
        </w:rPr>
        <w:t>Adelė Sukackienė, tel. (8 318) 66 132</w:t>
      </w:r>
      <w:r w:rsidR="00F62ECB">
        <w:rPr>
          <w:color w:val="000000"/>
        </w:rPr>
        <w:br w:type="page"/>
      </w:r>
    </w:p>
    <w:p w14:paraId="467D8342" w14:textId="77777777" w:rsidR="00683C6B" w:rsidRPr="00C22A49" w:rsidRDefault="00683C6B" w:rsidP="00C22A49">
      <w:pPr>
        <w:suppressAutoHyphens/>
        <w:ind w:left="5040" w:firstLine="720"/>
        <w:rPr>
          <w:lang w:eastAsia="ar-SA"/>
        </w:rPr>
      </w:pPr>
      <w:r w:rsidRPr="00C22A49">
        <w:rPr>
          <w:lang w:eastAsia="ar-SA"/>
        </w:rPr>
        <w:lastRenderedPageBreak/>
        <w:t>PATVIRTINTA</w:t>
      </w:r>
    </w:p>
    <w:p w14:paraId="582148AD" w14:textId="77777777" w:rsidR="00683C6B" w:rsidRPr="00C22A49" w:rsidRDefault="00683C6B" w:rsidP="00683C6B">
      <w:pPr>
        <w:suppressAutoHyphens/>
        <w:rPr>
          <w:lang w:eastAsia="ar-SA"/>
        </w:rPr>
      </w:pP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  <w:t>Lazdijų rajono savivaldybės tarybos</w:t>
      </w:r>
    </w:p>
    <w:p w14:paraId="0FEDFC8D" w14:textId="477F96E3" w:rsidR="00683C6B" w:rsidRPr="00C22A49" w:rsidRDefault="00683C6B" w:rsidP="00683C6B">
      <w:pPr>
        <w:suppressAutoHyphens/>
        <w:rPr>
          <w:lang w:eastAsia="ar-SA"/>
        </w:rPr>
      </w:pP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  <w:t>20</w:t>
      </w:r>
      <w:r w:rsidR="00264575">
        <w:rPr>
          <w:lang w:eastAsia="ar-SA"/>
        </w:rPr>
        <w:t>20 m. birželio</w:t>
      </w:r>
      <w:r w:rsidR="00325E5D" w:rsidRPr="00C22A49">
        <w:rPr>
          <w:lang w:eastAsia="ar-SA"/>
        </w:rPr>
        <w:t xml:space="preserve">  </w:t>
      </w:r>
      <w:r w:rsidRPr="00C22A49">
        <w:rPr>
          <w:lang w:eastAsia="ar-SA"/>
        </w:rPr>
        <w:t xml:space="preserve"> d.</w:t>
      </w:r>
    </w:p>
    <w:p w14:paraId="37FE6FAF" w14:textId="77777777" w:rsidR="005C186A" w:rsidRPr="00C22A49" w:rsidRDefault="00683C6B" w:rsidP="00325E5D">
      <w:pPr>
        <w:suppressAutoHyphens/>
        <w:rPr>
          <w:lang w:eastAsia="ar-SA"/>
        </w:rPr>
      </w:pP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</w:r>
      <w:r w:rsidRPr="00C22A49">
        <w:rPr>
          <w:lang w:eastAsia="ar-SA"/>
        </w:rPr>
        <w:tab/>
        <w:t>sprendimu Nr. 5TS-</w:t>
      </w:r>
    </w:p>
    <w:p w14:paraId="370F6AD6" w14:textId="77777777" w:rsidR="00325E5D" w:rsidRPr="00C22A49" w:rsidRDefault="00325E5D" w:rsidP="00325E5D">
      <w:pPr>
        <w:suppressAutoHyphens/>
        <w:rPr>
          <w:b/>
        </w:rPr>
      </w:pPr>
    </w:p>
    <w:p w14:paraId="65825A8C" w14:textId="77777777" w:rsidR="00683C6B" w:rsidRPr="00C22A49" w:rsidRDefault="00683C6B" w:rsidP="00804649">
      <w:pPr>
        <w:jc w:val="center"/>
        <w:rPr>
          <w:b/>
        </w:rPr>
      </w:pPr>
    </w:p>
    <w:p w14:paraId="6CA904C0" w14:textId="77777777" w:rsidR="00264575" w:rsidRDefault="00264575" w:rsidP="00264575"/>
    <w:p w14:paraId="5CE8F3D5" w14:textId="485E9A68" w:rsidR="00264575" w:rsidRDefault="00455B77" w:rsidP="00264575">
      <w:pPr>
        <w:jc w:val="center"/>
        <w:rPr>
          <w:b/>
        </w:rPr>
      </w:pPr>
      <w:r w:rsidRPr="00C22A49">
        <w:rPr>
          <w:b/>
        </w:rPr>
        <w:t>LAZDIJŲ RAJONO SAVIVALDYBĖS KONTROLĖS IR AUDITO TARNYBOS</w:t>
      </w:r>
      <w:r>
        <w:rPr>
          <w:b/>
        </w:rPr>
        <w:t xml:space="preserve"> </w:t>
      </w:r>
      <w:r w:rsidRPr="00C22A49">
        <w:rPr>
          <w:b/>
        </w:rPr>
        <w:t>SAVIVALDYBĖS KONTROLIERIAUS</w:t>
      </w:r>
      <w:r>
        <w:rPr>
          <w:b/>
        </w:rPr>
        <w:t xml:space="preserve"> </w:t>
      </w:r>
      <w:r w:rsidR="00264575">
        <w:rPr>
          <w:b/>
        </w:rPr>
        <w:t>PAREIGYBĖS APRAŠYMAS</w:t>
      </w:r>
    </w:p>
    <w:p w14:paraId="6FDF2025" w14:textId="77777777" w:rsidR="00264575" w:rsidRDefault="00264575" w:rsidP="00264575">
      <w:pPr>
        <w:ind w:left="3888" w:firstLine="1296"/>
      </w:pPr>
    </w:p>
    <w:p w14:paraId="5DE12F9D" w14:textId="77777777" w:rsidR="00264575" w:rsidRDefault="00264575" w:rsidP="00264575">
      <w:pPr>
        <w:ind w:left="3888" w:firstLine="1296"/>
      </w:pPr>
    </w:p>
    <w:p w14:paraId="22EC83C3" w14:textId="77777777" w:rsidR="00264575" w:rsidRDefault="00264575" w:rsidP="00264575">
      <w:pPr>
        <w:jc w:val="center"/>
      </w:pPr>
      <w:r>
        <w:rPr>
          <w:b/>
          <w:color w:val="000000"/>
        </w:rPr>
        <w:t>I SKYRIUS</w:t>
      </w:r>
    </w:p>
    <w:p w14:paraId="66878EA1" w14:textId="77777777" w:rsidR="00264575" w:rsidRDefault="00264575" w:rsidP="00264575">
      <w:pPr>
        <w:jc w:val="center"/>
        <w:rPr>
          <w:b/>
          <w:color w:val="000000"/>
        </w:rPr>
      </w:pPr>
      <w:r>
        <w:rPr>
          <w:b/>
          <w:color w:val="000000"/>
        </w:rPr>
        <w:t>PAREIGYBĖS CHARAKTERISTIKA</w:t>
      </w:r>
    </w:p>
    <w:p w14:paraId="79779891" w14:textId="77777777" w:rsidR="00264575" w:rsidRDefault="00264575" w:rsidP="00264575">
      <w:pPr>
        <w:jc w:val="center"/>
        <w:rPr>
          <w:b/>
          <w:color w:val="000000"/>
        </w:rPr>
      </w:pPr>
    </w:p>
    <w:p w14:paraId="7C24E9F5" w14:textId="77777777" w:rsidR="00264575" w:rsidRDefault="00264575" w:rsidP="00392C35">
      <w:pPr>
        <w:spacing w:line="360" w:lineRule="auto"/>
        <w:jc w:val="both"/>
      </w:pPr>
      <w:r>
        <w:tab/>
        <w:t xml:space="preserve">1. </w:t>
      </w:r>
      <w:r>
        <w:rPr>
          <w:color w:val="000000"/>
        </w:rPr>
        <w:t>Pareigybės lygmuo – įstaigos vadovas (kai įstaiga veikia ne visoje valstybės teritorijoje) (II lygmuo)</w:t>
      </w:r>
      <w:r>
        <w:t xml:space="preserve">. </w:t>
      </w:r>
    </w:p>
    <w:p w14:paraId="2F3062CD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tab/>
        <w:t xml:space="preserve">2. </w:t>
      </w:r>
      <w:r>
        <w:rPr>
          <w:color w:val="000000"/>
        </w:rPr>
        <w:t>Šias pareigas einantis valstybės tarnautojas yra atskaitingas Savivaldybės tarybai.</w:t>
      </w:r>
    </w:p>
    <w:p w14:paraId="6E4B239E" w14:textId="77777777" w:rsidR="00264575" w:rsidRDefault="00264575" w:rsidP="00264575">
      <w:pPr>
        <w:jc w:val="both"/>
        <w:rPr>
          <w:color w:val="000000"/>
        </w:rPr>
      </w:pPr>
    </w:p>
    <w:p w14:paraId="53A259BC" w14:textId="77777777" w:rsidR="00264575" w:rsidRDefault="00264575" w:rsidP="00264575">
      <w:pPr>
        <w:jc w:val="center"/>
        <w:rPr>
          <w:sz w:val="20"/>
          <w:szCs w:val="20"/>
        </w:rPr>
      </w:pPr>
      <w:r>
        <w:rPr>
          <w:b/>
          <w:color w:val="000000"/>
        </w:rPr>
        <w:t>II SKYRIUS</w:t>
      </w:r>
    </w:p>
    <w:p w14:paraId="16596C86" w14:textId="77777777" w:rsidR="00264575" w:rsidRDefault="00264575" w:rsidP="00264575">
      <w:pPr>
        <w:jc w:val="center"/>
        <w:rPr>
          <w:b/>
          <w:color w:val="000000"/>
        </w:rPr>
      </w:pPr>
      <w:r>
        <w:rPr>
          <w:b/>
          <w:color w:val="000000"/>
        </w:rPr>
        <w:t>FUNKCIJOS</w:t>
      </w:r>
    </w:p>
    <w:p w14:paraId="7FA50161" w14:textId="77777777" w:rsidR="00264575" w:rsidRDefault="00264575" w:rsidP="00264575">
      <w:pPr>
        <w:jc w:val="center"/>
        <w:rPr>
          <w:b/>
          <w:color w:val="000000"/>
        </w:rPr>
      </w:pPr>
    </w:p>
    <w:p w14:paraId="7832E8FC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3. Vadovauja įstaigai.</w:t>
      </w:r>
      <w:r>
        <w:rPr>
          <w:color w:val="000000"/>
        </w:rPr>
        <w:tab/>
      </w:r>
    </w:p>
    <w:p w14:paraId="54210A66" w14:textId="58CB2A80" w:rsidR="00264575" w:rsidRDefault="00264575" w:rsidP="00392C3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4. Atstovauja įstaigai santykiuose su kitomis įstaigomis, organizacijomis bei fiziniais asmenimis.</w:t>
      </w:r>
    </w:p>
    <w:p w14:paraId="1298D8D4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5. Valdo įstaigos funkcijų atlikimo kokybę, savalaikiškumą ir atitiktį veiklos sričiai keliamiems reikalavimams.</w:t>
      </w:r>
    </w:p>
    <w:p w14:paraId="0CC2F477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6. Valdo įstaigos išteklius.</w:t>
      </w:r>
    </w:p>
    <w:p w14:paraId="2E293C98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7. Atlieka Lietuvos Respublikos vietos savivaldos įstatymo 27 straipsnyje ir kituose  teisės aktuose savivaldybės kontrolieriui nustatytas funkcijas.</w:t>
      </w:r>
    </w:p>
    <w:p w14:paraId="7F065201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8. Vykdo kitus nenuolatinio pobūdžio su įstaigos veikla susijusius pavedimus.</w:t>
      </w:r>
    </w:p>
    <w:p w14:paraId="3084F8CF" w14:textId="77777777" w:rsidR="00264575" w:rsidRDefault="00264575" w:rsidP="00392C35">
      <w:pPr>
        <w:spacing w:line="360" w:lineRule="auto"/>
        <w:jc w:val="both"/>
        <w:rPr>
          <w:color w:val="000000"/>
        </w:rPr>
      </w:pPr>
    </w:p>
    <w:p w14:paraId="7849EE32" w14:textId="77777777" w:rsidR="00264575" w:rsidRDefault="00264575" w:rsidP="00264575">
      <w:pPr>
        <w:jc w:val="center"/>
        <w:rPr>
          <w:sz w:val="20"/>
        </w:rPr>
      </w:pPr>
      <w:r>
        <w:rPr>
          <w:b/>
          <w:color w:val="000000"/>
        </w:rPr>
        <w:t>III SKYRIUS</w:t>
      </w:r>
    </w:p>
    <w:p w14:paraId="4743DB91" w14:textId="77777777" w:rsidR="00264575" w:rsidRDefault="00264575" w:rsidP="00264575">
      <w:pPr>
        <w:jc w:val="center"/>
        <w:rPr>
          <w:color w:val="000000"/>
        </w:rPr>
      </w:pPr>
      <w:r>
        <w:rPr>
          <w:b/>
          <w:color w:val="000000"/>
        </w:rPr>
        <w:t>SPECIALIEJI REIKALAVIMAI</w:t>
      </w:r>
    </w:p>
    <w:p w14:paraId="114B16A1" w14:textId="77777777" w:rsidR="00264575" w:rsidRDefault="00264575" w:rsidP="00264575">
      <w:pPr>
        <w:jc w:val="both"/>
        <w:rPr>
          <w:color w:val="000000"/>
        </w:rPr>
      </w:pPr>
      <w:r>
        <w:rPr>
          <w:color w:val="000000"/>
        </w:rPr>
        <w:tab/>
      </w:r>
    </w:p>
    <w:p w14:paraId="08AFE6DF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9. Išsilavinimo ir darbo patirties reikalavimai:</w:t>
      </w:r>
    </w:p>
    <w:p w14:paraId="5F38BE52" w14:textId="4C19C0D9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9.1. išsilavinimas – aukštasis universitetinis išsilavinimas (bakalauro ir magistro kvalifikaciniai laipsniai arba </w:t>
      </w:r>
      <w:r w:rsidR="00D074F5">
        <w:rPr>
          <w:color w:val="000000"/>
        </w:rPr>
        <w:t xml:space="preserve">įgytas </w:t>
      </w:r>
      <w:r>
        <w:rPr>
          <w:color w:val="000000"/>
        </w:rPr>
        <w:t>vientis</w:t>
      </w:r>
      <w:r w:rsidR="00D074F5">
        <w:rPr>
          <w:color w:val="000000"/>
        </w:rPr>
        <w:t>ųjų</w:t>
      </w:r>
      <w:r>
        <w:rPr>
          <w:color w:val="000000"/>
        </w:rPr>
        <w:t xml:space="preserve"> studij</w:t>
      </w:r>
      <w:r w:rsidR="00D074F5">
        <w:rPr>
          <w:color w:val="000000"/>
        </w:rPr>
        <w:t>ų</w:t>
      </w:r>
      <w:r>
        <w:rPr>
          <w:color w:val="000000"/>
        </w:rPr>
        <w:t xml:space="preserve"> magistro kvalifikacinis laipsnis) arba jam lygiavertė aukštojo mokslo kvalifikacija;</w:t>
      </w:r>
    </w:p>
    <w:p w14:paraId="1EEA2A4E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9.2. darbo patirtis – finansų, ekonomikos, teisės, audito arba kontrolės sritis;</w:t>
      </w:r>
    </w:p>
    <w:p w14:paraId="1865B600" w14:textId="77777777" w:rsidR="00264575" w:rsidRDefault="00264575" w:rsidP="00392C35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9.3. darbo patirties trukmė – ne mažiau kaip 3 metai.</w:t>
      </w:r>
    </w:p>
    <w:p w14:paraId="1103D24E" w14:textId="77777777" w:rsidR="00264575" w:rsidRDefault="00264575" w:rsidP="00264575">
      <w:pPr>
        <w:jc w:val="both"/>
        <w:rPr>
          <w:color w:val="000000"/>
        </w:rPr>
      </w:pPr>
    </w:p>
    <w:p w14:paraId="5AA7A591" w14:textId="77777777" w:rsidR="00264575" w:rsidRDefault="00264575" w:rsidP="00264575">
      <w:pPr>
        <w:jc w:val="center"/>
        <w:rPr>
          <w:sz w:val="20"/>
        </w:rPr>
      </w:pPr>
      <w:r>
        <w:rPr>
          <w:b/>
          <w:color w:val="000000"/>
        </w:rPr>
        <w:lastRenderedPageBreak/>
        <w:t>IV SKYRIUS</w:t>
      </w:r>
    </w:p>
    <w:p w14:paraId="6C87A475" w14:textId="77777777" w:rsidR="00264575" w:rsidRDefault="00264575" w:rsidP="00264575">
      <w:pPr>
        <w:jc w:val="center"/>
        <w:rPr>
          <w:b/>
          <w:color w:val="000000"/>
        </w:rPr>
      </w:pPr>
      <w:r>
        <w:rPr>
          <w:b/>
          <w:color w:val="000000"/>
        </w:rPr>
        <w:t>KOMPETENCIJOS</w:t>
      </w:r>
    </w:p>
    <w:p w14:paraId="2ABD1537" w14:textId="77777777" w:rsidR="00264575" w:rsidRDefault="00264575" w:rsidP="00264575">
      <w:pPr>
        <w:jc w:val="center"/>
        <w:rPr>
          <w:b/>
          <w:color w:val="000000"/>
        </w:rPr>
      </w:pPr>
    </w:p>
    <w:p w14:paraId="32E3AA6F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10. Bendrosios kompetencijos ir jų pakankami lygiai:</w:t>
      </w:r>
    </w:p>
    <w:p w14:paraId="630E3ACA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10.1. vertės visuomenei kūrimas – 5;</w:t>
      </w:r>
    </w:p>
    <w:p w14:paraId="33F248C0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10.2. organizuotumas – 5;</w:t>
      </w:r>
    </w:p>
    <w:p w14:paraId="70DDC0C5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10.3. patikimumas ir atsakingumas – 5;</w:t>
      </w:r>
    </w:p>
    <w:p w14:paraId="0639294D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10.4. analizė ir pagrindimas – 5;</w:t>
      </w:r>
    </w:p>
    <w:p w14:paraId="59F21975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10.5. komunikacija – 5.</w:t>
      </w:r>
    </w:p>
    <w:p w14:paraId="37C776F8" w14:textId="77777777" w:rsidR="00264575" w:rsidRDefault="00264575" w:rsidP="00D367B8">
      <w:pPr>
        <w:spacing w:line="360" w:lineRule="auto"/>
        <w:jc w:val="both"/>
        <w:rPr>
          <w:color w:val="FFFFFF"/>
        </w:rPr>
      </w:pPr>
      <w:r>
        <w:rPr>
          <w:color w:val="000000"/>
        </w:rPr>
        <w:tab/>
        <w:t>11. Vadybinės ir lyderystės kompetencijos ir jų pakankami lygiai:</w:t>
      </w:r>
      <w:r>
        <w:rPr>
          <w:color w:val="FFFFFF"/>
        </w:rPr>
        <w:t>0</w:t>
      </w:r>
    </w:p>
    <w:p w14:paraId="7A2BDD49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FFFFFF"/>
        </w:rPr>
        <w:tab/>
      </w:r>
      <w:r>
        <w:rPr>
          <w:color w:val="000000"/>
        </w:rPr>
        <w:t>11.1. strateginis požiūris – 5;</w:t>
      </w:r>
    </w:p>
    <w:p w14:paraId="7FD52783" w14:textId="77777777" w:rsidR="00264575" w:rsidRDefault="00264575" w:rsidP="00D367B8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11.2. veiklos valdymas – 5;</w:t>
      </w:r>
    </w:p>
    <w:p w14:paraId="2F59BF4E" w14:textId="77777777" w:rsidR="00264575" w:rsidRDefault="00264575" w:rsidP="00D367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11.3. lyderystė – 4.</w:t>
      </w:r>
    </w:p>
    <w:p w14:paraId="210CF0C6" w14:textId="1308196E" w:rsidR="00264575" w:rsidRDefault="00264575" w:rsidP="00D367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12.</w:t>
      </w:r>
      <w:r w:rsidR="00D074F5">
        <w:rPr>
          <w:color w:val="000000"/>
        </w:rPr>
        <w:t xml:space="preserve"> </w:t>
      </w:r>
      <w:r>
        <w:rPr>
          <w:color w:val="000000"/>
        </w:rPr>
        <w:t>Specifinės kompetencijos ir jų pakankami lygiai:</w:t>
      </w:r>
    </w:p>
    <w:p w14:paraId="087DA2D1" w14:textId="77777777" w:rsidR="00264575" w:rsidRDefault="00264575" w:rsidP="00D367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12.1. kontrolės ir priežiūros proceso valdymas – 5;</w:t>
      </w:r>
    </w:p>
    <w:p w14:paraId="56DBD8F5" w14:textId="77777777" w:rsidR="00264575" w:rsidRDefault="00264575" w:rsidP="00D367B8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12.2. derybų valdymas – 5.</w:t>
      </w:r>
    </w:p>
    <w:p w14:paraId="4B1F0F36" w14:textId="77777777" w:rsidR="00264575" w:rsidRDefault="00264575" w:rsidP="00264575">
      <w:pPr>
        <w:ind w:firstLine="1296"/>
        <w:jc w:val="both"/>
        <w:rPr>
          <w:color w:val="000000"/>
        </w:rPr>
      </w:pPr>
      <w:r>
        <w:rPr>
          <w:color w:val="000000"/>
        </w:rPr>
        <w:t xml:space="preserve">   </w:t>
      </w:r>
    </w:p>
    <w:p w14:paraId="01976D27" w14:textId="77777777" w:rsidR="00264575" w:rsidRDefault="00264575" w:rsidP="00264575">
      <w:pPr>
        <w:ind w:firstLine="1296"/>
        <w:jc w:val="both"/>
        <w:rPr>
          <w:color w:val="000000"/>
        </w:rPr>
      </w:pPr>
    </w:p>
    <w:p w14:paraId="29431F2D" w14:textId="77777777" w:rsidR="00264575" w:rsidRDefault="00264575" w:rsidP="00264575">
      <w:pPr>
        <w:ind w:firstLine="1296"/>
        <w:jc w:val="both"/>
        <w:rPr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6"/>
        <w:gridCol w:w="9068"/>
      </w:tblGrid>
      <w:tr w:rsidR="00264575" w14:paraId="77F17E2D" w14:textId="77777777" w:rsidTr="00264575">
        <w:tc>
          <w:tcPr>
            <w:tcW w:w="13" w:type="dxa"/>
          </w:tcPr>
          <w:p w14:paraId="0F0FC90F" w14:textId="77777777" w:rsidR="00264575" w:rsidRDefault="00264575">
            <w:pPr>
              <w:pStyle w:val="EmptyLayoutCell"/>
              <w:spacing w:line="256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6BA0FCE8" w14:textId="77777777" w:rsidR="00264575" w:rsidRDefault="00264575">
            <w:pPr>
              <w:pStyle w:val="EmptyLayoutCell"/>
              <w:spacing w:line="256" w:lineRule="auto"/>
              <w:rPr>
                <w:lang w:val="lt-LT"/>
              </w:rPr>
            </w:pPr>
          </w:p>
        </w:tc>
        <w:tc>
          <w:tcPr>
            <w:tcW w:w="6" w:type="dxa"/>
          </w:tcPr>
          <w:p w14:paraId="1A13382C" w14:textId="77777777" w:rsidR="00264575" w:rsidRDefault="00264575">
            <w:pPr>
              <w:pStyle w:val="EmptyLayoutCell"/>
              <w:spacing w:line="256" w:lineRule="auto"/>
              <w:rPr>
                <w:lang w:val="lt-LT"/>
              </w:rPr>
            </w:pPr>
          </w:p>
        </w:tc>
        <w:tc>
          <w:tcPr>
            <w:tcW w:w="9068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5668"/>
            </w:tblGrid>
            <w:tr w:rsidR="00264575" w14:paraId="4CD0A30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5EB0CB" w14:textId="77777777" w:rsidR="00264575" w:rsidRDefault="00264575">
                  <w:pPr>
                    <w:spacing w:line="256" w:lineRule="auto"/>
                  </w:pPr>
                  <w:r>
                    <w:rPr>
                      <w:color w:val="000000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B16085" w14:textId="77777777" w:rsidR="00264575" w:rsidRDefault="00264575">
                  <w:pPr>
                    <w:spacing w:line="256" w:lineRule="auto"/>
                  </w:pPr>
                </w:p>
              </w:tc>
            </w:tr>
            <w:tr w:rsidR="00264575" w14:paraId="725276AA" w14:textId="77777777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0C60FE" w14:textId="77777777" w:rsidR="00264575" w:rsidRDefault="00264575">
                  <w:pPr>
                    <w:spacing w:line="256" w:lineRule="auto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F1FBB8" w14:textId="77777777" w:rsidR="00264575" w:rsidRDefault="00264575">
                  <w:pPr>
                    <w:spacing w:line="256" w:lineRule="auto"/>
                  </w:pPr>
                </w:p>
              </w:tc>
            </w:tr>
            <w:tr w:rsidR="00264575" w14:paraId="436539D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09F5A22" w14:textId="77777777" w:rsidR="00264575" w:rsidRDefault="00264575">
                  <w:pPr>
                    <w:spacing w:line="256" w:lineRule="auto"/>
                  </w:pPr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51A64A" w14:textId="77777777" w:rsidR="00264575" w:rsidRDefault="00264575">
                  <w:pPr>
                    <w:spacing w:line="256" w:lineRule="auto"/>
                  </w:pPr>
                </w:p>
              </w:tc>
            </w:tr>
            <w:tr w:rsidR="00264575" w14:paraId="4842A009" w14:textId="77777777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69394A" w14:textId="77777777" w:rsidR="00264575" w:rsidRDefault="00264575">
                  <w:pPr>
                    <w:spacing w:line="256" w:lineRule="auto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77E3C" w14:textId="77777777" w:rsidR="00264575" w:rsidRDefault="00264575">
                  <w:pPr>
                    <w:spacing w:line="256" w:lineRule="auto"/>
                  </w:pPr>
                </w:p>
              </w:tc>
            </w:tr>
            <w:tr w:rsidR="00264575" w14:paraId="4584AE4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F0243C0" w14:textId="77777777" w:rsidR="00264575" w:rsidRDefault="00264575">
                  <w:pPr>
                    <w:spacing w:line="256" w:lineRule="auto"/>
                  </w:pPr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DE55B" w14:textId="77777777" w:rsidR="00264575" w:rsidRDefault="00264575">
                  <w:pPr>
                    <w:spacing w:line="256" w:lineRule="auto"/>
                  </w:pPr>
                </w:p>
              </w:tc>
            </w:tr>
            <w:tr w:rsidR="00264575" w14:paraId="06AFE21C" w14:textId="77777777">
              <w:trPr>
                <w:trHeight w:val="260"/>
              </w:trPr>
              <w:tc>
                <w:tcPr>
                  <w:tcW w:w="340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1E8195" w14:textId="77777777" w:rsidR="00264575" w:rsidRDefault="00264575">
                  <w:pPr>
                    <w:spacing w:line="256" w:lineRule="auto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5DF5EA" w14:textId="77777777" w:rsidR="00264575" w:rsidRDefault="00264575">
                  <w:pPr>
                    <w:spacing w:line="256" w:lineRule="auto"/>
                  </w:pPr>
                </w:p>
              </w:tc>
            </w:tr>
            <w:tr w:rsidR="00264575" w14:paraId="4AF8A47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820651" w14:textId="77777777" w:rsidR="00264575" w:rsidRDefault="00264575">
                  <w:pPr>
                    <w:spacing w:line="256" w:lineRule="auto"/>
                  </w:pPr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392978" w14:textId="77777777" w:rsidR="00264575" w:rsidRDefault="00264575">
                  <w:pPr>
                    <w:spacing w:line="256" w:lineRule="auto"/>
                  </w:pPr>
                </w:p>
              </w:tc>
            </w:tr>
            <w:tr w:rsidR="00264575" w14:paraId="35D4CC5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CACBE4" w14:textId="77777777" w:rsidR="00264575" w:rsidRDefault="00264575">
                  <w:pPr>
                    <w:spacing w:line="256" w:lineRule="auto"/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FCAF0F" w14:textId="77777777" w:rsidR="00264575" w:rsidRDefault="00264575">
                  <w:pPr>
                    <w:spacing w:line="256" w:lineRule="auto"/>
                  </w:pPr>
                </w:p>
              </w:tc>
            </w:tr>
          </w:tbl>
          <w:p w14:paraId="3FB0AD34" w14:textId="77777777" w:rsidR="00264575" w:rsidRDefault="00264575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4925E916" w14:textId="77777777" w:rsidR="00C22A49" w:rsidRPr="00C22A49" w:rsidRDefault="00C22A49" w:rsidP="00995E34"/>
    <w:p w14:paraId="4E6BCF40" w14:textId="77777777" w:rsidR="00806555" w:rsidRPr="00C22A49" w:rsidRDefault="00806555" w:rsidP="00806555">
      <w:pPr>
        <w:suppressAutoHyphens/>
        <w:rPr>
          <w:lang w:eastAsia="ar-SA"/>
        </w:rPr>
      </w:pPr>
    </w:p>
    <w:p w14:paraId="18FAB76C" w14:textId="77777777" w:rsidR="006E1A2C" w:rsidRPr="00C22A49" w:rsidRDefault="006E1A2C" w:rsidP="00806555">
      <w:pPr>
        <w:suppressAutoHyphens/>
        <w:rPr>
          <w:lang w:eastAsia="ar-SA"/>
        </w:rPr>
      </w:pPr>
    </w:p>
    <w:p w14:paraId="655B76A9" w14:textId="77777777" w:rsidR="00C22A49" w:rsidRDefault="00C22A49">
      <w:pPr>
        <w:rPr>
          <w:b/>
        </w:rPr>
      </w:pPr>
      <w:r>
        <w:rPr>
          <w:b/>
        </w:rPr>
        <w:br w:type="page"/>
      </w:r>
    </w:p>
    <w:p w14:paraId="00E415BA" w14:textId="77777777" w:rsidR="00D452AF" w:rsidRPr="00C22A49" w:rsidRDefault="00D452AF" w:rsidP="00D452AF">
      <w:pPr>
        <w:jc w:val="center"/>
        <w:rPr>
          <w:b/>
        </w:rPr>
      </w:pPr>
      <w:r w:rsidRPr="00C22A49">
        <w:rPr>
          <w:b/>
        </w:rPr>
        <w:lastRenderedPageBreak/>
        <w:t xml:space="preserve">LAZDIJŲ RAJONO SAVIVALDYBĖS TARYBOS SPRENDIMO </w:t>
      </w:r>
    </w:p>
    <w:p w14:paraId="49223C5D" w14:textId="77777777" w:rsidR="00D452AF" w:rsidRPr="00C22A49" w:rsidRDefault="00D452AF" w:rsidP="00C22A49">
      <w:pPr>
        <w:jc w:val="center"/>
        <w:rPr>
          <w:b/>
        </w:rPr>
      </w:pPr>
      <w:r w:rsidRPr="00C22A49">
        <w:rPr>
          <w:b/>
        </w:rPr>
        <w:t>„</w:t>
      </w:r>
      <w:r w:rsidR="00C22A49" w:rsidRPr="00C22A49">
        <w:rPr>
          <w:b/>
        </w:rPr>
        <w:t>DĖL LAZDIJŲ RAJONO SAVIVALDYBĖS KONTROLĖS IR AUDITO TARNYBOS</w:t>
      </w:r>
      <w:r w:rsidR="00C22A49">
        <w:rPr>
          <w:b/>
        </w:rPr>
        <w:t xml:space="preserve"> </w:t>
      </w:r>
      <w:r w:rsidR="00C22A49" w:rsidRPr="00C22A49">
        <w:rPr>
          <w:b/>
        </w:rPr>
        <w:t>SAVIVALDYBĖS KONTROLIERIAUS PAREIGYBĖS APRAŠYMO PATVIRTINIMO</w:t>
      </w:r>
      <w:r w:rsidRPr="00C22A49">
        <w:rPr>
          <w:b/>
        </w:rPr>
        <w:t>“</w:t>
      </w:r>
    </w:p>
    <w:p w14:paraId="417293AD" w14:textId="77777777" w:rsidR="00D452AF" w:rsidRPr="00C22A49" w:rsidRDefault="00D452AF" w:rsidP="00D452AF">
      <w:pPr>
        <w:jc w:val="center"/>
        <w:rPr>
          <w:b/>
        </w:rPr>
      </w:pPr>
      <w:r w:rsidRPr="00C22A49">
        <w:rPr>
          <w:b/>
        </w:rPr>
        <w:t>PROJEKTO</w:t>
      </w:r>
    </w:p>
    <w:p w14:paraId="63983B9F" w14:textId="77777777" w:rsidR="00D452AF" w:rsidRPr="00C22A49" w:rsidRDefault="00D452AF" w:rsidP="00D452AF">
      <w:pPr>
        <w:jc w:val="center"/>
        <w:rPr>
          <w:b/>
        </w:rPr>
      </w:pPr>
      <w:r w:rsidRPr="00C22A49">
        <w:rPr>
          <w:b/>
        </w:rPr>
        <w:t>AIŠKINAMASIS RAŠTAS</w:t>
      </w:r>
    </w:p>
    <w:p w14:paraId="6234328E" w14:textId="77777777" w:rsidR="00C22A49" w:rsidRDefault="00C22A49" w:rsidP="00D452AF">
      <w:pPr>
        <w:jc w:val="center"/>
      </w:pPr>
    </w:p>
    <w:p w14:paraId="07844BBA" w14:textId="205E9ABF" w:rsidR="00D452AF" w:rsidRPr="00C22A49" w:rsidRDefault="00D452AF" w:rsidP="00D452AF">
      <w:pPr>
        <w:jc w:val="center"/>
      </w:pPr>
      <w:r w:rsidRPr="00C22A49">
        <w:t>20</w:t>
      </w:r>
      <w:r w:rsidR="00D367B8">
        <w:t>20-06-10</w:t>
      </w:r>
    </w:p>
    <w:p w14:paraId="7959E5C0" w14:textId="77777777" w:rsidR="00D452AF" w:rsidRPr="00C22A49" w:rsidRDefault="00D452AF" w:rsidP="00D452AF">
      <w:pPr>
        <w:jc w:val="center"/>
        <w:rPr>
          <w:b/>
        </w:rPr>
      </w:pPr>
    </w:p>
    <w:p w14:paraId="08CFE606" w14:textId="36F81DAC" w:rsidR="00D452AF" w:rsidRPr="00C22A49" w:rsidRDefault="00D452AF" w:rsidP="00C22A49">
      <w:pPr>
        <w:spacing w:line="360" w:lineRule="auto"/>
        <w:ind w:firstLine="709"/>
        <w:jc w:val="both"/>
      </w:pPr>
      <w:r w:rsidRPr="00C22A49">
        <w:t xml:space="preserve">Lazdijų rajono savivaldybės tarybos sprendimo projektas „Dėl Lazdijų rajono savivaldybės </w:t>
      </w:r>
      <w:r w:rsidR="00C22A49">
        <w:t>kontrolės ir audito tarnybos savivaldybės kontrolieriaus</w:t>
      </w:r>
      <w:r w:rsidRPr="00C22A49">
        <w:t xml:space="preserve"> pareigybės aprašymo patvirtinimo“ parengtas vadovaujantis Lietuvos Respublikos vietos sa</w:t>
      </w:r>
      <w:r w:rsidR="00C22A49">
        <w:t>vivaldos</w:t>
      </w:r>
      <w:r w:rsidR="00A36503">
        <w:t xml:space="preserve"> įstatymu, </w:t>
      </w:r>
      <w:r w:rsidR="00A36503" w:rsidRPr="00C22A49">
        <w:t>Lietuvos Respublikos</w:t>
      </w:r>
      <w:r w:rsidR="00C22A49">
        <w:t xml:space="preserve"> </w:t>
      </w:r>
      <w:r w:rsidR="00A36503">
        <w:t>v</w:t>
      </w:r>
      <w:r w:rsidR="00C22A49">
        <w:t xml:space="preserve">alstybės tarnybos </w:t>
      </w:r>
      <w:r w:rsidRPr="00C22A49">
        <w:t>įstatym</w:t>
      </w:r>
      <w:r w:rsidR="00A36503">
        <w:t xml:space="preserve">u ir </w:t>
      </w:r>
      <w:r w:rsidR="00E90E77" w:rsidRPr="00C22A49">
        <w:t>Valstybės tarnautojų pareigybių aprašymo ir vertinimo metodika</w:t>
      </w:r>
      <w:r w:rsidRPr="00C22A49">
        <w:t xml:space="preserve">. </w:t>
      </w:r>
    </w:p>
    <w:p w14:paraId="2AB81D9E" w14:textId="14EEC006" w:rsidR="00D452AF" w:rsidRPr="00C22A49" w:rsidRDefault="00C22A49" w:rsidP="00F64AAF">
      <w:pPr>
        <w:spacing w:line="360" w:lineRule="auto"/>
        <w:ind w:firstLine="709"/>
        <w:jc w:val="both"/>
      </w:pPr>
      <w:r>
        <w:t>Š</w:t>
      </w:r>
      <w:r w:rsidRPr="00C22A49">
        <w:t xml:space="preserve">io projekto tikslas – patvirtinti naujos redakcijos Lazdijų rajono savivaldybės </w:t>
      </w:r>
      <w:r>
        <w:t>kontrolės ir audito tarnybos</w:t>
      </w:r>
      <w:r w:rsidRPr="00C22A49">
        <w:t xml:space="preserve"> </w:t>
      </w:r>
      <w:r w:rsidR="00F64AAF">
        <w:t>savivaldybės kontrolieriaus</w:t>
      </w:r>
      <w:r w:rsidRPr="00C22A49">
        <w:t xml:space="preserve"> pareigybės aprašymą, </w:t>
      </w:r>
      <w:r w:rsidR="00E90E77">
        <w:t>kadangi nuo 2020</w:t>
      </w:r>
      <w:r w:rsidRPr="00C22A49">
        <w:t xml:space="preserve"> m. </w:t>
      </w:r>
      <w:r w:rsidR="005874FD">
        <w:t>liepos</w:t>
      </w:r>
      <w:r w:rsidRPr="00C22A49">
        <w:t xml:space="preserve"> 1 d. įsigalioja </w:t>
      </w:r>
      <w:r w:rsidR="00DC08DD" w:rsidRPr="00C22A49">
        <w:t>nauja Valstybės tarnautojų pareigybių aprašymo ir vertinimo metodik</w:t>
      </w:r>
      <w:r w:rsidR="005874FD">
        <w:t>os redakcija</w:t>
      </w:r>
      <w:r w:rsidR="001C500A">
        <w:t>, pagal kurią ir parengtas šis pareigybės aprašymas</w:t>
      </w:r>
      <w:r w:rsidR="00DC08DD" w:rsidRPr="00C22A49">
        <w:t>.</w:t>
      </w:r>
    </w:p>
    <w:p w14:paraId="7454FB08" w14:textId="77777777" w:rsidR="00D452AF" w:rsidRPr="00C22A49" w:rsidRDefault="00D452AF" w:rsidP="00F64AAF">
      <w:pPr>
        <w:spacing w:line="360" w:lineRule="auto"/>
        <w:ind w:firstLine="709"/>
        <w:jc w:val="both"/>
      </w:pPr>
      <w:r w:rsidRPr="00C22A49">
        <w:t>Parengtas sprendimo projektas neprieštarauja galiojantiems teisės aktams.</w:t>
      </w:r>
    </w:p>
    <w:p w14:paraId="7B2F4A6E" w14:textId="77777777" w:rsidR="00D452AF" w:rsidRPr="00C22A49" w:rsidRDefault="00D452AF" w:rsidP="00F64AAF">
      <w:pPr>
        <w:spacing w:line="360" w:lineRule="auto"/>
        <w:ind w:firstLine="709"/>
        <w:jc w:val="both"/>
      </w:pPr>
      <w:r w:rsidRPr="00C22A49">
        <w:t>Priėmus sprendimo projektą, neigiamų pasekmių nenumatoma.</w:t>
      </w:r>
    </w:p>
    <w:p w14:paraId="604746C9" w14:textId="77777777" w:rsidR="00D452AF" w:rsidRPr="00C22A49" w:rsidRDefault="00D452AF" w:rsidP="00F64AAF">
      <w:pPr>
        <w:spacing w:line="360" w:lineRule="auto"/>
        <w:ind w:firstLine="709"/>
        <w:jc w:val="both"/>
      </w:pPr>
      <w:r w:rsidRPr="00C22A49">
        <w:t>Dėl sprendimo projekto pastabų ir pasiūlymų negauta.</w:t>
      </w:r>
    </w:p>
    <w:p w14:paraId="29736B5B" w14:textId="63B0A54A" w:rsidR="00D452AF" w:rsidRPr="00C22A49" w:rsidRDefault="00D452AF" w:rsidP="00F64AAF">
      <w:pPr>
        <w:spacing w:line="360" w:lineRule="auto"/>
        <w:ind w:firstLine="709"/>
        <w:jc w:val="both"/>
      </w:pPr>
      <w:r w:rsidRPr="00C22A49">
        <w:t xml:space="preserve">Sprendimo projektą parengė Lazdijų rajono savivaldybės administracijos </w:t>
      </w:r>
      <w:r w:rsidR="001C500A">
        <w:t>Teisės, personalo ir civilinės metrikacijos</w:t>
      </w:r>
      <w:r w:rsidRPr="00C22A49">
        <w:t xml:space="preserve"> skyriaus </w:t>
      </w:r>
      <w:r w:rsidR="00F64AAF">
        <w:t>vyr. specialistė Adelė Sukackienė</w:t>
      </w:r>
      <w:r w:rsidRPr="00C22A49">
        <w:t>.</w:t>
      </w:r>
    </w:p>
    <w:p w14:paraId="4BEA4FD5" w14:textId="77777777" w:rsidR="00D452AF" w:rsidRPr="00C22A49" w:rsidRDefault="00D452AF" w:rsidP="00D452AF">
      <w:pPr>
        <w:jc w:val="center"/>
      </w:pPr>
    </w:p>
    <w:p w14:paraId="77058D0C" w14:textId="77777777" w:rsidR="00D452AF" w:rsidRPr="00C22A49" w:rsidRDefault="00D452AF" w:rsidP="00D452AF">
      <w:pPr>
        <w:jc w:val="center"/>
      </w:pPr>
    </w:p>
    <w:p w14:paraId="2B00EA11" w14:textId="77777777" w:rsidR="00D452AF" w:rsidRPr="00C22A49" w:rsidRDefault="00D452AF" w:rsidP="00D452AF">
      <w:pPr>
        <w:jc w:val="center"/>
      </w:pPr>
    </w:p>
    <w:p w14:paraId="5D204672" w14:textId="5C29D095" w:rsidR="00D452AF" w:rsidRPr="00C22A49" w:rsidRDefault="001C500A" w:rsidP="00F64AAF">
      <w:pPr>
        <w:jc w:val="both"/>
      </w:pPr>
      <w:r>
        <w:t>Teisės, personalo ir civilinės metrikacijos</w:t>
      </w:r>
      <w:r w:rsidRPr="00C22A49">
        <w:t xml:space="preserve"> </w:t>
      </w:r>
      <w:r w:rsidR="00F64AAF">
        <w:t>skyriaus vyr. specialistė</w:t>
      </w:r>
      <w:r w:rsidR="00F64AAF">
        <w:tab/>
      </w:r>
      <w:r w:rsidR="00F64AAF">
        <w:tab/>
      </w:r>
      <w:r w:rsidR="00F64AAF">
        <w:tab/>
        <w:t>Adelė Sukackienė</w:t>
      </w:r>
    </w:p>
    <w:sectPr w:rsidR="00D452AF" w:rsidRPr="00C22A49" w:rsidSect="006E1A2C">
      <w:headerReference w:type="default" r:id="rId11"/>
      <w:headerReference w:type="first" r:id="rId12"/>
      <w:type w:val="continuous"/>
      <w:pgSz w:w="12240" w:h="15840"/>
      <w:pgMar w:top="1134" w:right="567" w:bottom="1134" w:left="1701" w:header="567" w:footer="567" w:gutter="0"/>
      <w:pgNumType w:start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FB781" w14:textId="77777777" w:rsidR="004645C0" w:rsidRDefault="004645C0" w:rsidP="00806555">
      <w:r>
        <w:separator/>
      </w:r>
    </w:p>
  </w:endnote>
  <w:endnote w:type="continuationSeparator" w:id="0">
    <w:p w14:paraId="18A8A1FC" w14:textId="77777777" w:rsidR="004645C0" w:rsidRDefault="004645C0" w:rsidP="0080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55522" w14:textId="77777777" w:rsidR="004645C0" w:rsidRDefault="004645C0" w:rsidP="00806555">
      <w:r>
        <w:separator/>
      </w:r>
    </w:p>
  </w:footnote>
  <w:footnote w:type="continuationSeparator" w:id="0">
    <w:p w14:paraId="35A8EC68" w14:textId="77777777" w:rsidR="004645C0" w:rsidRDefault="004645C0" w:rsidP="0080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803F" w14:textId="77777777" w:rsidR="00806555" w:rsidRDefault="0080655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06B0E">
      <w:rPr>
        <w:noProof/>
      </w:rPr>
      <w:t>5</w:t>
    </w:r>
    <w:r>
      <w:fldChar w:fldCharType="end"/>
    </w:r>
  </w:p>
  <w:p w14:paraId="54D0C003" w14:textId="77777777" w:rsidR="00806555" w:rsidRDefault="0080655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E48C" w14:textId="77777777" w:rsidR="00E50277" w:rsidRPr="004809E0" w:rsidRDefault="00D4156D" w:rsidP="00995E34">
    <w:pPr>
      <w:pStyle w:val="Antrats"/>
      <w:jc w:val="right"/>
      <w:rPr>
        <w:b/>
      </w:rPr>
    </w:pPr>
    <w:r w:rsidRPr="004809E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B0790"/>
    <w:multiLevelType w:val="multilevel"/>
    <w:tmpl w:val="9A60F0B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" w15:restartNumberingAfterBreak="0">
    <w:nsid w:val="4A224CC7"/>
    <w:multiLevelType w:val="hybridMultilevel"/>
    <w:tmpl w:val="59C4390C"/>
    <w:lvl w:ilvl="0" w:tplc="81924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2"/>
    <w:rsid w:val="000154E3"/>
    <w:rsid w:val="00020858"/>
    <w:rsid w:val="000356D8"/>
    <w:rsid w:val="00044686"/>
    <w:rsid w:val="00075FB6"/>
    <w:rsid w:val="00087676"/>
    <w:rsid w:val="00092176"/>
    <w:rsid w:val="000A0785"/>
    <w:rsid w:val="000C1C46"/>
    <w:rsid w:val="000C636F"/>
    <w:rsid w:val="000E5A4F"/>
    <w:rsid w:val="000F3ED1"/>
    <w:rsid w:val="00107CF3"/>
    <w:rsid w:val="001277A4"/>
    <w:rsid w:val="00144B17"/>
    <w:rsid w:val="0016652C"/>
    <w:rsid w:val="001827D6"/>
    <w:rsid w:val="00182C71"/>
    <w:rsid w:val="00190208"/>
    <w:rsid w:val="00190D5B"/>
    <w:rsid w:val="00190FD6"/>
    <w:rsid w:val="00193C18"/>
    <w:rsid w:val="001A1A5D"/>
    <w:rsid w:val="001C500A"/>
    <w:rsid w:val="00212C75"/>
    <w:rsid w:val="0022212F"/>
    <w:rsid w:val="002369CA"/>
    <w:rsid w:val="00253B37"/>
    <w:rsid w:val="00262965"/>
    <w:rsid w:val="00264575"/>
    <w:rsid w:val="00294581"/>
    <w:rsid w:val="002B090D"/>
    <w:rsid w:val="002D354B"/>
    <w:rsid w:val="002D58C3"/>
    <w:rsid w:val="002E3BCB"/>
    <w:rsid w:val="002F3943"/>
    <w:rsid w:val="002F6CC3"/>
    <w:rsid w:val="003007C4"/>
    <w:rsid w:val="00315844"/>
    <w:rsid w:val="003215C3"/>
    <w:rsid w:val="00325E5D"/>
    <w:rsid w:val="00330253"/>
    <w:rsid w:val="00336586"/>
    <w:rsid w:val="003422C5"/>
    <w:rsid w:val="00350B78"/>
    <w:rsid w:val="003761E3"/>
    <w:rsid w:val="0038242A"/>
    <w:rsid w:val="003842A7"/>
    <w:rsid w:val="00392C35"/>
    <w:rsid w:val="003A1BF3"/>
    <w:rsid w:val="003A40C1"/>
    <w:rsid w:val="003C3688"/>
    <w:rsid w:val="003D223B"/>
    <w:rsid w:val="00406128"/>
    <w:rsid w:val="00407C67"/>
    <w:rsid w:val="0041721D"/>
    <w:rsid w:val="0042319F"/>
    <w:rsid w:val="00423D65"/>
    <w:rsid w:val="00424B3A"/>
    <w:rsid w:val="00426555"/>
    <w:rsid w:val="00426E66"/>
    <w:rsid w:val="0043796E"/>
    <w:rsid w:val="00437BB0"/>
    <w:rsid w:val="004464E7"/>
    <w:rsid w:val="00451EAC"/>
    <w:rsid w:val="00454024"/>
    <w:rsid w:val="00455B77"/>
    <w:rsid w:val="004626E5"/>
    <w:rsid w:val="004645C0"/>
    <w:rsid w:val="004652E3"/>
    <w:rsid w:val="004722BB"/>
    <w:rsid w:val="004809E0"/>
    <w:rsid w:val="004A2780"/>
    <w:rsid w:val="004B2ADF"/>
    <w:rsid w:val="004B5E02"/>
    <w:rsid w:val="004C0EE4"/>
    <w:rsid w:val="004D7CFA"/>
    <w:rsid w:val="004E087A"/>
    <w:rsid w:val="004E1C7B"/>
    <w:rsid w:val="004E37D9"/>
    <w:rsid w:val="004F608D"/>
    <w:rsid w:val="0050671E"/>
    <w:rsid w:val="00521DAA"/>
    <w:rsid w:val="0052572A"/>
    <w:rsid w:val="00555C31"/>
    <w:rsid w:val="00580AA9"/>
    <w:rsid w:val="00583658"/>
    <w:rsid w:val="005874FD"/>
    <w:rsid w:val="005C186A"/>
    <w:rsid w:val="005E4315"/>
    <w:rsid w:val="005F3200"/>
    <w:rsid w:val="00604D22"/>
    <w:rsid w:val="00625A0C"/>
    <w:rsid w:val="00631E7F"/>
    <w:rsid w:val="00636361"/>
    <w:rsid w:val="00636508"/>
    <w:rsid w:val="00683C6B"/>
    <w:rsid w:val="00691830"/>
    <w:rsid w:val="00696865"/>
    <w:rsid w:val="006A7D4C"/>
    <w:rsid w:val="006B1858"/>
    <w:rsid w:val="006B207D"/>
    <w:rsid w:val="006B3B1B"/>
    <w:rsid w:val="006B5F89"/>
    <w:rsid w:val="006C2792"/>
    <w:rsid w:val="006C49AB"/>
    <w:rsid w:val="006D1517"/>
    <w:rsid w:val="006D45FB"/>
    <w:rsid w:val="006D5797"/>
    <w:rsid w:val="006E1A2C"/>
    <w:rsid w:val="00701782"/>
    <w:rsid w:val="00701F1A"/>
    <w:rsid w:val="00706B0E"/>
    <w:rsid w:val="0070716B"/>
    <w:rsid w:val="00713470"/>
    <w:rsid w:val="00724AEA"/>
    <w:rsid w:val="00727763"/>
    <w:rsid w:val="007300A1"/>
    <w:rsid w:val="00732200"/>
    <w:rsid w:val="00753ADF"/>
    <w:rsid w:val="007569FC"/>
    <w:rsid w:val="00767D8A"/>
    <w:rsid w:val="0078029D"/>
    <w:rsid w:val="007B4915"/>
    <w:rsid w:val="007E0FCB"/>
    <w:rsid w:val="007E4D56"/>
    <w:rsid w:val="007F1772"/>
    <w:rsid w:val="007F1B01"/>
    <w:rsid w:val="00804649"/>
    <w:rsid w:val="00806555"/>
    <w:rsid w:val="00806D1D"/>
    <w:rsid w:val="00824689"/>
    <w:rsid w:val="00856D2D"/>
    <w:rsid w:val="00857D6E"/>
    <w:rsid w:val="00860AEC"/>
    <w:rsid w:val="00864AE4"/>
    <w:rsid w:val="0087482F"/>
    <w:rsid w:val="008770FA"/>
    <w:rsid w:val="0089398C"/>
    <w:rsid w:val="008B4EE7"/>
    <w:rsid w:val="008D750A"/>
    <w:rsid w:val="008E1A31"/>
    <w:rsid w:val="008F0474"/>
    <w:rsid w:val="008F19F6"/>
    <w:rsid w:val="00916304"/>
    <w:rsid w:val="00930D2D"/>
    <w:rsid w:val="00935A31"/>
    <w:rsid w:val="00945FDA"/>
    <w:rsid w:val="00956DA0"/>
    <w:rsid w:val="009607FD"/>
    <w:rsid w:val="00972E9B"/>
    <w:rsid w:val="009849F7"/>
    <w:rsid w:val="00991E0A"/>
    <w:rsid w:val="00995E34"/>
    <w:rsid w:val="009A2EC6"/>
    <w:rsid w:val="009B01B1"/>
    <w:rsid w:val="009B146E"/>
    <w:rsid w:val="009D0BC6"/>
    <w:rsid w:val="009F5B9E"/>
    <w:rsid w:val="00A24A0D"/>
    <w:rsid w:val="00A34003"/>
    <w:rsid w:val="00A36503"/>
    <w:rsid w:val="00A4054E"/>
    <w:rsid w:val="00A531DE"/>
    <w:rsid w:val="00A627F9"/>
    <w:rsid w:val="00A63822"/>
    <w:rsid w:val="00A644F1"/>
    <w:rsid w:val="00A64978"/>
    <w:rsid w:val="00A669F9"/>
    <w:rsid w:val="00A8539D"/>
    <w:rsid w:val="00A970D5"/>
    <w:rsid w:val="00AA7623"/>
    <w:rsid w:val="00AB3F43"/>
    <w:rsid w:val="00AC1D6F"/>
    <w:rsid w:val="00AC7106"/>
    <w:rsid w:val="00AE75F4"/>
    <w:rsid w:val="00AF1482"/>
    <w:rsid w:val="00AF553C"/>
    <w:rsid w:val="00B1043D"/>
    <w:rsid w:val="00B165B8"/>
    <w:rsid w:val="00B23D37"/>
    <w:rsid w:val="00B34963"/>
    <w:rsid w:val="00B90E4C"/>
    <w:rsid w:val="00B96FA1"/>
    <w:rsid w:val="00BB11C1"/>
    <w:rsid w:val="00BC020E"/>
    <w:rsid w:val="00BC62D6"/>
    <w:rsid w:val="00BD2726"/>
    <w:rsid w:val="00BD3A1D"/>
    <w:rsid w:val="00BE7DC9"/>
    <w:rsid w:val="00C20D20"/>
    <w:rsid w:val="00C22A49"/>
    <w:rsid w:val="00C267B6"/>
    <w:rsid w:val="00C3453B"/>
    <w:rsid w:val="00C429AD"/>
    <w:rsid w:val="00C471F9"/>
    <w:rsid w:val="00C56A69"/>
    <w:rsid w:val="00C67187"/>
    <w:rsid w:val="00C800AE"/>
    <w:rsid w:val="00C8206C"/>
    <w:rsid w:val="00CA17D0"/>
    <w:rsid w:val="00CB1147"/>
    <w:rsid w:val="00CB1CDB"/>
    <w:rsid w:val="00CB3F07"/>
    <w:rsid w:val="00CB46DE"/>
    <w:rsid w:val="00CB5679"/>
    <w:rsid w:val="00CB60F4"/>
    <w:rsid w:val="00CE11A9"/>
    <w:rsid w:val="00CE2666"/>
    <w:rsid w:val="00CF2BFA"/>
    <w:rsid w:val="00D074F5"/>
    <w:rsid w:val="00D27EAB"/>
    <w:rsid w:val="00D342FA"/>
    <w:rsid w:val="00D367B8"/>
    <w:rsid w:val="00D41469"/>
    <w:rsid w:val="00D4156D"/>
    <w:rsid w:val="00D452AF"/>
    <w:rsid w:val="00D51BCA"/>
    <w:rsid w:val="00D53281"/>
    <w:rsid w:val="00D646C5"/>
    <w:rsid w:val="00D672C3"/>
    <w:rsid w:val="00D675D9"/>
    <w:rsid w:val="00D707BE"/>
    <w:rsid w:val="00D71C77"/>
    <w:rsid w:val="00D725FC"/>
    <w:rsid w:val="00D75664"/>
    <w:rsid w:val="00D82963"/>
    <w:rsid w:val="00DA1C86"/>
    <w:rsid w:val="00DA51C2"/>
    <w:rsid w:val="00DC08DD"/>
    <w:rsid w:val="00DC27FB"/>
    <w:rsid w:val="00DC6E6D"/>
    <w:rsid w:val="00DD28A4"/>
    <w:rsid w:val="00DF14E4"/>
    <w:rsid w:val="00DF4D05"/>
    <w:rsid w:val="00E060F1"/>
    <w:rsid w:val="00E16C0D"/>
    <w:rsid w:val="00E16C83"/>
    <w:rsid w:val="00E3082A"/>
    <w:rsid w:val="00E405BF"/>
    <w:rsid w:val="00E50277"/>
    <w:rsid w:val="00E51844"/>
    <w:rsid w:val="00E5563A"/>
    <w:rsid w:val="00E70000"/>
    <w:rsid w:val="00E84ED1"/>
    <w:rsid w:val="00E90E77"/>
    <w:rsid w:val="00E95004"/>
    <w:rsid w:val="00E965A2"/>
    <w:rsid w:val="00EA7221"/>
    <w:rsid w:val="00EC0E02"/>
    <w:rsid w:val="00ED2855"/>
    <w:rsid w:val="00ED3CF9"/>
    <w:rsid w:val="00EE13CE"/>
    <w:rsid w:val="00EF2C84"/>
    <w:rsid w:val="00EF76F0"/>
    <w:rsid w:val="00F17D4C"/>
    <w:rsid w:val="00F204FF"/>
    <w:rsid w:val="00F30CD1"/>
    <w:rsid w:val="00F42274"/>
    <w:rsid w:val="00F62ECB"/>
    <w:rsid w:val="00F64141"/>
    <w:rsid w:val="00F64AAF"/>
    <w:rsid w:val="00F675BD"/>
    <w:rsid w:val="00F772EC"/>
    <w:rsid w:val="00F860F7"/>
    <w:rsid w:val="00F93AAE"/>
    <w:rsid w:val="00FC08BD"/>
    <w:rsid w:val="00FC57D9"/>
    <w:rsid w:val="00FE5E2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89E52"/>
  <w15:chartTrackingRefBased/>
  <w15:docId w15:val="{2F4A9957-4DD5-472F-ABCE-EE91C3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Debesliotekstas">
    <w:name w:val="Balloon Text"/>
    <w:basedOn w:val="prastasis"/>
    <w:link w:val="DebesliotekstasDiagrama"/>
    <w:rsid w:val="004061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06128"/>
    <w:rPr>
      <w:rFonts w:ascii="Tahoma" w:hAnsi="Tahoma" w:cs="Tahoma"/>
      <w:sz w:val="16"/>
      <w:szCs w:val="16"/>
      <w:lang w:eastAsia="en-US"/>
    </w:rPr>
  </w:style>
  <w:style w:type="paragraph" w:customStyle="1" w:styleId="NormalTimesNewRoman">
    <w:name w:val="Normal + Times New Roman"/>
    <w:aliases w:val="13 pt,Justified"/>
    <w:basedOn w:val="prastasis"/>
    <w:rsid w:val="00806555"/>
    <w:pPr>
      <w:ind w:firstLine="720"/>
    </w:pPr>
    <w:rPr>
      <w:color w:val="000000"/>
      <w:sz w:val="26"/>
      <w:szCs w:val="26"/>
      <w:lang w:val="en-US"/>
    </w:rPr>
  </w:style>
  <w:style w:type="character" w:customStyle="1" w:styleId="NormalLatin13ptChar">
    <w:name w:val="Normal + (Latin) 13 pt Char"/>
    <w:aliases w:val="First line:  0 Char,5&quot; Char"/>
    <w:rsid w:val="00806555"/>
    <w:rPr>
      <w:noProof/>
      <w:sz w:val="26"/>
      <w:szCs w:val="24"/>
      <w:lang w:val="lt-LT" w:eastAsia="en-US" w:bidi="ar-SA"/>
    </w:rPr>
  </w:style>
  <w:style w:type="paragraph" w:styleId="Antrats">
    <w:name w:val="header"/>
    <w:basedOn w:val="prastasis"/>
    <w:link w:val="AntratsDiagrama"/>
    <w:rsid w:val="0080655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06555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D75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iankstoformatuotasDiagrama">
    <w:name w:val="HTML iš anksto formatuotas Diagrama"/>
    <w:link w:val="HTMLiankstoformatuotas"/>
    <w:rsid w:val="00D75664"/>
    <w:rPr>
      <w:rFonts w:ascii="Courier New" w:eastAsia="Courier New" w:hAnsi="Courier New" w:cs="Courier New"/>
      <w:lang w:val="en-US" w:eastAsia="en-US"/>
    </w:rPr>
  </w:style>
  <w:style w:type="paragraph" w:customStyle="1" w:styleId="CharChar1DiagramaDiagramaCharCharDiagramaDiagramaCharCharDiagramaCharCharCharDiagramaDiagramaChar">
    <w:name w:val="Char Char1 Diagrama Diagrama Char Char Diagrama Diagrama Char Char Diagrama Char Char Char Diagrama Diagrama Char"/>
    <w:basedOn w:val="prastasis"/>
    <w:rsid w:val="00D756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rsid w:val="002B090D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2B090D"/>
    <w:rPr>
      <w:sz w:val="24"/>
      <w:szCs w:val="24"/>
      <w:lang w:eastAsia="en-US"/>
    </w:rPr>
  </w:style>
  <w:style w:type="paragraph" w:styleId="Tekstoblokas">
    <w:name w:val="Block Text"/>
    <w:basedOn w:val="prastasis"/>
    <w:rsid w:val="003422C5"/>
    <w:pPr>
      <w:ind w:left="180" w:right="-900" w:firstLine="720"/>
      <w:jc w:val="both"/>
    </w:pPr>
  </w:style>
  <w:style w:type="paragraph" w:styleId="Pagrindiniotekstotrauka3">
    <w:name w:val="Body Text Indent 3"/>
    <w:basedOn w:val="prastasis"/>
    <w:link w:val="Pagrindiniotekstotrauka3Diagrama"/>
    <w:unhideWhenUsed/>
    <w:rsid w:val="009B146E"/>
    <w:pPr>
      <w:spacing w:after="120"/>
      <w:ind w:left="283"/>
    </w:pPr>
    <w:rPr>
      <w:sz w:val="16"/>
      <w:szCs w:val="16"/>
      <w:lang w:val="en-GB"/>
    </w:rPr>
  </w:style>
  <w:style w:type="character" w:customStyle="1" w:styleId="Pagrindiniotekstotrauka3Diagrama">
    <w:name w:val="Pagrindinio teksto įtrauka 3 Diagrama"/>
    <w:link w:val="Pagrindiniotekstotrauka3"/>
    <w:rsid w:val="009B146E"/>
    <w:rPr>
      <w:sz w:val="16"/>
      <w:szCs w:val="16"/>
      <w:lang w:val="en-GB" w:eastAsia="en-US"/>
    </w:rPr>
  </w:style>
  <w:style w:type="paragraph" w:customStyle="1" w:styleId="Default">
    <w:name w:val="Default"/>
    <w:rsid w:val="00AB3F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mptyLayoutCell">
    <w:name w:val="EmptyLayoutCell"/>
    <w:basedOn w:val="prastasis"/>
    <w:rsid w:val="00264575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A53ABBC6D548841A490CB9A6D4C5DAC" ma:contentTypeVersion="10" ma:contentTypeDescription="Kurkite naują dokumentą." ma:contentTypeScope="" ma:versionID="af813648e74af539689468db79d0bc69">
  <xsd:schema xmlns:xsd="http://www.w3.org/2001/XMLSchema" xmlns:xs="http://www.w3.org/2001/XMLSchema" xmlns:p="http://schemas.microsoft.com/office/2006/metadata/properties" xmlns:ns3="9b1c0852-ecc9-447a-9bab-1c728a7e189b" xmlns:ns4="78ca2695-8adf-4691-a696-0f39e8128468" targetNamespace="http://schemas.microsoft.com/office/2006/metadata/properties" ma:root="true" ma:fieldsID="e8fa6c2ed00d9795494a677bed4c6935" ns3:_="" ns4:_="">
    <xsd:import namespace="9b1c0852-ecc9-447a-9bab-1c728a7e189b"/>
    <xsd:import namespace="78ca2695-8adf-4691-a696-0f39e8128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c0852-ecc9-447a-9bab-1c728a7e1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a2695-8adf-4691-a696-0f39e8128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6BE67-606C-4586-AEC1-00DDEA272E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A385C-A408-4BCB-9E6B-6E87F55CA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c0852-ecc9-447a-9bab-1c728a7e189b"/>
    <ds:schemaRef ds:uri="78ca2695-8adf-4691-a696-0f39e8128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8A83F5-6534-456B-8B3A-1DB409AC9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3382B-6A0A-4447-AA27-AD6863824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ADMINISTRACIJOS DIREKTORIAUS PAREIGYBĖS APRAŠYMO PATVIRTINIMO</vt:lpstr>
      <vt:lpstr> </vt:lpstr>
    </vt:vector>
  </TitlesOfParts>
  <Manager>2015-06-29</Manager>
  <Company>Mano namai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ADMINISTRACIJOS DIREKTORIAUS PAREIGYBĖS APRAŠYMO PATVIRTINIMO</dc:title>
  <dc:subject>5TS-71</dc:subject>
  <dc:creator>LAZDIJŲ RAJONO SAVIVALDYBĖS TARYBA</dc:creator>
  <cp:keywords/>
  <cp:lastModifiedBy>Laima Jauniskiene</cp:lastModifiedBy>
  <cp:revision>2</cp:revision>
  <cp:lastPrinted>2018-12-18T13:33:00Z</cp:lastPrinted>
  <dcterms:created xsi:type="dcterms:W3CDTF">2020-06-14T19:32:00Z</dcterms:created>
  <dcterms:modified xsi:type="dcterms:W3CDTF">2020-06-14T19:32:00Z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0x0101006A53ABBC6D548841A490CB9A6D4C5DAC</vt:lpwstr>
  </property>
</Properties>
</file>