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0EBD" w14:textId="77777777" w:rsidR="00C77BE7" w:rsidRDefault="00C77BE7">
      <w:pPr>
        <w:jc w:val="center"/>
        <w:rPr>
          <w:b/>
          <w:lang w:val="lt-LT"/>
        </w:rPr>
      </w:pPr>
      <w:bookmarkStart w:id="0" w:name="institucija"/>
      <w:bookmarkStart w:id="1" w:name="_GoBack"/>
      <w:bookmarkEnd w:id="1"/>
    </w:p>
    <w:p w14:paraId="0A8152E9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LAZDIJŲ RAJONO SAVIVALDYBĖ</w:t>
      </w:r>
      <w:bookmarkEnd w:id="0"/>
      <w:r w:rsidRPr="009E7622">
        <w:rPr>
          <w:b/>
          <w:lang w:val="lt-LT"/>
        </w:rPr>
        <w:t>S TARYBA</w:t>
      </w:r>
    </w:p>
    <w:p w14:paraId="1E567E00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772C992B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14:paraId="04FCF84B" w14:textId="376A4DA8" w:rsidR="001C31E5" w:rsidRDefault="003D64D2">
      <w:pPr>
        <w:jc w:val="center"/>
        <w:rPr>
          <w:b/>
          <w:lang w:val="lt-LT"/>
        </w:rPr>
      </w:pPr>
      <w:bookmarkStart w:id="2" w:name="_Hlk35109670"/>
      <w:r w:rsidRPr="009E7622">
        <w:rPr>
          <w:b/>
          <w:lang w:val="lt-LT"/>
        </w:rPr>
        <w:t xml:space="preserve">DĖL </w:t>
      </w:r>
      <w:r w:rsidR="00C82103">
        <w:rPr>
          <w:b/>
          <w:lang w:val="lt-LT"/>
        </w:rPr>
        <w:t xml:space="preserve">TURTO </w:t>
      </w:r>
      <w:r w:rsidR="00B0508C">
        <w:rPr>
          <w:b/>
          <w:lang w:val="lt-LT"/>
        </w:rPr>
        <w:t xml:space="preserve">PERDAVIMO </w:t>
      </w:r>
      <w:bookmarkStart w:id="3" w:name="Pavadinimas"/>
      <w:r w:rsidR="00A04394">
        <w:rPr>
          <w:b/>
          <w:lang w:val="lt-LT"/>
        </w:rPr>
        <w:t xml:space="preserve">LAZDIJŲ RAJONO SAVIVALDYBĖS ADMINISTRACIJAI </w:t>
      </w:r>
      <w:r w:rsidR="00EF288B" w:rsidRPr="00A54CA7">
        <w:rPr>
          <w:b/>
          <w:bCs/>
          <w:lang w:val="lt-LT"/>
        </w:rPr>
        <w:t xml:space="preserve"> </w:t>
      </w:r>
      <w:r w:rsidR="001C31E5" w:rsidRPr="00A54CA7">
        <w:rPr>
          <w:b/>
          <w:bCs/>
          <w:lang w:val="lt-LT"/>
        </w:rPr>
        <w:t xml:space="preserve">VALDYTI, NAUDOTI IR DISPONUOTI </w:t>
      </w:r>
      <w:r w:rsidR="00060C11" w:rsidRPr="00A54CA7">
        <w:rPr>
          <w:b/>
          <w:bCs/>
          <w:lang w:val="lt-LT"/>
        </w:rPr>
        <w:t xml:space="preserve">TURTO </w:t>
      </w:r>
      <w:r w:rsidR="001C31E5" w:rsidRPr="00A54CA7">
        <w:rPr>
          <w:b/>
          <w:bCs/>
          <w:lang w:val="lt-LT"/>
        </w:rPr>
        <w:t>PATIKĖJIMO TEISE</w:t>
      </w:r>
      <w:bookmarkEnd w:id="3"/>
    </w:p>
    <w:bookmarkEnd w:id="2"/>
    <w:p w14:paraId="77CDF77C" w14:textId="77777777" w:rsidR="001C31E5" w:rsidRDefault="001C31E5">
      <w:pPr>
        <w:jc w:val="center"/>
        <w:rPr>
          <w:b/>
          <w:lang w:val="lt-LT"/>
        </w:rPr>
      </w:pPr>
    </w:p>
    <w:p w14:paraId="339C50A0" w14:textId="2449B68A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B6454E">
        <w:rPr>
          <w:bCs/>
          <w:lang w:val="lt-LT"/>
        </w:rPr>
        <w:t>20</w:t>
      </w:r>
      <w:r w:rsidRPr="009E7622">
        <w:rPr>
          <w:bCs/>
          <w:lang w:val="lt-LT"/>
        </w:rPr>
        <w:t xml:space="preserve"> m. </w:t>
      </w:r>
      <w:r w:rsidR="00702870">
        <w:rPr>
          <w:bCs/>
          <w:lang w:val="lt-LT"/>
        </w:rPr>
        <w:t>balandžio</w:t>
      </w:r>
      <w:r w:rsidR="004D4FEC">
        <w:rPr>
          <w:bCs/>
          <w:lang w:val="lt-LT"/>
        </w:rPr>
        <w:t xml:space="preserve"> 2</w:t>
      </w:r>
      <w:r w:rsidR="005A65F7">
        <w:rPr>
          <w:bCs/>
          <w:lang w:val="lt-LT"/>
        </w:rPr>
        <w:t xml:space="preserve"> </w:t>
      </w:r>
      <w:r w:rsidRPr="009E7622">
        <w:rPr>
          <w:bCs/>
          <w:lang w:val="lt-LT"/>
        </w:rPr>
        <w:t xml:space="preserve">d. Nr. </w:t>
      </w:r>
      <w:r w:rsidR="004D4FEC">
        <w:rPr>
          <w:bCs/>
          <w:lang w:val="lt-LT"/>
        </w:rPr>
        <w:t>34-298</w:t>
      </w:r>
    </w:p>
    <w:p w14:paraId="0ECDD847" w14:textId="77777777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14:paraId="09EEE095" w14:textId="77777777" w:rsidR="003D64D2" w:rsidRDefault="003D64D2" w:rsidP="00C77BE7">
      <w:pPr>
        <w:rPr>
          <w:sz w:val="26"/>
          <w:szCs w:val="26"/>
          <w:lang w:val="lt-LT"/>
        </w:rPr>
      </w:pPr>
    </w:p>
    <w:p w14:paraId="41274FD8" w14:textId="7E088D45" w:rsidR="00335F16" w:rsidRDefault="004C54D3" w:rsidP="009E7622">
      <w:pPr>
        <w:spacing w:line="360" w:lineRule="auto"/>
        <w:jc w:val="both"/>
        <w:rPr>
          <w:lang w:val="lt-LT"/>
        </w:rPr>
      </w:pPr>
      <w:r>
        <w:rPr>
          <w:sz w:val="26"/>
          <w:lang w:val="lt-LT"/>
        </w:rPr>
        <w:tab/>
      </w:r>
      <w:r w:rsidR="002B6052" w:rsidRPr="009E7622">
        <w:rPr>
          <w:lang w:val="lt-LT"/>
        </w:rPr>
        <w:t xml:space="preserve">Vadovaudamasi </w:t>
      </w:r>
      <w:bookmarkStart w:id="4" w:name="_Hlk36450002"/>
      <w:r w:rsidR="00EF288B">
        <w:rPr>
          <w:lang w:val="lt-LT"/>
        </w:rPr>
        <w:t xml:space="preserve">Lietuvos Respublikos </w:t>
      </w:r>
      <w:r w:rsidR="006C7321" w:rsidRPr="006C7321">
        <w:rPr>
          <w:lang w:val="lt-LT"/>
        </w:rPr>
        <w:t xml:space="preserve">vietos savivaldos įstatymo 48 straipsnio 2 ir 3 dalimis, Lietuvos Respublikos valstybės ir savivaldybių turto valdymo, naudojimo ir disponavimo juo įstatymo 12 straipsnio 1, 2 ir 4 dalimis, </w:t>
      </w:r>
      <w:bookmarkStart w:id="5" w:name="_Hlk32312028"/>
      <w:r w:rsidR="006C7321" w:rsidRPr="006C7321">
        <w:rPr>
          <w:lang w:val="lt-LT"/>
        </w:rPr>
        <w:t>Lazdijų rajono savivaldybei nuosavybės teise priklausančio turto valdymo, naudojimo ir disponavimo juo patikėjimo teise tvarkos aprašo, patvirtinto Lazdijų rajono savivaldybės tarybos 201</w:t>
      </w:r>
      <w:r w:rsidR="00B6454E">
        <w:rPr>
          <w:lang w:val="lt-LT"/>
        </w:rPr>
        <w:t>9</w:t>
      </w:r>
      <w:r w:rsidR="006C7321" w:rsidRPr="006C7321">
        <w:rPr>
          <w:lang w:val="lt-LT"/>
        </w:rPr>
        <w:t xml:space="preserve"> m. </w:t>
      </w:r>
      <w:r w:rsidR="00B6454E">
        <w:rPr>
          <w:lang w:val="lt-LT"/>
        </w:rPr>
        <w:t xml:space="preserve">spalio </w:t>
      </w:r>
      <w:r w:rsidR="00335F16">
        <w:rPr>
          <w:lang w:val="lt-LT"/>
        </w:rPr>
        <w:t xml:space="preserve">18 </w:t>
      </w:r>
      <w:r w:rsidR="006C7321" w:rsidRPr="006C7321">
        <w:rPr>
          <w:lang w:val="lt-LT"/>
        </w:rPr>
        <w:t>d. sprendimu Nr. 5TS-</w:t>
      </w:r>
      <w:r w:rsidR="00335F16">
        <w:rPr>
          <w:lang w:val="lt-LT"/>
        </w:rPr>
        <w:t>168</w:t>
      </w:r>
      <w:r w:rsidR="006C7321" w:rsidRPr="006C7321">
        <w:rPr>
          <w:lang w:val="lt-LT"/>
        </w:rPr>
        <w:t xml:space="preserve"> „Dėl Lazdijų rajono savivaldybei nuosavybės teise priklausančio turto valdymo, naudojimo ir disponavimo juo patikėjimo teise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tvarkos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aprašo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patvirtinimo“,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</w:t>
      </w:r>
      <w:r w:rsidR="006C7321" w:rsidRPr="00A04394">
        <w:rPr>
          <w:lang w:val="lt-LT"/>
        </w:rPr>
        <w:t>5.1</w:t>
      </w:r>
      <w:r w:rsidR="00335F16">
        <w:rPr>
          <w:lang w:val="lt-LT"/>
        </w:rPr>
        <w:t xml:space="preserve">  ir </w:t>
      </w:r>
      <w:r w:rsidR="006C7321" w:rsidRPr="00A04394">
        <w:rPr>
          <w:lang w:val="lt-LT"/>
        </w:rPr>
        <w:t xml:space="preserve"> </w:t>
      </w:r>
      <w:r w:rsidR="00335F16">
        <w:rPr>
          <w:lang w:val="lt-LT"/>
        </w:rPr>
        <w:t>8</w:t>
      </w:r>
      <w:r w:rsidR="006C7321" w:rsidRPr="00A04394">
        <w:rPr>
          <w:lang w:val="lt-LT"/>
        </w:rPr>
        <w:t>.1.1 papunkčiais</w:t>
      </w:r>
      <w:bookmarkEnd w:id="4"/>
      <w:bookmarkEnd w:id="5"/>
      <w:r w:rsidR="00B6454E">
        <w:rPr>
          <w:lang w:val="lt-LT"/>
        </w:rPr>
        <w:t xml:space="preserve">,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 xml:space="preserve">azdijų </w:t>
      </w:r>
      <w:r w:rsidR="00877C99">
        <w:rPr>
          <w:lang w:val="lt-LT"/>
        </w:rPr>
        <w:t xml:space="preserve"> </w:t>
      </w:r>
      <w:r w:rsidR="002B6052" w:rsidRPr="009E7622">
        <w:rPr>
          <w:lang w:val="lt-LT"/>
        </w:rPr>
        <w:t>rajono savivaldybės taryba</w:t>
      </w:r>
      <w:r w:rsidR="00CE36EC" w:rsidRPr="009E7622">
        <w:rPr>
          <w:lang w:val="lt-LT"/>
        </w:rPr>
        <w:t xml:space="preserve"> </w:t>
      </w:r>
    </w:p>
    <w:p w14:paraId="2C2A5DDE" w14:textId="1C2EF5F3" w:rsidR="002B6052" w:rsidRPr="009E7622" w:rsidRDefault="002B6052" w:rsidP="009E7622">
      <w:pPr>
        <w:spacing w:line="360" w:lineRule="auto"/>
        <w:jc w:val="both"/>
        <w:rPr>
          <w:lang w:val="lt-LT"/>
        </w:rPr>
      </w:pPr>
      <w:r w:rsidRPr="009E7622">
        <w:rPr>
          <w:lang w:val="lt-LT"/>
        </w:rPr>
        <w:t>n u s p r e n d ž i a:</w:t>
      </w:r>
    </w:p>
    <w:p w14:paraId="016980E6" w14:textId="77777777" w:rsidR="000420F3" w:rsidRDefault="00A04394" w:rsidP="000420F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6454E">
        <w:rPr>
          <w:lang w:val="lt-LT"/>
        </w:rPr>
        <w:t xml:space="preserve">Perduoti </w:t>
      </w:r>
      <w:r w:rsidR="00164E66" w:rsidRPr="00164E66">
        <w:rPr>
          <w:lang w:val="lt-LT"/>
        </w:rPr>
        <w:t xml:space="preserve">Lazdijų rajono savivaldybės administracijai valdyti, naudoti ir disponuoti turto patikėjimo teise </w:t>
      </w:r>
      <w:r w:rsidRPr="00B6454E">
        <w:rPr>
          <w:lang w:val="lt-LT"/>
        </w:rPr>
        <w:t>Lazdijų rajono savivaldybei nuosavybės teise priklausan</w:t>
      </w:r>
      <w:r w:rsidR="00B6454E" w:rsidRPr="00B6454E">
        <w:rPr>
          <w:lang w:val="lt-LT"/>
        </w:rPr>
        <w:t>tį</w:t>
      </w:r>
      <w:r w:rsidR="000420F3">
        <w:rPr>
          <w:lang w:val="lt-LT"/>
        </w:rPr>
        <w:t xml:space="preserve"> nekilnojamąjį ir ilgalaikį materialųjį </w:t>
      </w:r>
      <w:r w:rsidR="0041626B">
        <w:rPr>
          <w:lang w:val="lt-LT"/>
        </w:rPr>
        <w:t>turtą pagal priedą</w:t>
      </w:r>
      <w:r w:rsidR="000420F3">
        <w:rPr>
          <w:lang w:val="lt-LT"/>
        </w:rPr>
        <w:t xml:space="preserve">. </w:t>
      </w:r>
    </w:p>
    <w:p w14:paraId="4A6ED281" w14:textId="35203CE0" w:rsidR="00A04394" w:rsidRPr="001D65B8" w:rsidRDefault="00A04394" w:rsidP="000420F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1D65B8">
        <w:rPr>
          <w:lang w:val="lt-LT"/>
        </w:rPr>
        <w:t>Įgalioti Lazdijų rajono savivaldybės mer</w:t>
      </w:r>
      <w:r w:rsidR="000F66C6">
        <w:rPr>
          <w:lang w:val="lt-LT"/>
        </w:rPr>
        <w:t>ą</w:t>
      </w:r>
      <w:r w:rsidRPr="001D65B8">
        <w:rPr>
          <w:lang w:val="lt-LT"/>
        </w:rPr>
        <w:t>, o jo dėl ligos, komandiruotės, atostogų ar kitų objektyvių priežasčių nesant, Lazdijų rajono savivaldybės mer</w:t>
      </w:r>
      <w:r w:rsidR="000F66C6">
        <w:rPr>
          <w:lang w:val="lt-LT"/>
        </w:rPr>
        <w:t>o</w:t>
      </w:r>
      <w:r w:rsidRPr="001D65B8">
        <w:rPr>
          <w:lang w:val="lt-LT"/>
        </w:rPr>
        <w:t xml:space="preserve"> pavaduotoją, pasirašyti šio sprendimo 1 punkte  nurodyto turto  perdavimo</w:t>
      </w:r>
      <w:r w:rsidR="004704A7">
        <w:rPr>
          <w:lang w:val="lt-LT"/>
        </w:rPr>
        <w:t xml:space="preserve"> ir </w:t>
      </w:r>
      <w:r w:rsidRPr="001D65B8">
        <w:rPr>
          <w:lang w:val="lt-LT"/>
        </w:rPr>
        <w:t>priėmimo akt</w:t>
      </w:r>
      <w:r w:rsidR="00164E66">
        <w:rPr>
          <w:lang w:val="lt-LT"/>
        </w:rPr>
        <w:t>ą</w:t>
      </w:r>
      <w:r w:rsidRPr="001D65B8">
        <w:rPr>
          <w:lang w:val="lt-LT"/>
        </w:rPr>
        <w:t>.</w:t>
      </w:r>
    </w:p>
    <w:p w14:paraId="5D05B4F1" w14:textId="07124553" w:rsidR="00164E66" w:rsidRDefault="002245D9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310179" w:rsidRPr="009E7622">
        <w:rPr>
          <w:lang w:val="lt-LT"/>
        </w:rPr>
        <w:t xml:space="preserve">. </w:t>
      </w:r>
      <w:r w:rsidR="00164E66">
        <w:rPr>
          <w:lang w:val="lt-LT"/>
        </w:rPr>
        <w:t>Įpareigoti Lazdijų rajono savivaldybės administraciją perdavimo</w:t>
      </w:r>
      <w:r w:rsidR="00834280">
        <w:rPr>
          <w:lang w:val="lt-LT"/>
        </w:rPr>
        <w:t xml:space="preserve"> ir </w:t>
      </w:r>
      <w:r w:rsidR="00164E66">
        <w:rPr>
          <w:lang w:val="lt-LT"/>
        </w:rPr>
        <w:t xml:space="preserve">priėmimo aktą įregistruoti Nekilnojamojo turto registre. </w:t>
      </w:r>
    </w:p>
    <w:p w14:paraId="188E897D" w14:textId="3083FF7C" w:rsidR="00AB5B42" w:rsidRPr="009E7622" w:rsidRDefault="00164E66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4. </w:t>
      </w:r>
      <w:r w:rsidR="00310179" w:rsidRPr="009E7622">
        <w:rPr>
          <w:lang w:val="lt-LT"/>
        </w:rPr>
        <w:t>Nustatyti, kad š</w:t>
      </w:r>
      <w:r w:rsidR="00B06BEB" w:rsidRPr="009E7622">
        <w:rPr>
          <w:lang w:val="lt-LT"/>
        </w:rPr>
        <w:t>is sprendimas gali būti skundžiamas Lietuvos Respublikos administracinių bylų teisenos įstatymo nustatyta tvarka</w:t>
      </w:r>
      <w:r w:rsidR="002905D7">
        <w:rPr>
          <w:lang w:val="lt-LT"/>
        </w:rPr>
        <w:t xml:space="preserve"> ir terminais</w:t>
      </w:r>
      <w:r w:rsidR="00B06BEB" w:rsidRPr="009E7622">
        <w:rPr>
          <w:lang w:val="lt-LT"/>
        </w:rPr>
        <w:t>.</w:t>
      </w:r>
    </w:p>
    <w:p w14:paraId="2F3D4618" w14:textId="77777777" w:rsidR="003D64D2" w:rsidRPr="00D2521F" w:rsidRDefault="003D64D2" w:rsidP="00C77BE7">
      <w:pPr>
        <w:jc w:val="both"/>
        <w:rPr>
          <w:sz w:val="26"/>
          <w:szCs w:val="26"/>
          <w:lang w:val="lt-LT"/>
        </w:rPr>
      </w:pPr>
      <w:r w:rsidRPr="00D2521F">
        <w:rPr>
          <w:sz w:val="26"/>
          <w:szCs w:val="26"/>
          <w:lang w:val="lt-LT"/>
        </w:rPr>
        <w:t xml:space="preserve">                                                                 </w:t>
      </w:r>
    </w:p>
    <w:p w14:paraId="5CB6DDB6" w14:textId="77777777" w:rsidR="002B2403" w:rsidRDefault="002B2403">
      <w:pPr>
        <w:rPr>
          <w:lang w:val="lt-LT"/>
        </w:rPr>
      </w:pPr>
    </w:p>
    <w:p w14:paraId="6E646488" w14:textId="77777777" w:rsidR="00DC3704" w:rsidRDefault="00AC3A42" w:rsidP="009914BF">
      <w:pPr>
        <w:tabs>
          <w:tab w:val="right" w:pos="9638"/>
        </w:tabs>
        <w:rPr>
          <w:lang w:val="lt-LT"/>
        </w:rPr>
      </w:pPr>
      <w:r>
        <w:rPr>
          <w:lang w:val="lt-LT"/>
        </w:rPr>
        <w:t xml:space="preserve">Savivaldybės merė </w:t>
      </w:r>
      <w:r w:rsidR="00A04394">
        <w:rPr>
          <w:lang w:val="lt-LT"/>
        </w:rPr>
        <w:t xml:space="preserve">                                                                                         </w:t>
      </w:r>
      <w:proofErr w:type="spellStart"/>
      <w:r w:rsidR="009914BF">
        <w:rPr>
          <w:lang w:val="lt-LT"/>
        </w:rPr>
        <w:t>A</w:t>
      </w:r>
      <w:r>
        <w:rPr>
          <w:lang w:val="lt-LT"/>
        </w:rPr>
        <w:t>usma</w:t>
      </w:r>
      <w:proofErr w:type="spellEnd"/>
      <w:r>
        <w:rPr>
          <w:lang w:val="lt-LT"/>
        </w:rPr>
        <w:t xml:space="preserve"> Miškinienė </w:t>
      </w:r>
      <w:r w:rsidR="009914BF">
        <w:rPr>
          <w:lang w:val="lt-LT"/>
        </w:rPr>
        <w:tab/>
      </w:r>
    </w:p>
    <w:p w14:paraId="1C71B84F" w14:textId="77777777" w:rsidR="009914BF" w:rsidRDefault="009914BF" w:rsidP="009914BF">
      <w:pPr>
        <w:tabs>
          <w:tab w:val="right" w:pos="9638"/>
        </w:tabs>
        <w:jc w:val="center"/>
        <w:rPr>
          <w:sz w:val="26"/>
          <w:szCs w:val="26"/>
          <w:lang w:val="lt-LT"/>
        </w:rPr>
      </w:pPr>
    </w:p>
    <w:p w14:paraId="51B86EC3" w14:textId="77777777" w:rsidR="00DC3704" w:rsidRDefault="00DC3704">
      <w:pPr>
        <w:rPr>
          <w:sz w:val="26"/>
          <w:szCs w:val="26"/>
          <w:lang w:val="lt-LT"/>
        </w:rPr>
      </w:pPr>
    </w:p>
    <w:p w14:paraId="2B7E144B" w14:textId="77777777" w:rsidR="00DC3704" w:rsidRDefault="00DC3704">
      <w:pPr>
        <w:rPr>
          <w:sz w:val="26"/>
          <w:szCs w:val="26"/>
          <w:lang w:val="lt-LT"/>
        </w:rPr>
      </w:pPr>
    </w:p>
    <w:p w14:paraId="71E4AB54" w14:textId="77777777" w:rsidR="001C0A16" w:rsidRDefault="001C0A16">
      <w:pPr>
        <w:rPr>
          <w:sz w:val="26"/>
          <w:szCs w:val="26"/>
          <w:lang w:val="lt-LT"/>
        </w:rPr>
      </w:pPr>
    </w:p>
    <w:p w14:paraId="6C8DB20B" w14:textId="77777777" w:rsidR="001C0A16" w:rsidRDefault="001C0A16">
      <w:pPr>
        <w:rPr>
          <w:sz w:val="26"/>
          <w:szCs w:val="26"/>
          <w:lang w:val="lt-LT"/>
        </w:rPr>
      </w:pPr>
    </w:p>
    <w:p w14:paraId="12F44C01" w14:textId="77777777" w:rsidR="001C0A16" w:rsidRDefault="001C0A16">
      <w:pPr>
        <w:rPr>
          <w:sz w:val="26"/>
          <w:szCs w:val="26"/>
          <w:lang w:val="lt-LT"/>
        </w:rPr>
      </w:pPr>
    </w:p>
    <w:p w14:paraId="41148D84" w14:textId="77777777" w:rsidR="001C0A16" w:rsidRDefault="001C0A16">
      <w:pPr>
        <w:rPr>
          <w:sz w:val="26"/>
          <w:szCs w:val="26"/>
          <w:lang w:val="lt-LT"/>
        </w:rPr>
      </w:pPr>
    </w:p>
    <w:p w14:paraId="7A5BDCD3" w14:textId="77777777" w:rsidR="001C0A16" w:rsidRDefault="001C0A16">
      <w:pPr>
        <w:rPr>
          <w:sz w:val="26"/>
          <w:szCs w:val="26"/>
          <w:lang w:val="lt-LT"/>
        </w:rPr>
      </w:pPr>
    </w:p>
    <w:p w14:paraId="3133877C" w14:textId="77777777" w:rsidR="001C0A16" w:rsidRPr="001C0A16" w:rsidRDefault="001C0A16">
      <w:pPr>
        <w:rPr>
          <w:lang w:val="lt-LT"/>
        </w:rPr>
      </w:pPr>
      <w:r w:rsidRPr="001C0A16">
        <w:rPr>
          <w:lang w:val="lt-LT"/>
        </w:rPr>
        <w:t>Jolita Galvanauskienė, tel. (8 318) 66 112</w:t>
      </w:r>
    </w:p>
    <w:p w14:paraId="68BFB612" w14:textId="77777777" w:rsidR="00F710FD" w:rsidRDefault="00F710FD">
      <w:pPr>
        <w:rPr>
          <w:lang w:val="lt-LT"/>
        </w:rPr>
        <w:sectPr w:rsidR="00F710FD" w:rsidSect="001C0A16">
          <w:headerReference w:type="firs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1FEF5007" w14:textId="67DF9B64" w:rsidR="00164E66" w:rsidRPr="00164E66" w:rsidRDefault="00164E66" w:rsidP="0025073F">
      <w:pPr>
        <w:spacing w:line="276" w:lineRule="auto"/>
        <w:ind w:left="9360" w:firstLine="720"/>
        <w:rPr>
          <w:bCs/>
          <w:lang w:val="lt-LT"/>
        </w:rPr>
      </w:pPr>
      <w:r w:rsidRPr="00164E66">
        <w:rPr>
          <w:bCs/>
          <w:lang w:val="lt-LT"/>
        </w:rPr>
        <w:lastRenderedPageBreak/>
        <w:t xml:space="preserve">Lazdijų rajono savivaldybės tarybos </w:t>
      </w:r>
    </w:p>
    <w:p w14:paraId="157F763C" w14:textId="7B78E156" w:rsidR="00164E66" w:rsidRPr="00164E66" w:rsidRDefault="00164E66" w:rsidP="0025073F">
      <w:pPr>
        <w:spacing w:line="276" w:lineRule="auto"/>
        <w:ind w:left="9360" w:firstLine="720"/>
        <w:rPr>
          <w:bCs/>
          <w:lang w:val="lt-LT"/>
        </w:rPr>
      </w:pPr>
      <w:r w:rsidRPr="00164E66">
        <w:rPr>
          <w:bCs/>
          <w:lang w:val="lt-LT"/>
        </w:rPr>
        <w:t xml:space="preserve">2020 m. </w:t>
      </w:r>
      <w:r w:rsidR="00702870">
        <w:rPr>
          <w:bCs/>
          <w:lang w:val="lt-LT"/>
        </w:rPr>
        <w:t>balandžio</w:t>
      </w:r>
      <w:r w:rsidRPr="00164E66">
        <w:rPr>
          <w:bCs/>
          <w:lang w:val="lt-LT"/>
        </w:rPr>
        <w:t xml:space="preserve">    d. sprendimo Nr. </w:t>
      </w:r>
    </w:p>
    <w:p w14:paraId="4C67AAF7" w14:textId="30CC4035" w:rsidR="00164E66" w:rsidRPr="00164E66" w:rsidRDefault="00164E66" w:rsidP="0025073F">
      <w:pPr>
        <w:spacing w:line="276" w:lineRule="auto"/>
        <w:ind w:left="9360" w:firstLine="720"/>
        <w:rPr>
          <w:bCs/>
          <w:lang w:val="lt-LT"/>
        </w:rPr>
      </w:pPr>
      <w:r>
        <w:rPr>
          <w:bCs/>
          <w:lang w:val="lt-LT"/>
        </w:rPr>
        <w:t>p</w:t>
      </w:r>
      <w:r w:rsidRPr="00164E66">
        <w:rPr>
          <w:bCs/>
          <w:lang w:val="lt-LT"/>
        </w:rPr>
        <w:t xml:space="preserve">riedas </w:t>
      </w:r>
    </w:p>
    <w:p w14:paraId="4D0F87F5" w14:textId="77777777" w:rsidR="00164E66" w:rsidRDefault="00164E66" w:rsidP="000F66C6">
      <w:pPr>
        <w:spacing w:line="276" w:lineRule="auto"/>
        <w:jc w:val="center"/>
        <w:rPr>
          <w:b/>
          <w:lang w:val="lt-LT"/>
        </w:rPr>
      </w:pPr>
    </w:p>
    <w:p w14:paraId="7DD1CA39" w14:textId="4DE64A67" w:rsidR="005A65F7" w:rsidRPr="005A65F7" w:rsidRDefault="005A65F7" w:rsidP="005A65F7">
      <w:pPr>
        <w:spacing w:line="276" w:lineRule="auto"/>
        <w:jc w:val="center"/>
        <w:rPr>
          <w:b/>
          <w:lang w:val="lt-LT"/>
        </w:rPr>
      </w:pPr>
      <w:r w:rsidRPr="005A65F7">
        <w:rPr>
          <w:b/>
          <w:lang w:val="lt-LT"/>
        </w:rPr>
        <w:t xml:space="preserve">LAZDIJŲ RAJONO SAVIVALDYBEI NUOSAVYBĖS TEISE PRIKLAUSANČIO LAZDIJŲ RAJONO SAVIVALDYBĖS ADMINISTRACIJAI PERDUODAMO VALDYTI, NAUDOTI IR DISPONUOTI TURTO PATIKĖJIMO TEISE </w:t>
      </w:r>
    </w:p>
    <w:p w14:paraId="0341A832" w14:textId="291B9252" w:rsidR="00164E66" w:rsidRPr="005A65F7" w:rsidRDefault="005A65F7" w:rsidP="000F66C6">
      <w:pPr>
        <w:spacing w:line="276" w:lineRule="auto"/>
        <w:jc w:val="center"/>
        <w:rPr>
          <w:b/>
          <w:lang w:val="lt-LT"/>
        </w:rPr>
      </w:pPr>
      <w:r w:rsidRPr="000420F3">
        <w:rPr>
          <w:b/>
          <w:lang w:val="lt-LT"/>
        </w:rPr>
        <w:t xml:space="preserve">NEKILNOJAMOJO </w:t>
      </w:r>
      <w:r w:rsidR="000420F3" w:rsidRPr="000420F3">
        <w:rPr>
          <w:b/>
          <w:lang w:val="lt-LT"/>
        </w:rPr>
        <w:t xml:space="preserve">IR ILGALAIKIO MATERIALIOJO </w:t>
      </w:r>
      <w:r w:rsidRPr="000420F3">
        <w:rPr>
          <w:b/>
          <w:lang w:val="lt-LT"/>
        </w:rPr>
        <w:t>TURTO SĄRAŠAS</w:t>
      </w:r>
    </w:p>
    <w:p w14:paraId="4E14543F" w14:textId="5D6B3685" w:rsidR="00164E66" w:rsidRPr="0025073F" w:rsidRDefault="00164E66" w:rsidP="000F66C6">
      <w:pPr>
        <w:spacing w:line="276" w:lineRule="auto"/>
        <w:jc w:val="center"/>
        <w:rPr>
          <w:bCs/>
          <w:lang w:val="lt-LT"/>
        </w:rPr>
      </w:pPr>
    </w:p>
    <w:tbl>
      <w:tblPr>
        <w:tblStyle w:val="Lentelstinklelis"/>
        <w:tblW w:w="14620" w:type="dxa"/>
        <w:tblInd w:w="704" w:type="dxa"/>
        <w:tblLook w:val="04A0" w:firstRow="1" w:lastRow="0" w:firstColumn="1" w:lastColumn="0" w:noHBand="0" w:noVBand="1"/>
      </w:tblPr>
      <w:tblGrid>
        <w:gridCol w:w="1296"/>
        <w:gridCol w:w="3666"/>
        <w:gridCol w:w="2022"/>
        <w:gridCol w:w="1673"/>
        <w:gridCol w:w="943"/>
        <w:gridCol w:w="845"/>
        <w:gridCol w:w="1236"/>
        <w:gridCol w:w="1703"/>
        <w:gridCol w:w="1236"/>
      </w:tblGrid>
      <w:tr w:rsidR="00814C53" w:rsidRPr="0025073F" w14:paraId="652EA9BF" w14:textId="77777777" w:rsidTr="00814C53">
        <w:tc>
          <w:tcPr>
            <w:tcW w:w="1296" w:type="dxa"/>
          </w:tcPr>
          <w:p w14:paraId="600F8AD8" w14:textId="77777777" w:rsidR="00C52056" w:rsidRDefault="00C52056" w:rsidP="000F66C6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 xml:space="preserve">Eil. </w:t>
            </w:r>
          </w:p>
          <w:p w14:paraId="61668434" w14:textId="30A25E7C" w:rsidR="00C52056" w:rsidRPr="0025073F" w:rsidRDefault="00C52056" w:rsidP="000F66C6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 xml:space="preserve">Nr. </w:t>
            </w:r>
          </w:p>
        </w:tc>
        <w:tc>
          <w:tcPr>
            <w:tcW w:w="3738" w:type="dxa"/>
          </w:tcPr>
          <w:p w14:paraId="34EAA086" w14:textId="53261574" w:rsidR="00C52056" w:rsidRPr="0025073F" w:rsidRDefault="00C52056" w:rsidP="000F66C6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Pavadinimas ir adresas</w:t>
            </w:r>
          </w:p>
        </w:tc>
        <w:tc>
          <w:tcPr>
            <w:tcW w:w="2054" w:type="dxa"/>
          </w:tcPr>
          <w:p w14:paraId="281D0228" w14:textId="0EDC5E09" w:rsidR="00C52056" w:rsidRPr="0025073F" w:rsidRDefault="00C52056" w:rsidP="000F66C6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Unikalus Nr.</w:t>
            </w:r>
          </w:p>
        </w:tc>
        <w:tc>
          <w:tcPr>
            <w:tcW w:w="1682" w:type="dxa"/>
          </w:tcPr>
          <w:p w14:paraId="7BE88B53" w14:textId="08163197" w:rsidR="00C52056" w:rsidRPr="0025073F" w:rsidRDefault="00C52056" w:rsidP="000F66C6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 xml:space="preserve">Inventorinis Nr. </w:t>
            </w:r>
          </w:p>
        </w:tc>
        <w:tc>
          <w:tcPr>
            <w:tcW w:w="830" w:type="dxa"/>
          </w:tcPr>
          <w:p w14:paraId="0BB092AE" w14:textId="05D1E79C" w:rsidR="00C52056" w:rsidRPr="0025073F" w:rsidRDefault="00C52056" w:rsidP="000F66C6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Mato vnt.</w:t>
            </w:r>
          </w:p>
        </w:tc>
        <w:tc>
          <w:tcPr>
            <w:tcW w:w="845" w:type="dxa"/>
          </w:tcPr>
          <w:p w14:paraId="7C067BC6" w14:textId="212988E0" w:rsidR="00C52056" w:rsidRPr="0025073F" w:rsidRDefault="00C52056" w:rsidP="000F66C6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Kiekis</w:t>
            </w:r>
          </w:p>
        </w:tc>
        <w:tc>
          <w:tcPr>
            <w:tcW w:w="1236" w:type="dxa"/>
          </w:tcPr>
          <w:p w14:paraId="2335E458" w14:textId="27B59449" w:rsidR="00C52056" w:rsidRPr="0025073F" w:rsidRDefault="00C52056" w:rsidP="000F66C6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Pradinė vertė, Eur</w:t>
            </w:r>
          </w:p>
        </w:tc>
        <w:tc>
          <w:tcPr>
            <w:tcW w:w="1703" w:type="dxa"/>
          </w:tcPr>
          <w:p w14:paraId="6585BABD" w14:textId="54E7750C" w:rsidR="00C52056" w:rsidRPr="0025073F" w:rsidRDefault="00C52056" w:rsidP="000F66C6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Nusidėvėjimas, Eur</w:t>
            </w:r>
          </w:p>
        </w:tc>
        <w:tc>
          <w:tcPr>
            <w:tcW w:w="1236" w:type="dxa"/>
          </w:tcPr>
          <w:p w14:paraId="5659DC65" w14:textId="236AF514" w:rsidR="00C52056" w:rsidRPr="0025073F" w:rsidRDefault="00C52056" w:rsidP="000F66C6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Likutinė vertė, Eur</w:t>
            </w:r>
          </w:p>
        </w:tc>
      </w:tr>
      <w:tr w:rsidR="00814C53" w14:paraId="3A045971" w14:textId="77777777" w:rsidTr="00E20ECD">
        <w:trPr>
          <w:trHeight w:val="1202"/>
        </w:trPr>
        <w:tc>
          <w:tcPr>
            <w:tcW w:w="1296" w:type="dxa"/>
          </w:tcPr>
          <w:p w14:paraId="4A32F501" w14:textId="7DF28337" w:rsidR="00C52056" w:rsidRPr="00651CF2" w:rsidRDefault="00C52056" w:rsidP="00651CF2">
            <w:pPr>
              <w:spacing w:line="276" w:lineRule="auto"/>
              <w:rPr>
                <w:bCs/>
                <w:lang w:val="lt-LT"/>
              </w:rPr>
            </w:pPr>
            <w:r w:rsidRPr="00651CF2">
              <w:rPr>
                <w:bCs/>
                <w:lang w:val="lt-LT"/>
              </w:rPr>
              <w:t>1.</w:t>
            </w:r>
          </w:p>
        </w:tc>
        <w:tc>
          <w:tcPr>
            <w:tcW w:w="3738" w:type="dxa"/>
          </w:tcPr>
          <w:p w14:paraId="16FA5160" w14:textId="27FB3813" w:rsidR="00C52056" w:rsidRDefault="00C52056" w:rsidP="0025073F">
            <w:pPr>
              <w:spacing w:line="276" w:lineRule="auto"/>
              <w:rPr>
                <w:bCs/>
                <w:lang w:val="lt-LT"/>
              </w:rPr>
            </w:pPr>
            <w:r w:rsidRPr="00651CF2">
              <w:rPr>
                <w:bCs/>
                <w:lang w:val="lt-LT"/>
              </w:rPr>
              <w:t>Kiti inžineriniai statiniai</w:t>
            </w:r>
            <w:r w:rsidR="00AB743A">
              <w:rPr>
                <w:bCs/>
                <w:lang w:val="lt-LT"/>
              </w:rPr>
              <w:t xml:space="preserve"> – </w:t>
            </w:r>
            <w:r w:rsidRPr="00651CF2">
              <w:rPr>
                <w:bCs/>
                <w:lang w:val="lt-LT"/>
              </w:rPr>
              <w:t>Apžvalgos bokštas</w:t>
            </w:r>
            <w:r>
              <w:rPr>
                <w:bCs/>
                <w:lang w:val="lt-LT"/>
              </w:rPr>
              <w:t xml:space="preserve"> </w:t>
            </w:r>
          </w:p>
          <w:p w14:paraId="1FEE016E" w14:textId="39D762E9" w:rsidR="00C52056" w:rsidRPr="00651CF2" w:rsidRDefault="00C52056" w:rsidP="0025073F">
            <w:pPr>
              <w:spacing w:line="276" w:lineRule="auto"/>
              <w:rPr>
                <w:bCs/>
                <w:lang w:val="lt-LT"/>
              </w:rPr>
            </w:pPr>
            <w:r w:rsidRPr="00651CF2">
              <w:rPr>
                <w:bCs/>
                <w:lang w:val="lt-LT"/>
              </w:rPr>
              <w:t xml:space="preserve">Lazdijų r. sav., Veisiejų sen., Kailinių k., </w:t>
            </w:r>
            <w:proofErr w:type="spellStart"/>
            <w:r w:rsidRPr="00651CF2">
              <w:rPr>
                <w:bCs/>
                <w:lang w:val="lt-LT"/>
              </w:rPr>
              <w:t>Snaigyno</w:t>
            </w:r>
            <w:proofErr w:type="spellEnd"/>
            <w:r w:rsidRPr="00651CF2">
              <w:rPr>
                <w:bCs/>
                <w:lang w:val="lt-LT"/>
              </w:rPr>
              <w:t xml:space="preserve"> g. 1 </w:t>
            </w:r>
          </w:p>
        </w:tc>
        <w:tc>
          <w:tcPr>
            <w:tcW w:w="2054" w:type="dxa"/>
          </w:tcPr>
          <w:p w14:paraId="08B9992E" w14:textId="23681477" w:rsidR="00C52056" w:rsidRDefault="00C52056" w:rsidP="00651CF2">
            <w:pPr>
              <w:spacing w:line="276" w:lineRule="auto"/>
              <w:jc w:val="center"/>
              <w:rPr>
                <w:b/>
                <w:lang w:val="lt-LT"/>
              </w:rPr>
            </w:pPr>
            <w:r w:rsidRPr="00651CF2">
              <w:rPr>
                <w:bCs/>
                <w:lang w:val="lt-LT"/>
              </w:rPr>
              <w:t>4400-2851-2476</w:t>
            </w:r>
          </w:p>
        </w:tc>
        <w:tc>
          <w:tcPr>
            <w:tcW w:w="1682" w:type="dxa"/>
          </w:tcPr>
          <w:p w14:paraId="4E961B12" w14:textId="77777777" w:rsidR="00C52056" w:rsidRDefault="00C52056" w:rsidP="00651CF2">
            <w:pPr>
              <w:spacing w:line="276" w:lineRule="auto"/>
              <w:jc w:val="center"/>
              <w:rPr>
                <w:bCs/>
                <w:lang w:val="lt-LT"/>
              </w:rPr>
            </w:pPr>
            <w:r w:rsidRPr="00C52056">
              <w:rPr>
                <w:bCs/>
                <w:lang w:val="lt-LT"/>
              </w:rPr>
              <w:t>CA-00003854</w:t>
            </w:r>
            <w:r>
              <w:rPr>
                <w:bCs/>
                <w:lang w:val="lt-LT"/>
              </w:rPr>
              <w:t xml:space="preserve"> </w:t>
            </w:r>
          </w:p>
          <w:p w14:paraId="53362060" w14:textId="47216175" w:rsidR="00C52056" w:rsidRPr="000A1515" w:rsidRDefault="00C52056" w:rsidP="00651CF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830" w:type="dxa"/>
          </w:tcPr>
          <w:p w14:paraId="326F51B4" w14:textId="74DE436F" w:rsidR="00C52056" w:rsidRPr="0025073F" w:rsidRDefault="00C52056" w:rsidP="00651CF2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vnt.</w:t>
            </w:r>
          </w:p>
        </w:tc>
        <w:tc>
          <w:tcPr>
            <w:tcW w:w="845" w:type="dxa"/>
          </w:tcPr>
          <w:p w14:paraId="3FF42299" w14:textId="5EF54B59" w:rsidR="00C52056" w:rsidRPr="0025073F" w:rsidRDefault="00C52056" w:rsidP="00651CF2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236" w:type="dxa"/>
          </w:tcPr>
          <w:p w14:paraId="5E84D239" w14:textId="1FC7682C" w:rsidR="00C52056" w:rsidRPr="0025073F" w:rsidRDefault="00C52056" w:rsidP="00651CF2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180741,35</w:t>
            </w:r>
          </w:p>
        </w:tc>
        <w:tc>
          <w:tcPr>
            <w:tcW w:w="1703" w:type="dxa"/>
          </w:tcPr>
          <w:p w14:paraId="2881BC42" w14:textId="2AF6B624" w:rsidR="00C52056" w:rsidRPr="0025073F" w:rsidRDefault="00C52056" w:rsidP="00651CF2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124755,89</w:t>
            </w:r>
          </w:p>
        </w:tc>
        <w:tc>
          <w:tcPr>
            <w:tcW w:w="1236" w:type="dxa"/>
          </w:tcPr>
          <w:p w14:paraId="14200ADE" w14:textId="64D0B9D6" w:rsidR="00C52056" w:rsidRPr="0025073F" w:rsidRDefault="00C52056" w:rsidP="00651CF2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55985,47</w:t>
            </w:r>
          </w:p>
        </w:tc>
      </w:tr>
      <w:tr w:rsidR="00814C53" w14:paraId="50A06829" w14:textId="77777777" w:rsidTr="00E20ECD">
        <w:trPr>
          <w:trHeight w:val="1202"/>
        </w:trPr>
        <w:tc>
          <w:tcPr>
            <w:tcW w:w="1296" w:type="dxa"/>
          </w:tcPr>
          <w:p w14:paraId="177735C3" w14:textId="77777777" w:rsidR="009039B2" w:rsidRDefault="009039B2" w:rsidP="00C52056">
            <w:pPr>
              <w:pStyle w:val="Sraopastraipa"/>
              <w:spacing w:line="276" w:lineRule="auto"/>
              <w:ind w:left="1080"/>
              <w:jc w:val="center"/>
              <w:rPr>
                <w:bCs/>
                <w:lang w:val="lt-LT"/>
              </w:rPr>
            </w:pPr>
          </w:p>
          <w:p w14:paraId="66F4D6FB" w14:textId="2AF01B4A" w:rsidR="009039B2" w:rsidRPr="00C52056" w:rsidRDefault="009039B2" w:rsidP="00C52056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738" w:type="dxa"/>
          </w:tcPr>
          <w:p w14:paraId="59E8388B" w14:textId="3BB02989" w:rsidR="009039B2" w:rsidRPr="00651CF2" w:rsidRDefault="009039B2" w:rsidP="00C52056">
            <w:pPr>
              <w:spacing w:line="276" w:lineRule="auto"/>
              <w:rPr>
                <w:bCs/>
                <w:lang w:val="lt-LT"/>
              </w:rPr>
            </w:pPr>
            <w:r w:rsidRPr="00C52056">
              <w:rPr>
                <w:bCs/>
                <w:lang w:val="lt-LT"/>
              </w:rPr>
              <w:t xml:space="preserve">Infrastruktūra aplink Veisiejų  regioninio parko apžvalgos bokštą </w:t>
            </w:r>
            <w:r w:rsidR="00814C53" w:rsidRPr="00651CF2">
              <w:rPr>
                <w:bCs/>
                <w:lang w:val="lt-LT"/>
              </w:rPr>
              <w:t xml:space="preserve">Lazdijų r. sav., Veisiejų sen., Kailinių k., </w:t>
            </w:r>
            <w:proofErr w:type="spellStart"/>
            <w:r w:rsidR="00814C53" w:rsidRPr="00651CF2">
              <w:rPr>
                <w:bCs/>
                <w:lang w:val="lt-LT"/>
              </w:rPr>
              <w:t>Snaigyno</w:t>
            </w:r>
            <w:proofErr w:type="spellEnd"/>
            <w:r w:rsidR="00814C53" w:rsidRPr="00651CF2">
              <w:rPr>
                <w:bCs/>
                <w:lang w:val="lt-LT"/>
              </w:rPr>
              <w:t xml:space="preserve"> g. 1</w:t>
            </w:r>
          </w:p>
        </w:tc>
        <w:tc>
          <w:tcPr>
            <w:tcW w:w="2054" w:type="dxa"/>
            <w:vMerge w:val="restart"/>
          </w:tcPr>
          <w:p w14:paraId="736C3891" w14:textId="77777777" w:rsidR="009039B2" w:rsidRPr="00651CF2" w:rsidRDefault="009039B2" w:rsidP="00C52056">
            <w:pPr>
              <w:spacing w:line="276" w:lineRule="auto"/>
              <w:jc w:val="center"/>
              <w:rPr>
                <w:bCs/>
                <w:lang w:val="lt-LT"/>
              </w:rPr>
            </w:pPr>
            <w:r w:rsidRPr="00651CF2">
              <w:rPr>
                <w:bCs/>
                <w:lang w:val="lt-LT"/>
              </w:rPr>
              <w:t>4400-2851-2508</w:t>
            </w:r>
          </w:p>
          <w:p w14:paraId="3CCE1E3D" w14:textId="3F0D1833" w:rsidR="009039B2" w:rsidRPr="00651CF2" w:rsidRDefault="009039B2" w:rsidP="00C52056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682" w:type="dxa"/>
            <w:vMerge w:val="restart"/>
          </w:tcPr>
          <w:p w14:paraId="4A6AD9A9" w14:textId="291974B2" w:rsidR="009039B2" w:rsidRPr="00F11022" w:rsidRDefault="009039B2" w:rsidP="00C52056">
            <w:pPr>
              <w:spacing w:line="276" w:lineRule="auto"/>
              <w:jc w:val="center"/>
              <w:rPr>
                <w:bCs/>
                <w:highlight w:val="red"/>
                <w:lang w:val="lt-LT"/>
              </w:rPr>
            </w:pPr>
            <w:r w:rsidRPr="0025073F">
              <w:rPr>
                <w:bCs/>
                <w:lang w:val="lt-LT"/>
              </w:rPr>
              <w:t>14065100E</w:t>
            </w:r>
          </w:p>
        </w:tc>
        <w:tc>
          <w:tcPr>
            <w:tcW w:w="830" w:type="dxa"/>
          </w:tcPr>
          <w:p w14:paraId="17C857FB" w14:textId="7854F447" w:rsidR="009039B2" w:rsidRPr="0025073F" w:rsidRDefault="00AB743A" w:rsidP="00C52056">
            <w:pPr>
              <w:spacing w:line="276" w:lineRule="auto"/>
              <w:jc w:val="center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K</w:t>
            </w:r>
            <w:r w:rsidR="00814C53">
              <w:rPr>
                <w:bCs/>
                <w:lang w:val="lt-LT"/>
              </w:rPr>
              <w:t>ompl</w:t>
            </w:r>
            <w:proofErr w:type="spellEnd"/>
            <w:r>
              <w:rPr>
                <w:bCs/>
                <w:lang w:val="lt-LT"/>
              </w:rPr>
              <w:t>.</w:t>
            </w:r>
          </w:p>
        </w:tc>
        <w:tc>
          <w:tcPr>
            <w:tcW w:w="845" w:type="dxa"/>
          </w:tcPr>
          <w:p w14:paraId="156F8070" w14:textId="193A69C8" w:rsidR="009039B2" w:rsidRPr="0025073F" w:rsidRDefault="009039B2" w:rsidP="00C52056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236" w:type="dxa"/>
            <w:vMerge w:val="restart"/>
          </w:tcPr>
          <w:p w14:paraId="002CF786" w14:textId="13E00D6B" w:rsidR="009039B2" w:rsidRPr="0025073F" w:rsidRDefault="009039B2" w:rsidP="00C52056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81046,41</w:t>
            </w:r>
          </w:p>
        </w:tc>
        <w:tc>
          <w:tcPr>
            <w:tcW w:w="1703" w:type="dxa"/>
            <w:vMerge w:val="restart"/>
          </w:tcPr>
          <w:p w14:paraId="58207BF6" w14:textId="709728C3" w:rsidR="009039B2" w:rsidRPr="0025073F" w:rsidRDefault="009039B2" w:rsidP="00C52056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55994,23</w:t>
            </w:r>
          </w:p>
        </w:tc>
        <w:tc>
          <w:tcPr>
            <w:tcW w:w="1236" w:type="dxa"/>
            <w:vMerge w:val="restart"/>
          </w:tcPr>
          <w:p w14:paraId="7140739E" w14:textId="7203BFEA" w:rsidR="009039B2" w:rsidRPr="0025073F" w:rsidRDefault="009039B2" w:rsidP="00C52056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25052,18</w:t>
            </w:r>
          </w:p>
        </w:tc>
      </w:tr>
      <w:tr w:rsidR="00814C53" w14:paraId="50A76335" w14:textId="77777777" w:rsidTr="00E20ECD">
        <w:trPr>
          <w:trHeight w:val="1202"/>
        </w:trPr>
        <w:tc>
          <w:tcPr>
            <w:tcW w:w="1296" w:type="dxa"/>
          </w:tcPr>
          <w:p w14:paraId="6AC14118" w14:textId="0D50C2B0" w:rsidR="009039B2" w:rsidRPr="00C52056" w:rsidRDefault="009039B2" w:rsidP="00C52056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2.1.</w:t>
            </w:r>
          </w:p>
        </w:tc>
        <w:tc>
          <w:tcPr>
            <w:tcW w:w="3738" w:type="dxa"/>
          </w:tcPr>
          <w:p w14:paraId="12EB21FE" w14:textId="69E706E1" w:rsidR="009039B2" w:rsidRPr="00651CF2" w:rsidRDefault="00AB743A" w:rsidP="00814C53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k</w:t>
            </w:r>
            <w:r w:rsidR="009039B2" w:rsidRPr="00C52056">
              <w:rPr>
                <w:bCs/>
                <w:lang w:val="lt-LT"/>
              </w:rPr>
              <w:t>iti inžineriniai statiniai</w:t>
            </w:r>
            <w:r>
              <w:rPr>
                <w:bCs/>
                <w:lang w:val="lt-LT"/>
              </w:rPr>
              <w:t xml:space="preserve"> – </w:t>
            </w:r>
            <w:r w:rsidR="009039B2" w:rsidRPr="00C52056">
              <w:rPr>
                <w:bCs/>
                <w:lang w:val="lt-LT"/>
              </w:rPr>
              <w:t xml:space="preserve"> Automobilių stovėjimo aikštelė ir takai</w:t>
            </w:r>
            <w:r w:rsidR="00814C53">
              <w:rPr>
                <w:bCs/>
                <w:lang w:val="lt-LT"/>
              </w:rPr>
              <w:t xml:space="preserve"> </w:t>
            </w:r>
            <w:r w:rsidR="009039B2" w:rsidRPr="00651CF2">
              <w:rPr>
                <w:bCs/>
                <w:lang w:val="lt-LT"/>
              </w:rPr>
              <w:t xml:space="preserve">Lazdijų r. sav., Veisiejų sen., Kailinių k., </w:t>
            </w:r>
            <w:proofErr w:type="spellStart"/>
            <w:r w:rsidR="009039B2" w:rsidRPr="00651CF2">
              <w:rPr>
                <w:bCs/>
                <w:lang w:val="lt-LT"/>
              </w:rPr>
              <w:t>Snaigyno</w:t>
            </w:r>
            <w:proofErr w:type="spellEnd"/>
            <w:r w:rsidR="009039B2" w:rsidRPr="00651CF2">
              <w:rPr>
                <w:bCs/>
                <w:lang w:val="lt-LT"/>
              </w:rPr>
              <w:t xml:space="preserve"> g. 1</w:t>
            </w:r>
            <w:r w:rsidR="00814C53">
              <w:rPr>
                <w:bCs/>
                <w:lang w:val="lt-LT"/>
              </w:rPr>
              <w:t xml:space="preserve"> </w:t>
            </w:r>
            <w:r w:rsidR="00814C53" w:rsidRPr="00814C53">
              <w:rPr>
                <w:bCs/>
                <w:lang w:val="lt-LT"/>
              </w:rPr>
              <w:t>(</w:t>
            </w:r>
            <w:proofErr w:type="spellStart"/>
            <w:r w:rsidR="00814C53" w:rsidRPr="00814C53">
              <w:rPr>
                <w:bCs/>
                <w:lang w:val="lt-LT"/>
              </w:rPr>
              <w:t>unik</w:t>
            </w:r>
            <w:proofErr w:type="spellEnd"/>
            <w:r w:rsidR="00814C53" w:rsidRPr="00814C53">
              <w:rPr>
                <w:bCs/>
                <w:lang w:val="lt-LT"/>
              </w:rPr>
              <w:t>. Nr. 4400-2851-2508)</w:t>
            </w:r>
          </w:p>
        </w:tc>
        <w:tc>
          <w:tcPr>
            <w:tcW w:w="2054" w:type="dxa"/>
            <w:vMerge/>
          </w:tcPr>
          <w:p w14:paraId="6183D2CE" w14:textId="60608F74" w:rsidR="009039B2" w:rsidRPr="00651CF2" w:rsidRDefault="009039B2" w:rsidP="00C52056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682" w:type="dxa"/>
            <w:vMerge/>
          </w:tcPr>
          <w:p w14:paraId="193B1842" w14:textId="77777777" w:rsidR="009039B2" w:rsidRPr="00F11022" w:rsidRDefault="009039B2" w:rsidP="00C52056">
            <w:pPr>
              <w:spacing w:line="276" w:lineRule="auto"/>
              <w:jc w:val="center"/>
              <w:rPr>
                <w:bCs/>
                <w:highlight w:val="red"/>
                <w:lang w:val="lt-LT"/>
              </w:rPr>
            </w:pPr>
          </w:p>
        </w:tc>
        <w:tc>
          <w:tcPr>
            <w:tcW w:w="830" w:type="dxa"/>
          </w:tcPr>
          <w:p w14:paraId="73CE6D4D" w14:textId="36ABD210" w:rsidR="009039B2" w:rsidRPr="009039B2" w:rsidRDefault="009039B2" w:rsidP="00C52056">
            <w:pPr>
              <w:spacing w:line="276" w:lineRule="auto"/>
              <w:jc w:val="center"/>
              <w:rPr>
                <w:bCs/>
                <w:vertAlign w:val="superscript"/>
                <w:lang w:val="lt-LT"/>
              </w:rPr>
            </w:pPr>
            <w:r>
              <w:rPr>
                <w:bCs/>
                <w:lang w:val="lt-LT"/>
              </w:rPr>
              <w:t xml:space="preserve">m </w:t>
            </w:r>
            <w:r>
              <w:rPr>
                <w:bCs/>
                <w:vertAlign w:val="superscript"/>
                <w:lang w:val="lt-LT"/>
              </w:rPr>
              <w:t>2</w:t>
            </w:r>
          </w:p>
        </w:tc>
        <w:tc>
          <w:tcPr>
            <w:tcW w:w="845" w:type="dxa"/>
          </w:tcPr>
          <w:p w14:paraId="7F169C91" w14:textId="296B8CCA" w:rsidR="009039B2" w:rsidRPr="0025073F" w:rsidRDefault="009039B2" w:rsidP="00C52056">
            <w:pPr>
              <w:spacing w:line="276" w:lineRule="auto"/>
              <w:jc w:val="center"/>
              <w:rPr>
                <w:bCs/>
                <w:lang w:val="lt-LT"/>
              </w:rPr>
            </w:pPr>
            <w:r w:rsidRPr="009039B2">
              <w:rPr>
                <w:bCs/>
                <w:lang w:val="lt-LT"/>
              </w:rPr>
              <w:t>1168</w:t>
            </w:r>
          </w:p>
        </w:tc>
        <w:tc>
          <w:tcPr>
            <w:tcW w:w="1236" w:type="dxa"/>
            <w:vMerge/>
          </w:tcPr>
          <w:p w14:paraId="0B1E5347" w14:textId="719F15DC" w:rsidR="009039B2" w:rsidRPr="0025073F" w:rsidRDefault="009039B2" w:rsidP="00C52056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703" w:type="dxa"/>
            <w:vMerge/>
          </w:tcPr>
          <w:p w14:paraId="256D8038" w14:textId="77777777" w:rsidR="009039B2" w:rsidRPr="0025073F" w:rsidRDefault="009039B2" w:rsidP="00C52056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236" w:type="dxa"/>
            <w:vMerge/>
          </w:tcPr>
          <w:p w14:paraId="74DCAB5F" w14:textId="77777777" w:rsidR="009039B2" w:rsidRPr="0025073F" w:rsidRDefault="009039B2" w:rsidP="00C52056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</w:tr>
      <w:tr w:rsidR="00814C53" w14:paraId="3BB41EFB" w14:textId="77777777" w:rsidTr="00814C53">
        <w:trPr>
          <w:trHeight w:val="264"/>
        </w:trPr>
        <w:tc>
          <w:tcPr>
            <w:tcW w:w="1296" w:type="dxa"/>
          </w:tcPr>
          <w:p w14:paraId="70A499A4" w14:textId="10B45818" w:rsidR="009039B2" w:rsidRPr="00814C53" w:rsidRDefault="009039B2" w:rsidP="00814C53">
            <w:pPr>
              <w:spacing w:line="276" w:lineRule="auto"/>
              <w:rPr>
                <w:bCs/>
                <w:lang w:val="lt-LT"/>
              </w:rPr>
            </w:pPr>
            <w:r w:rsidRPr="00814C53">
              <w:rPr>
                <w:bCs/>
                <w:lang w:val="lt-LT"/>
              </w:rPr>
              <w:t>2.2.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A7293A" w14:textId="5DEAB0AD" w:rsidR="009039B2" w:rsidRPr="00651CF2" w:rsidRDefault="009039B2" w:rsidP="009039B2">
            <w:pPr>
              <w:spacing w:line="276" w:lineRule="auto"/>
              <w:rPr>
                <w:bCs/>
                <w:lang w:val="lt-LT"/>
              </w:rPr>
            </w:pPr>
            <w:proofErr w:type="spellStart"/>
            <w:r>
              <w:t>bokšto</w:t>
            </w:r>
            <w:proofErr w:type="spellEnd"/>
            <w:r>
              <w:t xml:space="preserve"> </w:t>
            </w:r>
            <w:proofErr w:type="spellStart"/>
            <w:r>
              <w:t>informacinis</w:t>
            </w:r>
            <w:proofErr w:type="spellEnd"/>
            <w:r>
              <w:t xml:space="preserve"> </w:t>
            </w:r>
            <w:proofErr w:type="spellStart"/>
            <w:r>
              <w:t>stendas</w:t>
            </w:r>
            <w:proofErr w:type="spellEnd"/>
          </w:p>
        </w:tc>
        <w:tc>
          <w:tcPr>
            <w:tcW w:w="2054" w:type="dxa"/>
            <w:vMerge/>
          </w:tcPr>
          <w:p w14:paraId="28E591A1" w14:textId="77777777" w:rsidR="009039B2" w:rsidRPr="00651CF2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682" w:type="dxa"/>
            <w:vMerge/>
          </w:tcPr>
          <w:p w14:paraId="0A109533" w14:textId="77777777" w:rsidR="009039B2" w:rsidRPr="00F11022" w:rsidRDefault="009039B2" w:rsidP="009039B2">
            <w:pPr>
              <w:spacing w:line="276" w:lineRule="auto"/>
              <w:jc w:val="center"/>
              <w:rPr>
                <w:bCs/>
                <w:highlight w:val="red"/>
                <w:lang w:val="lt-LT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4C168" w14:textId="5CB84436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294DE9" w14:textId="77462D49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2</w:t>
            </w:r>
          </w:p>
        </w:tc>
        <w:tc>
          <w:tcPr>
            <w:tcW w:w="1236" w:type="dxa"/>
            <w:vMerge/>
          </w:tcPr>
          <w:p w14:paraId="3938727C" w14:textId="21816C6D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703" w:type="dxa"/>
            <w:vMerge/>
          </w:tcPr>
          <w:p w14:paraId="458CD849" w14:textId="77777777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236" w:type="dxa"/>
            <w:vMerge/>
          </w:tcPr>
          <w:p w14:paraId="47524F2C" w14:textId="77777777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</w:tr>
      <w:tr w:rsidR="00814C53" w14:paraId="1AC7F4B6" w14:textId="77777777" w:rsidTr="00814C53">
        <w:trPr>
          <w:trHeight w:val="367"/>
        </w:trPr>
        <w:tc>
          <w:tcPr>
            <w:tcW w:w="1296" w:type="dxa"/>
          </w:tcPr>
          <w:p w14:paraId="700BFCEB" w14:textId="5A6F66CE" w:rsidR="009039B2" w:rsidRPr="00814C53" w:rsidRDefault="009039B2" w:rsidP="00814C53">
            <w:pPr>
              <w:spacing w:line="276" w:lineRule="auto"/>
              <w:rPr>
                <w:bCs/>
                <w:lang w:val="lt-LT"/>
              </w:rPr>
            </w:pPr>
            <w:r w:rsidRPr="00814C53">
              <w:rPr>
                <w:bCs/>
                <w:lang w:val="lt-LT"/>
              </w:rPr>
              <w:t>2.3.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F2C4DA" w14:textId="0F88C1EE" w:rsidR="009039B2" w:rsidRPr="00651CF2" w:rsidRDefault="009039B2" w:rsidP="009039B2">
            <w:pPr>
              <w:spacing w:line="276" w:lineRule="auto"/>
              <w:rPr>
                <w:bCs/>
                <w:lang w:val="lt-LT"/>
              </w:rPr>
            </w:pPr>
            <w:proofErr w:type="spellStart"/>
            <w:r>
              <w:t>kelio</w:t>
            </w:r>
            <w:proofErr w:type="spellEnd"/>
            <w:r>
              <w:t xml:space="preserve"> </w:t>
            </w:r>
            <w:proofErr w:type="spellStart"/>
            <w:r>
              <w:t>ženklas</w:t>
            </w:r>
            <w:proofErr w:type="spellEnd"/>
          </w:p>
        </w:tc>
        <w:tc>
          <w:tcPr>
            <w:tcW w:w="2054" w:type="dxa"/>
            <w:vMerge/>
          </w:tcPr>
          <w:p w14:paraId="7A768DDF" w14:textId="77777777" w:rsidR="009039B2" w:rsidRPr="00651CF2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682" w:type="dxa"/>
            <w:vMerge/>
          </w:tcPr>
          <w:p w14:paraId="312DAA6F" w14:textId="77777777" w:rsidR="009039B2" w:rsidRPr="00F11022" w:rsidRDefault="009039B2" w:rsidP="009039B2">
            <w:pPr>
              <w:spacing w:line="276" w:lineRule="auto"/>
              <w:jc w:val="center"/>
              <w:rPr>
                <w:bCs/>
                <w:highlight w:val="red"/>
                <w:lang w:val="lt-LT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8464B" w14:textId="241DBEB6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DC9EE4" w14:textId="5A444E4B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1</w:t>
            </w:r>
          </w:p>
        </w:tc>
        <w:tc>
          <w:tcPr>
            <w:tcW w:w="1236" w:type="dxa"/>
            <w:vMerge/>
          </w:tcPr>
          <w:p w14:paraId="3FF03912" w14:textId="349EEC51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703" w:type="dxa"/>
            <w:vMerge/>
          </w:tcPr>
          <w:p w14:paraId="7DCA2BB8" w14:textId="77777777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236" w:type="dxa"/>
            <w:vMerge/>
          </w:tcPr>
          <w:p w14:paraId="4FFC3D49" w14:textId="77777777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</w:tr>
      <w:tr w:rsidR="00814C53" w14:paraId="1DCAFBA4" w14:textId="77777777" w:rsidTr="00814C53">
        <w:trPr>
          <w:trHeight w:val="415"/>
        </w:trPr>
        <w:tc>
          <w:tcPr>
            <w:tcW w:w="1296" w:type="dxa"/>
          </w:tcPr>
          <w:p w14:paraId="198E3E7C" w14:textId="71D5B701" w:rsidR="009039B2" w:rsidRPr="00814C53" w:rsidRDefault="009039B2" w:rsidP="00814C53">
            <w:pPr>
              <w:spacing w:line="276" w:lineRule="auto"/>
              <w:rPr>
                <w:bCs/>
                <w:lang w:val="lt-LT"/>
              </w:rPr>
            </w:pPr>
            <w:r w:rsidRPr="00814C53">
              <w:rPr>
                <w:bCs/>
                <w:lang w:val="lt-LT"/>
              </w:rPr>
              <w:t>2.4.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FFD4AC" w14:textId="0C847C37" w:rsidR="009039B2" w:rsidRPr="00651CF2" w:rsidRDefault="009039B2" w:rsidP="009039B2">
            <w:pPr>
              <w:spacing w:line="276" w:lineRule="auto"/>
              <w:rPr>
                <w:bCs/>
                <w:lang w:val="lt-LT"/>
              </w:rPr>
            </w:pPr>
            <w:proofErr w:type="spellStart"/>
            <w:r>
              <w:t>suolas</w:t>
            </w:r>
            <w:proofErr w:type="spellEnd"/>
          </w:p>
        </w:tc>
        <w:tc>
          <w:tcPr>
            <w:tcW w:w="2054" w:type="dxa"/>
            <w:vMerge/>
          </w:tcPr>
          <w:p w14:paraId="718E71BE" w14:textId="77777777" w:rsidR="009039B2" w:rsidRPr="00651CF2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682" w:type="dxa"/>
            <w:vMerge/>
          </w:tcPr>
          <w:p w14:paraId="00AE8D20" w14:textId="77777777" w:rsidR="009039B2" w:rsidRPr="00F11022" w:rsidRDefault="009039B2" w:rsidP="009039B2">
            <w:pPr>
              <w:spacing w:line="276" w:lineRule="auto"/>
              <w:jc w:val="center"/>
              <w:rPr>
                <w:bCs/>
                <w:highlight w:val="red"/>
                <w:lang w:val="lt-LT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FE8EA" w14:textId="2429FF98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D39DC0" w14:textId="097C67FE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4</w:t>
            </w:r>
          </w:p>
        </w:tc>
        <w:tc>
          <w:tcPr>
            <w:tcW w:w="1236" w:type="dxa"/>
            <w:vMerge/>
          </w:tcPr>
          <w:p w14:paraId="4368B075" w14:textId="5DC864E5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703" w:type="dxa"/>
            <w:vMerge/>
          </w:tcPr>
          <w:p w14:paraId="22465C50" w14:textId="77777777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236" w:type="dxa"/>
            <w:vMerge/>
          </w:tcPr>
          <w:p w14:paraId="005025E9" w14:textId="77777777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</w:tr>
      <w:tr w:rsidR="00814C53" w14:paraId="0B63BFED" w14:textId="77777777" w:rsidTr="00814C53">
        <w:trPr>
          <w:trHeight w:val="280"/>
        </w:trPr>
        <w:tc>
          <w:tcPr>
            <w:tcW w:w="1296" w:type="dxa"/>
          </w:tcPr>
          <w:p w14:paraId="0BFDF06E" w14:textId="2865513B" w:rsidR="009039B2" w:rsidRPr="00814C53" w:rsidRDefault="009039B2" w:rsidP="00814C53">
            <w:pPr>
              <w:spacing w:line="276" w:lineRule="auto"/>
              <w:rPr>
                <w:bCs/>
                <w:lang w:val="lt-LT"/>
              </w:rPr>
            </w:pPr>
            <w:r w:rsidRPr="00814C53">
              <w:rPr>
                <w:bCs/>
                <w:lang w:val="lt-LT"/>
              </w:rPr>
              <w:t>2.5.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FD6249" w14:textId="519DF8A9" w:rsidR="009039B2" w:rsidRPr="00651CF2" w:rsidRDefault="009039B2" w:rsidP="009039B2">
            <w:pPr>
              <w:spacing w:line="276" w:lineRule="auto"/>
              <w:rPr>
                <w:bCs/>
                <w:lang w:val="lt-LT"/>
              </w:rPr>
            </w:pPr>
            <w:proofErr w:type="spellStart"/>
            <w:r>
              <w:t>stalas</w:t>
            </w:r>
            <w:proofErr w:type="spellEnd"/>
          </w:p>
        </w:tc>
        <w:tc>
          <w:tcPr>
            <w:tcW w:w="2054" w:type="dxa"/>
            <w:vMerge/>
          </w:tcPr>
          <w:p w14:paraId="3EB05872" w14:textId="77777777" w:rsidR="009039B2" w:rsidRPr="00651CF2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682" w:type="dxa"/>
            <w:vMerge/>
          </w:tcPr>
          <w:p w14:paraId="0E3DE3A9" w14:textId="77777777" w:rsidR="009039B2" w:rsidRPr="00F11022" w:rsidRDefault="009039B2" w:rsidP="009039B2">
            <w:pPr>
              <w:spacing w:line="276" w:lineRule="auto"/>
              <w:jc w:val="center"/>
              <w:rPr>
                <w:bCs/>
                <w:highlight w:val="red"/>
                <w:lang w:val="lt-LT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A86C05" w14:textId="7A3F3BE3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69C954" w14:textId="04AE3F76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1</w:t>
            </w:r>
          </w:p>
        </w:tc>
        <w:tc>
          <w:tcPr>
            <w:tcW w:w="1236" w:type="dxa"/>
            <w:vMerge/>
          </w:tcPr>
          <w:p w14:paraId="7753807D" w14:textId="3057B28E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703" w:type="dxa"/>
            <w:vMerge/>
          </w:tcPr>
          <w:p w14:paraId="59754128" w14:textId="77777777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236" w:type="dxa"/>
            <w:vMerge/>
          </w:tcPr>
          <w:p w14:paraId="02517E37" w14:textId="77777777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</w:tr>
      <w:tr w:rsidR="00814C53" w14:paraId="0C9F845C" w14:textId="77777777" w:rsidTr="00814C53">
        <w:trPr>
          <w:trHeight w:val="407"/>
        </w:trPr>
        <w:tc>
          <w:tcPr>
            <w:tcW w:w="1296" w:type="dxa"/>
          </w:tcPr>
          <w:p w14:paraId="386045D4" w14:textId="7569B124" w:rsidR="009039B2" w:rsidRPr="00814C53" w:rsidRDefault="009039B2" w:rsidP="00814C53">
            <w:pPr>
              <w:spacing w:line="276" w:lineRule="auto"/>
              <w:rPr>
                <w:bCs/>
                <w:lang w:val="lt-LT"/>
              </w:rPr>
            </w:pPr>
            <w:r w:rsidRPr="00814C53">
              <w:rPr>
                <w:bCs/>
                <w:lang w:val="lt-LT"/>
              </w:rPr>
              <w:t>2.6.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63B759" w14:textId="34594B74" w:rsidR="009039B2" w:rsidRPr="00651CF2" w:rsidRDefault="009039B2" w:rsidP="009039B2">
            <w:pPr>
              <w:spacing w:line="276" w:lineRule="auto"/>
              <w:rPr>
                <w:bCs/>
                <w:lang w:val="lt-LT"/>
              </w:rPr>
            </w:pPr>
            <w:proofErr w:type="spellStart"/>
            <w:r>
              <w:t>šiukšliadėžė</w:t>
            </w:r>
            <w:proofErr w:type="spellEnd"/>
          </w:p>
        </w:tc>
        <w:tc>
          <w:tcPr>
            <w:tcW w:w="2054" w:type="dxa"/>
            <w:vMerge/>
          </w:tcPr>
          <w:p w14:paraId="6C7DA94C" w14:textId="77777777" w:rsidR="009039B2" w:rsidRPr="00651CF2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682" w:type="dxa"/>
            <w:vMerge/>
          </w:tcPr>
          <w:p w14:paraId="2BD4ABE4" w14:textId="77777777" w:rsidR="009039B2" w:rsidRPr="00F11022" w:rsidRDefault="009039B2" w:rsidP="009039B2">
            <w:pPr>
              <w:spacing w:line="276" w:lineRule="auto"/>
              <w:jc w:val="center"/>
              <w:rPr>
                <w:bCs/>
                <w:highlight w:val="red"/>
                <w:lang w:val="lt-LT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61825" w14:textId="66E97337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B42985" w14:textId="2BC55095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1</w:t>
            </w:r>
          </w:p>
        </w:tc>
        <w:tc>
          <w:tcPr>
            <w:tcW w:w="1236" w:type="dxa"/>
            <w:vMerge/>
          </w:tcPr>
          <w:p w14:paraId="18D3173B" w14:textId="085D69E5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703" w:type="dxa"/>
            <w:vMerge/>
          </w:tcPr>
          <w:p w14:paraId="752EFE42" w14:textId="77777777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236" w:type="dxa"/>
            <w:vMerge/>
          </w:tcPr>
          <w:p w14:paraId="26DD234A" w14:textId="77777777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</w:tr>
      <w:tr w:rsidR="00814C53" w14:paraId="7ED17F76" w14:textId="77777777" w:rsidTr="00814C53">
        <w:trPr>
          <w:trHeight w:val="412"/>
        </w:trPr>
        <w:tc>
          <w:tcPr>
            <w:tcW w:w="1296" w:type="dxa"/>
          </w:tcPr>
          <w:p w14:paraId="6C15442D" w14:textId="637EE291" w:rsidR="009039B2" w:rsidRPr="00814C53" w:rsidRDefault="009039B2" w:rsidP="00814C53">
            <w:pPr>
              <w:spacing w:line="276" w:lineRule="auto"/>
              <w:rPr>
                <w:bCs/>
                <w:lang w:val="lt-LT"/>
              </w:rPr>
            </w:pPr>
            <w:r w:rsidRPr="00814C53">
              <w:rPr>
                <w:bCs/>
                <w:lang w:val="lt-LT"/>
              </w:rPr>
              <w:lastRenderedPageBreak/>
              <w:t>2.7.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E56B96" w14:textId="60B075BC" w:rsidR="009039B2" w:rsidRPr="00651CF2" w:rsidRDefault="009039B2" w:rsidP="009039B2">
            <w:pPr>
              <w:spacing w:line="276" w:lineRule="auto"/>
              <w:rPr>
                <w:bCs/>
                <w:lang w:val="lt-LT"/>
              </w:rPr>
            </w:pPr>
            <w:proofErr w:type="spellStart"/>
            <w:r>
              <w:t>informacinis</w:t>
            </w:r>
            <w:proofErr w:type="spellEnd"/>
            <w:r>
              <w:t xml:space="preserve"> </w:t>
            </w:r>
            <w:proofErr w:type="spellStart"/>
            <w:r>
              <w:t>stendas</w:t>
            </w:r>
            <w:proofErr w:type="spellEnd"/>
          </w:p>
        </w:tc>
        <w:tc>
          <w:tcPr>
            <w:tcW w:w="2054" w:type="dxa"/>
            <w:vMerge/>
          </w:tcPr>
          <w:p w14:paraId="2A5D0913" w14:textId="77777777" w:rsidR="009039B2" w:rsidRPr="00651CF2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682" w:type="dxa"/>
            <w:vMerge/>
          </w:tcPr>
          <w:p w14:paraId="4E31DE7D" w14:textId="77777777" w:rsidR="009039B2" w:rsidRPr="00F11022" w:rsidRDefault="009039B2" w:rsidP="009039B2">
            <w:pPr>
              <w:spacing w:line="276" w:lineRule="auto"/>
              <w:jc w:val="center"/>
              <w:rPr>
                <w:bCs/>
                <w:highlight w:val="red"/>
                <w:lang w:val="lt-LT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17190" w14:textId="24F5F9A5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14AF5C" w14:textId="4BB13F3E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1</w:t>
            </w:r>
          </w:p>
        </w:tc>
        <w:tc>
          <w:tcPr>
            <w:tcW w:w="1236" w:type="dxa"/>
            <w:vMerge/>
          </w:tcPr>
          <w:p w14:paraId="6A315147" w14:textId="54A9970D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703" w:type="dxa"/>
            <w:vMerge/>
          </w:tcPr>
          <w:p w14:paraId="0107F1E7" w14:textId="77777777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236" w:type="dxa"/>
            <w:vMerge/>
          </w:tcPr>
          <w:p w14:paraId="28D7EDFB" w14:textId="77777777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</w:tr>
      <w:tr w:rsidR="00814C53" w14:paraId="41064C8E" w14:textId="77777777" w:rsidTr="00814C53">
        <w:trPr>
          <w:trHeight w:val="276"/>
        </w:trPr>
        <w:tc>
          <w:tcPr>
            <w:tcW w:w="1296" w:type="dxa"/>
          </w:tcPr>
          <w:p w14:paraId="771FFB53" w14:textId="06BE8434" w:rsidR="009039B2" w:rsidRPr="00814C53" w:rsidRDefault="009039B2" w:rsidP="00814C53">
            <w:pPr>
              <w:spacing w:line="276" w:lineRule="auto"/>
              <w:rPr>
                <w:bCs/>
                <w:lang w:val="lt-LT"/>
              </w:rPr>
            </w:pPr>
            <w:r w:rsidRPr="00814C53">
              <w:rPr>
                <w:bCs/>
                <w:lang w:val="lt-LT"/>
              </w:rPr>
              <w:t>2.8.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F99EAF" w14:textId="6CA189E8" w:rsidR="009039B2" w:rsidRPr="00651CF2" w:rsidRDefault="009039B2" w:rsidP="009039B2">
            <w:pPr>
              <w:spacing w:line="276" w:lineRule="auto"/>
              <w:rPr>
                <w:bCs/>
                <w:lang w:val="lt-LT"/>
              </w:rPr>
            </w:pPr>
            <w:proofErr w:type="spellStart"/>
            <w:r>
              <w:t>dviračių</w:t>
            </w:r>
            <w:proofErr w:type="spellEnd"/>
            <w:r>
              <w:t xml:space="preserve"> </w:t>
            </w:r>
            <w:proofErr w:type="spellStart"/>
            <w:r>
              <w:t>stovas</w:t>
            </w:r>
            <w:proofErr w:type="spellEnd"/>
          </w:p>
        </w:tc>
        <w:tc>
          <w:tcPr>
            <w:tcW w:w="2054" w:type="dxa"/>
            <w:vMerge/>
          </w:tcPr>
          <w:p w14:paraId="2349590C" w14:textId="77777777" w:rsidR="009039B2" w:rsidRPr="00651CF2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682" w:type="dxa"/>
            <w:vMerge/>
          </w:tcPr>
          <w:p w14:paraId="4FE9E10C" w14:textId="77777777" w:rsidR="009039B2" w:rsidRPr="00F11022" w:rsidRDefault="009039B2" w:rsidP="009039B2">
            <w:pPr>
              <w:spacing w:line="276" w:lineRule="auto"/>
              <w:jc w:val="center"/>
              <w:rPr>
                <w:bCs/>
                <w:highlight w:val="red"/>
                <w:lang w:val="lt-LT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DBC39" w14:textId="0B7701AA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3EE9DC" w14:textId="69D40291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1</w:t>
            </w:r>
          </w:p>
        </w:tc>
        <w:tc>
          <w:tcPr>
            <w:tcW w:w="1236" w:type="dxa"/>
            <w:vMerge/>
          </w:tcPr>
          <w:p w14:paraId="5A6B7255" w14:textId="79981A89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703" w:type="dxa"/>
            <w:vMerge/>
          </w:tcPr>
          <w:p w14:paraId="670E1313" w14:textId="77777777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236" w:type="dxa"/>
            <w:vMerge/>
          </w:tcPr>
          <w:p w14:paraId="21FEA4D5" w14:textId="77777777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</w:tr>
      <w:tr w:rsidR="00814C53" w14:paraId="0B739F6F" w14:textId="77777777" w:rsidTr="00814C53">
        <w:trPr>
          <w:trHeight w:val="381"/>
        </w:trPr>
        <w:tc>
          <w:tcPr>
            <w:tcW w:w="1296" w:type="dxa"/>
          </w:tcPr>
          <w:p w14:paraId="5DE7BA29" w14:textId="62B1F59E" w:rsidR="009039B2" w:rsidRPr="00C52056" w:rsidRDefault="009039B2" w:rsidP="00814C53">
            <w:pPr>
              <w:pStyle w:val="Sraopastraipa"/>
              <w:spacing w:line="276" w:lineRule="auto"/>
              <w:ind w:left="0" w:right="555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2.9.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DDAA5D" w14:textId="0C34769B" w:rsidR="009039B2" w:rsidRPr="00651CF2" w:rsidRDefault="009039B2" w:rsidP="009039B2">
            <w:pPr>
              <w:spacing w:line="276" w:lineRule="auto"/>
              <w:rPr>
                <w:bCs/>
                <w:lang w:val="lt-LT"/>
              </w:rPr>
            </w:pPr>
            <w:r>
              <w:t xml:space="preserve">PVC </w:t>
            </w:r>
            <w:proofErr w:type="spellStart"/>
            <w:r>
              <w:t>pralaida</w:t>
            </w:r>
            <w:proofErr w:type="spellEnd"/>
          </w:p>
        </w:tc>
        <w:tc>
          <w:tcPr>
            <w:tcW w:w="2054" w:type="dxa"/>
            <w:vMerge/>
          </w:tcPr>
          <w:p w14:paraId="5BDD61BD" w14:textId="77777777" w:rsidR="009039B2" w:rsidRPr="00651CF2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682" w:type="dxa"/>
            <w:vMerge/>
          </w:tcPr>
          <w:p w14:paraId="56FB7317" w14:textId="77777777" w:rsidR="009039B2" w:rsidRPr="00F11022" w:rsidRDefault="009039B2" w:rsidP="009039B2">
            <w:pPr>
              <w:spacing w:line="276" w:lineRule="auto"/>
              <w:jc w:val="center"/>
              <w:rPr>
                <w:bCs/>
                <w:highlight w:val="red"/>
                <w:lang w:val="lt-LT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1E1B8" w14:textId="6F879E9D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77B7E3" w14:textId="057354BD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32</w:t>
            </w:r>
          </w:p>
        </w:tc>
        <w:tc>
          <w:tcPr>
            <w:tcW w:w="1236" w:type="dxa"/>
            <w:vMerge/>
          </w:tcPr>
          <w:p w14:paraId="077B149F" w14:textId="179E92F0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703" w:type="dxa"/>
            <w:vMerge/>
          </w:tcPr>
          <w:p w14:paraId="17D2D462" w14:textId="77777777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236" w:type="dxa"/>
            <w:vMerge/>
          </w:tcPr>
          <w:p w14:paraId="0E2A650F" w14:textId="77777777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</w:tr>
      <w:tr w:rsidR="00814C53" w14:paraId="688A17B6" w14:textId="77777777" w:rsidTr="00814C53">
        <w:tc>
          <w:tcPr>
            <w:tcW w:w="1296" w:type="dxa"/>
          </w:tcPr>
          <w:p w14:paraId="08056899" w14:textId="38333C99" w:rsidR="009039B2" w:rsidRPr="00651CF2" w:rsidRDefault="009039B2" w:rsidP="00814C53">
            <w:pPr>
              <w:spacing w:line="276" w:lineRule="auto"/>
              <w:rPr>
                <w:bCs/>
                <w:lang w:val="lt-LT"/>
              </w:rPr>
            </w:pPr>
            <w:r w:rsidRPr="00651CF2">
              <w:rPr>
                <w:bCs/>
                <w:lang w:val="lt-LT"/>
              </w:rPr>
              <w:t>3.</w:t>
            </w:r>
          </w:p>
        </w:tc>
        <w:tc>
          <w:tcPr>
            <w:tcW w:w="3738" w:type="dxa"/>
          </w:tcPr>
          <w:p w14:paraId="484383A0" w14:textId="6535E53E" w:rsidR="009039B2" w:rsidRPr="00651CF2" w:rsidRDefault="009039B2" w:rsidP="009039B2">
            <w:pPr>
              <w:spacing w:line="276" w:lineRule="auto"/>
              <w:rPr>
                <w:lang w:val="lt-LT"/>
              </w:rPr>
            </w:pPr>
            <w:r w:rsidRPr="00651CF2">
              <w:rPr>
                <w:lang w:val="lt-LT"/>
              </w:rPr>
              <w:t>Kiti inžineriniai statiniai</w:t>
            </w:r>
            <w:r w:rsidR="00AB743A">
              <w:rPr>
                <w:lang w:val="lt-LT"/>
              </w:rPr>
              <w:t xml:space="preserve"> – </w:t>
            </w:r>
            <w:r w:rsidRPr="00651CF2">
              <w:rPr>
                <w:lang w:val="lt-LT"/>
              </w:rPr>
              <w:t xml:space="preserve"> Apžvalgos bokštas</w:t>
            </w:r>
            <w:r>
              <w:rPr>
                <w:lang w:val="lt-LT"/>
              </w:rPr>
              <w:t xml:space="preserve"> </w:t>
            </w:r>
          </w:p>
          <w:p w14:paraId="528A6BE7" w14:textId="611D5F59" w:rsidR="009039B2" w:rsidRDefault="009039B2" w:rsidP="009039B2">
            <w:pPr>
              <w:spacing w:line="276" w:lineRule="auto"/>
              <w:rPr>
                <w:b/>
                <w:lang w:val="lt-LT"/>
              </w:rPr>
            </w:pPr>
            <w:r w:rsidRPr="00651CF2">
              <w:rPr>
                <w:lang w:val="lt-LT"/>
              </w:rPr>
              <w:t>Lazdijų r. sav., Seirijų sen., Metelių k., Seirijų g. 1A</w:t>
            </w:r>
          </w:p>
        </w:tc>
        <w:tc>
          <w:tcPr>
            <w:tcW w:w="2054" w:type="dxa"/>
          </w:tcPr>
          <w:p w14:paraId="235A7135" w14:textId="0F01B560" w:rsidR="009039B2" w:rsidRDefault="009039B2" w:rsidP="009039B2">
            <w:pPr>
              <w:spacing w:line="276" w:lineRule="auto"/>
              <w:jc w:val="center"/>
              <w:rPr>
                <w:b/>
                <w:lang w:val="lt-LT"/>
              </w:rPr>
            </w:pPr>
            <w:r w:rsidRPr="00651CF2">
              <w:rPr>
                <w:bCs/>
                <w:lang w:val="lt-LT"/>
              </w:rPr>
              <w:t>4400-3147-9940</w:t>
            </w:r>
          </w:p>
        </w:tc>
        <w:tc>
          <w:tcPr>
            <w:tcW w:w="1682" w:type="dxa"/>
          </w:tcPr>
          <w:p w14:paraId="5FB5D47F" w14:textId="35A80296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15021364</w:t>
            </w:r>
          </w:p>
        </w:tc>
        <w:tc>
          <w:tcPr>
            <w:tcW w:w="830" w:type="dxa"/>
          </w:tcPr>
          <w:p w14:paraId="15F51316" w14:textId="68AE57D0" w:rsidR="009039B2" w:rsidRPr="0025073F" w:rsidRDefault="00814C53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Vnt.</w:t>
            </w:r>
          </w:p>
        </w:tc>
        <w:tc>
          <w:tcPr>
            <w:tcW w:w="845" w:type="dxa"/>
          </w:tcPr>
          <w:p w14:paraId="6ADE75FB" w14:textId="036BB1B7" w:rsidR="009039B2" w:rsidRPr="0025073F" w:rsidRDefault="00814C53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236" w:type="dxa"/>
          </w:tcPr>
          <w:p w14:paraId="5DA5E899" w14:textId="3BF61709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262822,90</w:t>
            </w:r>
          </w:p>
        </w:tc>
        <w:tc>
          <w:tcPr>
            <w:tcW w:w="1703" w:type="dxa"/>
          </w:tcPr>
          <w:p w14:paraId="40D914F7" w14:textId="258A09A3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154496,78</w:t>
            </w:r>
          </w:p>
        </w:tc>
        <w:tc>
          <w:tcPr>
            <w:tcW w:w="1236" w:type="dxa"/>
          </w:tcPr>
          <w:p w14:paraId="63062A56" w14:textId="6D5DB98F" w:rsidR="009039B2" w:rsidRPr="0025073F" w:rsidRDefault="009039B2" w:rsidP="009039B2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108326,12</w:t>
            </w:r>
          </w:p>
        </w:tc>
      </w:tr>
      <w:tr w:rsidR="00814C53" w14:paraId="33EACA3D" w14:textId="77777777" w:rsidTr="00814C53">
        <w:tc>
          <w:tcPr>
            <w:tcW w:w="1296" w:type="dxa"/>
          </w:tcPr>
          <w:p w14:paraId="0938D7D6" w14:textId="21D875ED" w:rsidR="00814C53" w:rsidRPr="00651CF2" w:rsidRDefault="00814C53" w:rsidP="00814C53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4. </w:t>
            </w:r>
          </w:p>
        </w:tc>
        <w:tc>
          <w:tcPr>
            <w:tcW w:w="3738" w:type="dxa"/>
          </w:tcPr>
          <w:p w14:paraId="64BCD760" w14:textId="59F64A67" w:rsidR="00814C53" w:rsidRPr="00651CF2" w:rsidRDefault="00814C53" w:rsidP="00814C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Pr="00814C53">
              <w:rPr>
                <w:lang w:val="lt-LT"/>
              </w:rPr>
              <w:t>nfrastruktūra aplink Metelių regioninio parko apžvalgos bokštą</w:t>
            </w:r>
            <w:r>
              <w:rPr>
                <w:lang w:val="lt-LT"/>
              </w:rPr>
              <w:t xml:space="preserve"> </w:t>
            </w:r>
            <w:r w:rsidRPr="00814C53">
              <w:rPr>
                <w:lang w:val="lt-LT"/>
              </w:rPr>
              <w:t>Lazdijų r. sav., Seirijų sen., Metelių k., Seirijų g. 1A</w:t>
            </w:r>
          </w:p>
        </w:tc>
        <w:tc>
          <w:tcPr>
            <w:tcW w:w="2054" w:type="dxa"/>
            <w:vMerge w:val="restart"/>
          </w:tcPr>
          <w:p w14:paraId="3B9F6547" w14:textId="7C0C764B" w:rsidR="00814C53" w:rsidRPr="00651CF2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 w:rsidRPr="00651CF2">
              <w:rPr>
                <w:lang w:val="lt-LT"/>
              </w:rPr>
              <w:t>4400-3147-2347</w:t>
            </w:r>
          </w:p>
        </w:tc>
        <w:tc>
          <w:tcPr>
            <w:tcW w:w="1682" w:type="dxa"/>
            <w:vMerge w:val="restart"/>
          </w:tcPr>
          <w:p w14:paraId="6CFD21BE" w14:textId="05231FA6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1521364</w:t>
            </w:r>
          </w:p>
        </w:tc>
        <w:tc>
          <w:tcPr>
            <w:tcW w:w="830" w:type="dxa"/>
          </w:tcPr>
          <w:p w14:paraId="460464C4" w14:textId="046FDF31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komp</w:t>
            </w:r>
            <w:proofErr w:type="spellEnd"/>
            <w:r>
              <w:rPr>
                <w:bCs/>
                <w:lang w:val="lt-LT"/>
              </w:rPr>
              <w:t>.</w:t>
            </w:r>
          </w:p>
        </w:tc>
        <w:tc>
          <w:tcPr>
            <w:tcW w:w="845" w:type="dxa"/>
          </w:tcPr>
          <w:p w14:paraId="319A9F07" w14:textId="686B7EC0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1236" w:type="dxa"/>
            <w:vMerge w:val="restart"/>
          </w:tcPr>
          <w:p w14:paraId="13D391A2" w14:textId="2F81D548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115585,90</w:t>
            </w:r>
          </w:p>
        </w:tc>
        <w:tc>
          <w:tcPr>
            <w:tcW w:w="1703" w:type="dxa"/>
            <w:vMerge w:val="restart"/>
          </w:tcPr>
          <w:p w14:paraId="3686AF45" w14:textId="22E00AEB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67800,74</w:t>
            </w:r>
          </w:p>
        </w:tc>
        <w:tc>
          <w:tcPr>
            <w:tcW w:w="1236" w:type="dxa"/>
            <w:vMerge w:val="restart"/>
          </w:tcPr>
          <w:p w14:paraId="67FEC57A" w14:textId="080F9218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5073F">
              <w:rPr>
                <w:bCs/>
                <w:lang w:val="lt-LT"/>
              </w:rPr>
              <w:t>47785,16</w:t>
            </w:r>
          </w:p>
        </w:tc>
      </w:tr>
      <w:tr w:rsidR="00814C53" w14:paraId="0746790B" w14:textId="77777777" w:rsidTr="00814C53">
        <w:tc>
          <w:tcPr>
            <w:tcW w:w="1296" w:type="dxa"/>
          </w:tcPr>
          <w:p w14:paraId="14BC9B54" w14:textId="01DE0BEE" w:rsidR="00814C53" w:rsidRPr="00651CF2" w:rsidRDefault="00814C53" w:rsidP="00814C53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4.1. </w:t>
            </w:r>
          </w:p>
        </w:tc>
        <w:tc>
          <w:tcPr>
            <w:tcW w:w="3738" w:type="dxa"/>
          </w:tcPr>
          <w:p w14:paraId="6F679AB4" w14:textId="6E26B1BA" w:rsidR="00814C53" w:rsidRPr="00651CF2" w:rsidRDefault="00AB743A" w:rsidP="00814C5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814C53" w:rsidRPr="00651CF2">
              <w:rPr>
                <w:lang w:val="lt-LT"/>
              </w:rPr>
              <w:t>iti inžineriniai statiniai</w:t>
            </w:r>
            <w:r>
              <w:rPr>
                <w:lang w:val="lt-LT"/>
              </w:rPr>
              <w:t xml:space="preserve"> – </w:t>
            </w:r>
            <w:r w:rsidR="00814C53" w:rsidRPr="00651CF2">
              <w:rPr>
                <w:lang w:val="lt-LT"/>
              </w:rPr>
              <w:t xml:space="preserve"> Automobilių stovėjimo aikštelė</w:t>
            </w:r>
            <w:r w:rsidR="00814C53">
              <w:rPr>
                <w:lang w:val="lt-LT"/>
              </w:rPr>
              <w:t xml:space="preserve"> </w:t>
            </w:r>
          </w:p>
          <w:p w14:paraId="229FA2CF" w14:textId="560B924D" w:rsidR="00814C53" w:rsidRDefault="00814C53" w:rsidP="00814C53">
            <w:pPr>
              <w:spacing w:line="276" w:lineRule="auto"/>
              <w:rPr>
                <w:b/>
                <w:lang w:val="lt-LT"/>
              </w:rPr>
            </w:pPr>
            <w:r w:rsidRPr="00651CF2">
              <w:rPr>
                <w:lang w:val="lt-LT"/>
              </w:rPr>
              <w:t>Lazdijų r. sav., Seirijų sen., Metelių k., Seirijų g. 1A</w:t>
            </w:r>
            <w:r>
              <w:rPr>
                <w:lang w:val="lt-LT"/>
              </w:rPr>
              <w:t xml:space="preserve"> (</w:t>
            </w:r>
            <w:proofErr w:type="spellStart"/>
            <w:r w:rsidRPr="00814C53">
              <w:rPr>
                <w:lang w:val="lt-LT"/>
              </w:rPr>
              <w:t>unik</w:t>
            </w:r>
            <w:proofErr w:type="spellEnd"/>
            <w:r w:rsidRPr="00814C53">
              <w:rPr>
                <w:lang w:val="lt-LT"/>
              </w:rPr>
              <w:t>. Nr. 4400-3147-2347)</w:t>
            </w:r>
          </w:p>
        </w:tc>
        <w:tc>
          <w:tcPr>
            <w:tcW w:w="2054" w:type="dxa"/>
            <w:vMerge/>
          </w:tcPr>
          <w:p w14:paraId="6135A900" w14:textId="5831A43F" w:rsidR="00814C53" w:rsidRDefault="00814C53" w:rsidP="00814C53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82" w:type="dxa"/>
            <w:vMerge/>
          </w:tcPr>
          <w:p w14:paraId="62A161FB" w14:textId="5FA50159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4FA5DF" w14:textId="28F2B091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CF9C10" w14:textId="4D0231A0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332</w:t>
            </w:r>
          </w:p>
        </w:tc>
        <w:tc>
          <w:tcPr>
            <w:tcW w:w="1236" w:type="dxa"/>
            <w:vMerge/>
          </w:tcPr>
          <w:p w14:paraId="6438B31F" w14:textId="264C7EB1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703" w:type="dxa"/>
            <w:vMerge/>
          </w:tcPr>
          <w:p w14:paraId="6E3C9D67" w14:textId="4E3D7208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236" w:type="dxa"/>
            <w:vMerge/>
          </w:tcPr>
          <w:p w14:paraId="266F5CE6" w14:textId="1F2E4C9A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</w:tr>
      <w:tr w:rsidR="00814C53" w14:paraId="30D0B825" w14:textId="77777777" w:rsidTr="00814C53">
        <w:tc>
          <w:tcPr>
            <w:tcW w:w="1296" w:type="dxa"/>
          </w:tcPr>
          <w:p w14:paraId="20A8FAFD" w14:textId="74EECE14" w:rsidR="00814C53" w:rsidRPr="00651CF2" w:rsidRDefault="00E20ECD" w:rsidP="00E20ECD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4.2.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B191E5" w14:textId="45688750" w:rsidR="00814C53" w:rsidRPr="00651CF2" w:rsidRDefault="00814C53" w:rsidP="00814C53">
            <w:pPr>
              <w:spacing w:line="276" w:lineRule="auto"/>
              <w:rPr>
                <w:lang w:val="lt-LT"/>
              </w:rPr>
            </w:pPr>
            <w:proofErr w:type="spellStart"/>
            <w:r>
              <w:t>pėsčiųjų</w:t>
            </w:r>
            <w:proofErr w:type="spellEnd"/>
            <w:r>
              <w:t xml:space="preserve"> zona (</w:t>
            </w:r>
            <w:proofErr w:type="spellStart"/>
            <w:r>
              <w:t>betono</w:t>
            </w:r>
            <w:proofErr w:type="spellEnd"/>
            <w:r>
              <w:t xml:space="preserve"> </w:t>
            </w:r>
            <w:proofErr w:type="spellStart"/>
            <w:r>
              <w:t>trinkelės</w:t>
            </w:r>
            <w:proofErr w:type="spellEnd"/>
            <w:r>
              <w:t xml:space="preserve">) </w:t>
            </w:r>
          </w:p>
        </w:tc>
        <w:tc>
          <w:tcPr>
            <w:tcW w:w="2054" w:type="dxa"/>
            <w:vMerge/>
          </w:tcPr>
          <w:p w14:paraId="7036BA95" w14:textId="77777777" w:rsidR="00814C53" w:rsidRPr="00651CF2" w:rsidRDefault="00814C53" w:rsidP="00814C5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82" w:type="dxa"/>
            <w:vMerge/>
          </w:tcPr>
          <w:p w14:paraId="7EA0CF66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2CB51" w14:textId="016C6B0B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2B1" w14:textId="68369EB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150</w:t>
            </w:r>
          </w:p>
        </w:tc>
        <w:tc>
          <w:tcPr>
            <w:tcW w:w="1236" w:type="dxa"/>
            <w:vMerge/>
          </w:tcPr>
          <w:p w14:paraId="7A418432" w14:textId="16A300EF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703" w:type="dxa"/>
            <w:vMerge/>
          </w:tcPr>
          <w:p w14:paraId="3E797404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236" w:type="dxa"/>
            <w:vMerge/>
          </w:tcPr>
          <w:p w14:paraId="54648F0D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</w:tr>
      <w:tr w:rsidR="00814C53" w14:paraId="3B5D110A" w14:textId="77777777" w:rsidTr="00814C53">
        <w:tc>
          <w:tcPr>
            <w:tcW w:w="1296" w:type="dxa"/>
          </w:tcPr>
          <w:p w14:paraId="223EF434" w14:textId="152BDE8D" w:rsidR="00814C53" w:rsidRPr="00651CF2" w:rsidRDefault="00E20ECD" w:rsidP="00E20ECD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4.3.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2B297C" w14:textId="561BCECB" w:rsidR="00814C53" w:rsidRPr="00651CF2" w:rsidRDefault="00814C53" w:rsidP="00814C53">
            <w:pPr>
              <w:spacing w:line="276" w:lineRule="auto"/>
              <w:rPr>
                <w:lang w:val="lt-LT"/>
              </w:rPr>
            </w:pPr>
            <w:r>
              <w:t xml:space="preserve">pinto </w:t>
            </w:r>
            <w:proofErr w:type="spellStart"/>
            <w:r>
              <w:t>tinklo</w:t>
            </w:r>
            <w:proofErr w:type="spellEnd"/>
            <w:r>
              <w:t xml:space="preserve"> </w:t>
            </w:r>
            <w:proofErr w:type="spellStart"/>
            <w:r>
              <w:t>tvora</w:t>
            </w:r>
            <w:proofErr w:type="spellEnd"/>
          </w:p>
        </w:tc>
        <w:tc>
          <w:tcPr>
            <w:tcW w:w="2054" w:type="dxa"/>
            <w:vMerge/>
          </w:tcPr>
          <w:p w14:paraId="66E35588" w14:textId="77777777" w:rsidR="00814C53" w:rsidRPr="00651CF2" w:rsidRDefault="00814C53" w:rsidP="00814C5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82" w:type="dxa"/>
            <w:vMerge/>
          </w:tcPr>
          <w:p w14:paraId="3A553A4B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1AB2" w14:textId="37533999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CF1B80" w14:textId="1273B949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83,77</w:t>
            </w:r>
          </w:p>
        </w:tc>
        <w:tc>
          <w:tcPr>
            <w:tcW w:w="1236" w:type="dxa"/>
            <w:vMerge/>
          </w:tcPr>
          <w:p w14:paraId="5E5EA24A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703" w:type="dxa"/>
            <w:vMerge/>
          </w:tcPr>
          <w:p w14:paraId="6F84D1D7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236" w:type="dxa"/>
            <w:vMerge/>
          </w:tcPr>
          <w:p w14:paraId="55731798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</w:tr>
      <w:tr w:rsidR="00814C53" w14:paraId="73A96419" w14:textId="77777777" w:rsidTr="00814C53">
        <w:tc>
          <w:tcPr>
            <w:tcW w:w="1296" w:type="dxa"/>
          </w:tcPr>
          <w:p w14:paraId="6C809E98" w14:textId="78F5D7FC" w:rsidR="00814C53" w:rsidRPr="00651CF2" w:rsidRDefault="00E20ECD" w:rsidP="00E20ECD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4.4.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510C88" w14:textId="03D92D92" w:rsidR="00814C53" w:rsidRPr="00651CF2" w:rsidRDefault="00814C53" w:rsidP="00814C53">
            <w:pPr>
              <w:spacing w:line="276" w:lineRule="auto"/>
              <w:rPr>
                <w:lang w:val="lt-LT"/>
              </w:rPr>
            </w:pPr>
            <w:proofErr w:type="spellStart"/>
            <w:r>
              <w:t>stalas</w:t>
            </w:r>
            <w:proofErr w:type="spellEnd"/>
          </w:p>
        </w:tc>
        <w:tc>
          <w:tcPr>
            <w:tcW w:w="2054" w:type="dxa"/>
            <w:vMerge/>
          </w:tcPr>
          <w:p w14:paraId="495A72AE" w14:textId="77777777" w:rsidR="00814C53" w:rsidRPr="00651CF2" w:rsidRDefault="00814C53" w:rsidP="00814C5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82" w:type="dxa"/>
            <w:vMerge/>
          </w:tcPr>
          <w:p w14:paraId="2DEE5CAC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F5B2" w14:textId="0ED569B2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F84E1" w14:textId="7C97E116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1</w:t>
            </w:r>
          </w:p>
        </w:tc>
        <w:tc>
          <w:tcPr>
            <w:tcW w:w="1236" w:type="dxa"/>
            <w:vMerge/>
          </w:tcPr>
          <w:p w14:paraId="42E99610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703" w:type="dxa"/>
            <w:vMerge/>
          </w:tcPr>
          <w:p w14:paraId="162EB3FD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236" w:type="dxa"/>
            <w:vMerge/>
          </w:tcPr>
          <w:p w14:paraId="18BBB207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</w:tr>
      <w:tr w:rsidR="00814C53" w14:paraId="6EFCD803" w14:textId="77777777" w:rsidTr="00814C53">
        <w:tc>
          <w:tcPr>
            <w:tcW w:w="1296" w:type="dxa"/>
          </w:tcPr>
          <w:p w14:paraId="60C8D154" w14:textId="570037E7" w:rsidR="00814C53" w:rsidRPr="00651CF2" w:rsidRDefault="00E20ECD" w:rsidP="00E20ECD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4.5.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37363" w14:textId="3DB5FC20" w:rsidR="00814C53" w:rsidRPr="00651CF2" w:rsidRDefault="00814C53" w:rsidP="00814C53">
            <w:pPr>
              <w:spacing w:line="276" w:lineRule="auto"/>
              <w:rPr>
                <w:lang w:val="lt-LT"/>
              </w:rPr>
            </w:pPr>
            <w:proofErr w:type="spellStart"/>
            <w:r>
              <w:t>suolas</w:t>
            </w:r>
            <w:proofErr w:type="spellEnd"/>
          </w:p>
        </w:tc>
        <w:tc>
          <w:tcPr>
            <w:tcW w:w="2054" w:type="dxa"/>
            <w:vMerge/>
          </w:tcPr>
          <w:p w14:paraId="6C3E57B5" w14:textId="77777777" w:rsidR="00814C53" w:rsidRPr="00651CF2" w:rsidRDefault="00814C53" w:rsidP="00814C5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82" w:type="dxa"/>
            <w:vMerge/>
          </w:tcPr>
          <w:p w14:paraId="2EB7A42E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4211" w14:textId="2C4478B4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D5958" w14:textId="69A2F25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2</w:t>
            </w:r>
          </w:p>
        </w:tc>
        <w:tc>
          <w:tcPr>
            <w:tcW w:w="1236" w:type="dxa"/>
            <w:vMerge/>
          </w:tcPr>
          <w:p w14:paraId="616976A2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703" w:type="dxa"/>
            <w:vMerge/>
          </w:tcPr>
          <w:p w14:paraId="25F913D3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236" w:type="dxa"/>
            <w:vMerge/>
          </w:tcPr>
          <w:p w14:paraId="5F7A3980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</w:tr>
      <w:tr w:rsidR="00814C53" w14:paraId="605DED9A" w14:textId="77777777" w:rsidTr="00814C53">
        <w:tc>
          <w:tcPr>
            <w:tcW w:w="1296" w:type="dxa"/>
          </w:tcPr>
          <w:p w14:paraId="2CA763D8" w14:textId="421F0EB5" w:rsidR="00814C53" w:rsidRPr="00651CF2" w:rsidRDefault="00E20ECD" w:rsidP="00E20ECD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4.6.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E1DDA" w14:textId="09963969" w:rsidR="00814C53" w:rsidRPr="00651CF2" w:rsidRDefault="00814C53" w:rsidP="00814C53">
            <w:pPr>
              <w:spacing w:line="276" w:lineRule="auto"/>
              <w:rPr>
                <w:lang w:val="lt-LT"/>
              </w:rPr>
            </w:pPr>
            <w:proofErr w:type="spellStart"/>
            <w:r>
              <w:t>dviračių</w:t>
            </w:r>
            <w:proofErr w:type="spellEnd"/>
            <w:r>
              <w:t xml:space="preserve"> </w:t>
            </w:r>
            <w:proofErr w:type="spellStart"/>
            <w:r>
              <w:t>stovas</w:t>
            </w:r>
            <w:proofErr w:type="spellEnd"/>
          </w:p>
        </w:tc>
        <w:tc>
          <w:tcPr>
            <w:tcW w:w="2054" w:type="dxa"/>
            <w:vMerge/>
          </w:tcPr>
          <w:p w14:paraId="2EBBF981" w14:textId="77777777" w:rsidR="00814C53" w:rsidRPr="00651CF2" w:rsidRDefault="00814C53" w:rsidP="00814C5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82" w:type="dxa"/>
            <w:vMerge/>
          </w:tcPr>
          <w:p w14:paraId="7C5FA460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E0E5" w14:textId="59D75D38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DB24C" w14:textId="2B37DC6F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1</w:t>
            </w:r>
          </w:p>
        </w:tc>
        <w:tc>
          <w:tcPr>
            <w:tcW w:w="1236" w:type="dxa"/>
            <w:vMerge/>
          </w:tcPr>
          <w:p w14:paraId="76FDBFE2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703" w:type="dxa"/>
            <w:vMerge/>
          </w:tcPr>
          <w:p w14:paraId="7FB73CBB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236" w:type="dxa"/>
            <w:vMerge/>
          </w:tcPr>
          <w:p w14:paraId="33A1C70C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</w:tr>
      <w:tr w:rsidR="00814C53" w14:paraId="225F68AB" w14:textId="77777777" w:rsidTr="00814C53">
        <w:tc>
          <w:tcPr>
            <w:tcW w:w="1296" w:type="dxa"/>
          </w:tcPr>
          <w:p w14:paraId="3182F433" w14:textId="7BCB76E9" w:rsidR="00814C53" w:rsidRPr="00651CF2" w:rsidRDefault="00E20ECD" w:rsidP="00E20ECD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4.7.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DF1688" w14:textId="63252631" w:rsidR="00814C53" w:rsidRPr="00651CF2" w:rsidRDefault="00814C53" w:rsidP="00814C53">
            <w:pPr>
              <w:spacing w:line="276" w:lineRule="auto"/>
              <w:rPr>
                <w:lang w:val="lt-LT"/>
              </w:rPr>
            </w:pPr>
            <w:proofErr w:type="spellStart"/>
            <w:r>
              <w:t>informacinis</w:t>
            </w:r>
            <w:proofErr w:type="spellEnd"/>
            <w:r>
              <w:t xml:space="preserve"> </w:t>
            </w:r>
            <w:proofErr w:type="spellStart"/>
            <w:r>
              <w:t>stendas</w:t>
            </w:r>
            <w:proofErr w:type="spellEnd"/>
          </w:p>
        </w:tc>
        <w:tc>
          <w:tcPr>
            <w:tcW w:w="2054" w:type="dxa"/>
            <w:vMerge/>
          </w:tcPr>
          <w:p w14:paraId="14701642" w14:textId="77777777" w:rsidR="00814C53" w:rsidRPr="00651CF2" w:rsidRDefault="00814C53" w:rsidP="00814C5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82" w:type="dxa"/>
            <w:vMerge/>
          </w:tcPr>
          <w:p w14:paraId="2B1293F5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D767" w14:textId="3620004A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E4324" w14:textId="19104639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1</w:t>
            </w:r>
          </w:p>
        </w:tc>
        <w:tc>
          <w:tcPr>
            <w:tcW w:w="1236" w:type="dxa"/>
            <w:vMerge/>
          </w:tcPr>
          <w:p w14:paraId="0EF282D1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703" w:type="dxa"/>
            <w:vMerge/>
          </w:tcPr>
          <w:p w14:paraId="08914205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236" w:type="dxa"/>
            <w:vMerge/>
          </w:tcPr>
          <w:p w14:paraId="479E6397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</w:tr>
      <w:tr w:rsidR="00814C53" w14:paraId="20FE15BC" w14:textId="77777777" w:rsidTr="00814C53">
        <w:tc>
          <w:tcPr>
            <w:tcW w:w="1296" w:type="dxa"/>
          </w:tcPr>
          <w:p w14:paraId="20082AFD" w14:textId="0B2CA148" w:rsidR="00814C53" w:rsidRPr="00651CF2" w:rsidRDefault="00E20ECD" w:rsidP="00E20ECD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4.8.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5F364" w14:textId="233716B8" w:rsidR="00814C53" w:rsidRPr="00651CF2" w:rsidRDefault="00814C53" w:rsidP="00814C53">
            <w:pPr>
              <w:spacing w:line="276" w:lineRule="auto"/>
              <w:rPr>
                <w:lang w:val="lt-LT"/>
              </w:rPr>
            </w:pPr>
            <w:proofErr w:type="spellStart"/>
            <w:r>
              <w:t>skulptūra</w:t>
            </w:r>
            <w:proofErr w:type="spellEnd"/>
          </w:p>
        </w:tc>
        <w:tc>
          <w:tcPr>
            <w:tcW w:w="2054" w:type="dxa"/>
            <w:vMerge/>
          </w:tcPr>
          <w:p w14:paraId="0637281C" w14:textId="77777777" w:rsidR="00814C53" w:rsidRPr="00651CF2" w:rsidRDefault="00814C53" w:rsidP="00814C5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82" w:type="dxa"/>
            <w:vMerge/>
          </w:tcPr>
          <w:p w14:paraId="0D0A797D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830" w:type="dxa"/>
          </w:tcPr>
          <w:p w14:paraId="65E3768B" w14:textId="1F6E843B" w:rsidR="00814C53" w:rsidRPr="0025073F" w:rsidRDefault="00814C53" w:rsidP="00814C53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vnt.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78CEF" w14:textId="2062BF84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t>1</w:t>
            </w:r>
          </w:p>
        </w:tc>
        <w:tc>
          <w:tcPr>
            <w:tcW w:w="1236" w:type="dxa"/>
            <w:vMerge/>
          </w:tcPr>
          <w:p w14:paraId="6DF68FE0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703" w:type="dxa"/>
            <w:vMerge/>
          </w:tcPr>
          <w:p w14:paraId="26FA8986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  <w:tc>
          <w:tcPr>
            <w:tcW w:w="1236" w:type="dxa"/>
            <w:vMerge/>
          </w:tcPr>
          <w:p w14:paraId="747AAAF9" w14:textId="77777777" w:rsidR="00814C53" w:rsidRPr="0025073F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</w:p>
        </w:tc>
      </w:tr>
      <w:tr w:rsidR="00814C53" w14:paraId="6B33602E" w14:textId="77777777" w:rsidTr="00814C53">
        <w:tc>
          <w:tcPr>
            <w:tcW w:w="1296" w:type="dxa"/>
          </w:tcPr>
          <w:p w14:paraId="2129978F" w14:textId="1972CC21" w:rsidR="00814C53" w:rsidRPr="00651CF2" w:rsidRDefault="00814C53" w:rsidP="00E20ECD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5. </w:t>
            </w:r>
          </w:p>
        </w:tc>
        <w:tc>
          <w:tcPr>
            <w:tcW w:w="3738" w:type="dxa"/>
          </w:tcPr>
          <w:p w14:paraId="53A81B72" w14:textId="012DC81A" w:rsidR="00814C53" w:rsidRPr="00E544E2" w:rsidRDefault="00814C53" w:rsidP="00814C53">
            <w:pPr>
              <w:spacing w:line="276" w:lineRule="auto"/>
              <w:rPr>
                <w:lang w:val="lt-LT"/>
              </w:rPr>
            </w:pPr>
            <w:r w:rsidRPr="00E544E2">
              <w:rPr>
                <w:lang w:val="lt-LT"/>
              </w:rPr>
              <w:t>Lankytojų apskaitos sistema</w:t>
            </w:r>
          </w:p>
        </w:tc>
        <w:tc>
          <w:tcPr>
            <w:tcW w:w="2054" w:type="dxa"/>
          </w:tcPr>
          <w:p w14:paraId="7331BDBA" w14:textId="35C093CE" w:rsidR="00814C53" w:rsidRPr="00E544E2" w:rsidRDefault="00814C53" w:rsidP="000420F3">
            <w:pPr>
              <w:tabs>
                <w:tab w:val="left" w:pos="408"/>
              </w:tabs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82" w:type="dxa"/>
          </w:tcPr>
          <w:p w14:paraId="56487630" w14:textId="4FE357C6" w:rsidR="00814C53" w:rsidRPr="00E544E2" w:rsidRDefault="00DD50FE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 w:rsidRPr="00E544E2">
              <w:rPr>
                <w:bCs/>
              </w:rPr>
              <w:t>14065100E-1</w:t>
            </w:r>
          </w:p>
        </w:tc>
        <w:tc>
          <w:tcPr>
            <w:tcW w:w="830" w:type="dxa"/>
          </w:tcPr>
          <w:p w14:paraId="34EB05C0" w14:textId="0F517CF8" w:rsidR="00814C53" w:rsidRPr="00E544E2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 w:rsidRPr="00E544E2">
              <w:rPr>
                <w:bCs/>
                <w:lang w:val="lt-LT"/>
              </w:rPr>
              <w:t xml:space="preserve">vnt.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86952" w14:textId="0759F762" w:rsidR="00814C53" w:rsidRPr="00E544E2" w:rsidRDefault="00814C5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 w:rsidRPr="00E544E2">
              <w:t>1</w:t>
            </w:r>
          </w:p>
        </w:tc>
        <w:tc>
          <w:tcPr>
            <w:tcW w:w="1236" w:type="dxa"/>
          </w:tcPr>
          <w:p w14:paraId="6FFD4F12" w14:textId="2F4BC35E" w:rsidR="00814C53" w:rsidRPr="00E544E2" w:rsidRDefault="000420F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 w:rsidRPr="00E544E2">
              <w:rPr>
                <w:bCs/>
                <w:lang w:val="lt-LT"/>
              </w:rPr>
              <w:t>2403,74</w:t>
            </w:r>
          </w:p>
        </w:tc>
        <w:tc>
          <w:tcPr>
            <w:tcW w:w="1703" w:type="dxa"/>
          </w:tcPr>
          <w:p w14:paraId="63CF4F09" w14:textId="66C56238" w:rsidR="00814C53" w:rsidRPr="00E544E2" w:rsidRDefault="000420F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 w:rsidRPr="00E544E2">
              <w:rPr>
                <w:bCs/>
                <w:lang w:val="lt-LT"/>
              </w:rPr>
              <w:t>1641,52</w:t>
            </w:r>
          </w:p>
        </w:tc>
        <w:tc>
          <w:tcPr>
            <w:tcW w:w="1236" w:type="dxa"/>
          </w:tcPr>
          <w:p w14:paraId="231802E2" w14:textId="2421BA01" w:rsidR="00814C53" w:rsidRPr="00E544E2" w:rsidRDefault="000420F3" w:rsidP="00814C53">
            <w:pPr>
              <w:spacing w:line="276" w:lineRule="auto"/>
              <w:jc w:val="center"/>
              <w:rPr>
                <w:bCs/>
                <w:lang w:val="lt-LT"/>
              </w:rPr>
            </w:pPr>
            <w:r w:rsidRPr="00E544E2">
              <w:rPr>
                <w:bCs/>
                <w:lang w:val="lt-LT"/>
              </w:rPr>
              <w:t>762,22</w:t>
            </w:r>
          </w:p>
        </w:tc>
      </w:tr>
    </w:tbl>
    <w:p w14:paraId="75177A15" w14:textId="20B37BCE" w:rsidR="00651CF2" w:rsidRDefault="00651CF2" w:rsidP="000F66C6">
      <w:pPr>
        <w:spacing w:line="276" w:lineRule="auto"/>
        <w:jc w:val="center"/>
        <w:rPr>
          <w:b/>
          <w:lang w:val="lt-LT"/>
        </w:rPr>
      </w:pPr>
    </w:p>
    <w:p w14:paraId="0819A461" w14:textId="77777777" w:rsidR="000420F3" w:rsidRDefault="000420F3" w:rsidP="000F66C6">
      <w:pPr>
        <w:spacing w:line="276" w:lineRule="auto"/>
        <w:jc w:val="center"/>
        <w:rPr>
          <w:b/>
          <w:lang w:val="lt-LT"/>
        </w:rPr>
        <w:sectPr w:rsidR="000420F3" w:rsidSect="000420F3">
          <w:footnotePr>
            <w:pos w:val="beneathText"/>
          </w:footnotePr>
          <w:pgSz w:w="16837" w:h="11905" w:orient="landscape"/>
          <w:pgMar w:top="993" w:right="1134" w:bottom="1418" w:left="1134" w:header="567" w:footer="567" w:gutter="0"/>
          <w:cols w:space="1296"/>
          <w:titlePg/>
          <w:docGrid w:linePitch="360"/>
        </w:sectPr>
      </w:pPr>
    </w:p>
    <w:p w14:paraId="02DA647D" w14:textId="35D0389F" w:rsidR="00EF288B" w:rsidRPr="000F584D" w:rsidRDefault="00EF288B" w:rsidP="005136B7">
      <w:pPr>
        <w:spacing w:line="276" w:lineRule="auto"/>
        <w:jc w:val="center"/>
        <w:rPr>
          <w:b/>
          <w:lang w:val="lt-LT"/>
        </w:rPr>
      </w:pPr>
      <w:r w:rsidRPr="000F584D">
        <w:rPr>
          <w:b/>
          <w:lang w:val="lt-LT"/>
        </w:rPr>
        <w:lastRenderedPageBreak/>
        <w:t>LAZDIJŲ RAJONO SAVIVALDYBĖS TARYBOS SPRENDIMO</w:t>
      </w:r>
    </w:p>
    <w:p w14:paraId="25A25B11" w14:textId="1018EF5A" w:rsidR="00702870" w:rsidRPr="000F584D" w:rsidRDefault="00EF288B" w:rsidP="005136B7">
      <w:pPr>
        <w:spacing w:line="276" w:lineRule="auto"/>
        <w:jc w:val="center"/>
        <w:rPr>
          <w:b/>
          <w:bCs/>
          <w:lang w:val="lt-LT"/>
        </w:rPr>
      </w:pPr>
      <w:r w:rsidRPr="000F584D">
        <w:rPr>
          <w:b/>
          <w:lang w:val="lt-LT"/>
        </w:rPr>
        <w:t>„</w:t>
      </w:r>
      <w:r w:rsidR="00702870" w:rsidRPr="000F584D">
        <w:rPr>
          <w:b/>
          <w:lang w:val="lt-LT"/>
        </w:rPr>
        <w:t xml:space="preserve">DĖL TURTO PERDAVIMO LAZDIJŲ RAJONO SAVIVALDYBĖS ADMINISTRACIJAI </w:t>
      </w:r>
      <w:r w:rsidR="00702870" w:rsidRPr="000F584D">
        <w:rPr>
          <w:b/>
          <w:bCs/>
          <w:lang w:val="lt-LT"/>
        </w:rPr>
        <w:t xml:space="preserve"> VALDYTI, NAUDOTI IR DISPONUOTI TURTO PATIKĖJIMO TEISE“ PROJEKTO</w:t>
      </w:r>
    </w:p>
    <w:p w14:paraId="35798D4B" w14:textId="27A2FD07" w:rsidR="00EF288B" w:rsidRPr="000F584D" w:rsidRDefault="00EF288B" w:rsidP="005136B7">
      <w:pPr>
        <w:spacing w:line="276" w:lineRule="auto"/>
        <w:jc w:val="center"/>
        <w:rPr>
          <w:b/>
          <w:lang w:val="lt-LT"/>
        </w:rPr>
      </w:pPr>
      <w:r w:rsidRPr="000F584D">
        <w:rPr>
          <w:b/>
          <w:lang w:val="lt-LT"/>
        </w:rPr>
        <w:t>AIŠKINAMASIS RAŠTAS</w:t>
      </w:r>
    </w:p>
    <w:p w14:paraId="132E58B4" w14:textId="32D1CB43" w:rsidR="00EF288B" w:rsidRPr="000F584D" w:rsidRDefault="00EF288B" w:rsidP="005136B7">
      <w:pPr>
        <w:spacing w:line="360" w:lineRule="auto"/>
        <w:jc w:val="center"/>
        <w:rPr>
          <w:lang w:val="lt-LT"/>
        </w:rPr>
      </w:pPr>
      <w:r w:rsidRPr="000F584D">
        <w:rPr>
          <w:lang w:val="lt-LT"/>
        </w:rPr>
        <w:t>20</w:t>
      </w:r>
      <w:r w:rsidR="00335F16" w:rsidRPr="000F584D">
        <w:rPr>
          <w:lang w:val="lt-LT"/>
        </w:rPr>
        <w:t>20-0</w:t>
      </w:r>
      <w:r w:rsidR="00702870" w:rsidRPr="000F584D">
        <w:rPr>
          <w:lang w:val="lt-LT"/>
        </w:rPr>
        <w:t>3-30</w:t>
      </w:r>
    </w:p>
    <w:p w14:paraId="740DBECA" w14:textId="77777777" w:rsidR="000F66C6" w:rsidRPr="000F584D" w:rsidRDefault="000F66C6" w:rsidP="00EF288B">
      <w:pPr>
        <w:spacing w:line="360" w:lineRule="auto"/>
        <w:jc w:val="center"/>
        <w:rPr>
          <w:lang w:val="lt-LT"/>
        </w:rPr>
      </w:pPr>
    </w:p>
    <w:p w14:paraId="4902218F" w14:textId="356F9B63" w:rsidR="000F584D" w:rsidRPr="000F584D" w:rsidRDefault="00EF288B" w:rsidP="005136B7">
      <w:pPr>
        <w:spacing w:line="360" w:lineRule="auto"/>
        <w:ind w:firstLine="720"/>
        <w:jc w:val="both"/>
        <w:rPr>
          <w:bCs/>
          <w:lang w:val="lt-LT"/>
        </w:rPr>
      </w:pPr>
      <w:r w:rsidRPr="000F584D">
        <w:rPr>
          <w:lang w:val="lt-LT"/>
        </w:rPr>
        <w:t>Lazdijų rajono savivaldybės tarybos sprendimo projektas „</w:t>
      </w:r>
      <w:r w:rsidR="00702870" w:rsidRPr="000F584D">
        <w:rPr>
          <w:bCs/>
          <w:lang w:val="lt-LT"/>
        </w:rPr>
        <w:t>Dėl turto perdavimo Lazdijų rajono savivaldybės administracijai valdyti, naudoti ir disponuoti turto patikėjimo teise“</w:t>
      </w:r>
      <w:r w:rsidR="00702870" w:rsidRPr="000F584D">
        <w:rPr>
          <w:b/>
          <w:bCs/>
          <w:lang w:val="lt-LT"/>
        </w:rPr>
        <w:t xml:space="preserve"> </w:t>
      </w:r>
      <w:r w:rsidR="000F66C6" w:rsidRPr="000F584D">
        <w:rPr>
          <w:bCs/>
          <w:lang w:val="lt-LT"/>
        </w:rPr>
        <w:t xml:space="preserve">parengtas </w:t>
      </w:r>
      <w:r w:rsidR="006B0881" w:rsidRPr="000F584D">
        <w:rPr>
          <w:bCs/>
          <w:lang w:val="lt-LT"/>
        </w:rPr>
        <w:t xml:space="preserve">vadovaujantis </w:t>
      </w:r>
      <w:r w:rsidR="000F584D" w:rsidRPr="000F584D">
        <w:rPr>
          <w:bCs/>
          <w:lang w:val="lt-LT"/>
        </w:rPr>
        <w:t>Lietuvos Respublikos vietos savivaldos įstatymo 48 straipsnio 2 ir 3 dalimis, Lietuvos Respublikos valstybės ir savivaldybių turto valdymo, naudojimo ir disponavimo juo įstatymo 12 straipsnio 1, 2 ir 4 dalimis, Lazdijų rajono savivaldybei nuosavybės teise priklausančio turto valdymo, naudojimo ir disponavimo juo patikėjimo teise tvarkos aprašo, patvirtinto Lazdijų rajono savivaldybės tarybos 2019 m. spalio 18 d. sprendimu Nr. 5TS-168 „Dėl Lazdijų rajono savivaldybei nuosavybės teise priklausančio turto valdymo, naudojimo ir disponavimo juo patikėjimo teise  tvarkos  aprašo  patvirtinimo“,  5.1  ir  8.1.1 papunkčiais.</w:t>
      </w:r>
    </w:p>
    <w:p w14:paraId="31863956" w14:textId="26158241" w:rsidR="00C72438" w:rsidRPr="000F584D" w:rsidRDefault="00EF288B" w:rsidP="005136B7">
      <w:pPr>
        <w:spacing w:line="360" w:lineRule="auto"/>
        <w:ind w:firstLine="720"/>
        <w:jc w:val="both"/>
        <w:rPr>
          <w:lang w:val="lt-LT"/>
        </w:rPr>
      </w:pPr>
      <w:r w:rsidRPr="000F584D">
        <w:rPr>
          <w:lang w:val="lt-LT"/>
        </w:rPr>
        <w:t xml:space="preserve">Šio projekto tikslas – </w:t>
      </w:r>
      <w:r w:rsidR="000F584D" w:rsidRPr="000F584D">
        <w:rPr>
          <w:lang w:val="lt-LT"/>
        </w:rPr>
        <w:t>perduoti Lazdijų rajono savivaldybės administracijai valdyti, naudoti ir disponuoti turto patikėjimo teise Lazdijų rajono savivaldybei nuosavybės teise priklausantį nekilnojamąjį ir ilgalaikį materialųjį turtą pagal priedą (t.</w:t>
      </w:r>
      <w:r w:rsidR="005136B7">
        <w:rPr>
          <w:lang w:val="lt-LT"/>
        </w:rPr>
        <w:t xml:space="preserve"> </w:t>
      </w:r>
      <w:r w:rsidR="000F584D" w:rsidRPr="000F584D">
        <w:rPr>
          <w:lang w:val="lt-LT"/>
        </w:rPr>
        <w:t>y. apžvalgos bokštus  ir infrastruktūrą ap</w:t>
      </w:r>
      <w:r w:rsidR="0058657C">
        <w:rPr>
          <w:lang w:val="lt-LT"/>
        </w:rPr>
        <w:t>l</w:t>
      </w:r>
      <w:r w:rsidR="000F584D" w:rsidRPr="000F584D">
        <w:rPr>
          <w:lang w:val="lt-LT"/>
        </w:rPr>
        <w:t>ink ju</w:t>
      </w:r>
      <w:r w:rsidR="0058657C">
        <w:rPr>
          <w:lang w:val="lt-LT"/>
        </w:rPr>
        <w:t>o</w:t>
      </w:r>
      <w:r w:rsidR="000F584D" w:rsidRPr="000F584D">
        <w:rPr>
          <w:lang w:val="lt-LT"/>
        </w:rPr>
        <w:t>s).</w:t>
      </w:r>
      <w:r w:rsidR="00C72438" w:rsidRPr="000F584D">
        <w:rPr>
          <w:lang w:val="lt-LT"/>
        </w:rPr>
        <w:t xml:space="preserve"> </w:t>
      </w:r>
      <w:r w:rsidR="00B94FF0" w:rsidRPr="000F584D">
        <w:rPr>
          <w:lang w:val="lt-LT"/>
        </w:rPr>
        <w:t>Taip pat šiuo sprendimu siūloma į</w:t>
      </w:r>
      <w:r w:rsidR="00C72438" w:rsidRPr="000F584D">
        <w:rPr>
          <w:lang w:val="lt-LT"/>
        </w:rPr>
        <w:t>galioti Lazdijų rajono savivaldybės merą, o jo dėl ligos, komandiruotės, atostogų ar kitų objektyvių priežasčių nesant, Lazdijų rajono savivaldybės mero pavaduotoją, pasirašyti šio sprendimo 1 punkte nurodyto turto  perdavimo</w:t>
      </w:r>
      <w:r w:rsidR="004704A7" w:rsidRPr="000F584D">
        <w:rPr>
          <w:lang w:val="lt-LT"/>
        </w:rPr>
        <w:t xml:space="preserve"> ir </w:t>
      </w:r>
      <w:r w:rsidR="00C72438" w:rsidRPr="000F584D">
        <w:rPr>
          <w:lang w:val="lt-LT"/>
        </w:rPr>
        <w:t>priėmimo akt</w:t>
      </w:r>
      <w:r w:rsidR="00E20ECD">
        <w:rPr>
          <w:lang w:val="lt-LT"/>
        </w:rPr>
        <w:t>ą</w:t>
      </w:r>
      <w:r w:rsidR="00C72438" w:rsidRPr="000F584D">
        <w:rPr>
          <w:lang w:val="lt-LT"/>
        </w:rPr>
        <w:t>.</w:t>
      </w:r>
      <w:r w:rsidR="00E20ECD" w:rsidRPr="00E20ECD">
        <w:rPr>
          <w:lang w:val="lt-LT"/>
        </w:rPr>
        <w:t xml:space="preserve"> Įpareigoti Lazdijų rajono savivaldybės administraciją perdavimo</w:t>
      </w:r>
      <w:r w:rsidR="005136B7">
        <w:rPr>
          <w:lang w:val="lt-LT"/>
        </w:rPr>
        <w:t xml:space="preserve"> ir </w:t>
      </w:r>
      <w:r w:rsidR="00E20ECD" w:rsidRPr="00E20ECD">
        <w:rPr>
          <w:lang w:val="lt-LT"/>
        </w:rPr>
        <w:t>priėmimo aktą įregistruoti Nekilnojamojo turto registre.</w:t>
      </w:r>
    </w:p>
    <w:p w14:paraId="2CF04F9D" w14:textId="667D99A0" w:rsidR="00EF288B" w:rsidRPr="000F584D" w:rsidRDefault="00EF288B" w:rsidP="005136B7">
      <w:pPr>
        <w:spacing w:line="360" w:lineRule="auto"/>
        <w:rPr>
          <w:lang w:val="lt-LT"/>
        </w:rPr>
      </w:pPr>
      <w:r w:rsidRPr="000F584D">
        <w:rPr>
          <w:lang w:val="lt-LT"/>
        </w:rPr>
        <w:t xml:space="preserve">            Parengtas sprendimo projektas neprieštarauja galiojantiems teisės aktams.</w:t>
      </w:r>
    </w:p>
    <w:p w14:paraId="1A2B0C29" w14:textId="65D63A0B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Priėmus sprendimo projektą, neigiamų pasekmių nenumatoma.</w:t>
      </w:r>
    </w:p>
    <w:p w14:paraId="007E375F" w14:textId="1E1C4B18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Naujų teisės aktų priimti ar galiojančių pakeisti, panaikinti, priėmus teikiamą projektą, nereikės.</w:t>
      </w:r>
    </w:p>
    <w:p w14:paraId="051EED04" w14:textId="7B7B82F6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Dėl sprendimo projekto pastabų ir pasiūlymų negauta.</w:t>
      </w:r>
    </w:p>
    <w:p w14:paraId="0E775A18" w14:textId="014275A2" w:rsidR="00EF288B" w:rsidRPr="000F584D" w:rsidRDefault="00EF288B" w:rsidP="005136B7">
      <w:pPr>
        <w:spacing w:line="360" w:lineRule="auto"/>
        <w:ind w:firstLine="720"/>
        <w:jc w:val="both"/>
        <w:rPr>
          <w:lang w:val="lt-LT"/>
        </w:rPr>
      </w:pPr>
      <w:r w:rsidRPr="000F584D">
        <w:rPr>
          <w:lang w:val="lt-LT"/>
        </w:rPr>
        <w:t xml:space="preserve">Sprendimo projektą parengė Lazdijų rajono savivaldybės administracijos </w:t>
      </w:r>
      <w:r w:rsidR="00B94FF0" w:rsidRPr="000F584D">
        <w:rPr>
          <w:lang w:val="lt-LT"/>
        </w:rPr>
        <w:t>Biudžeto, finansų ir turto valdymo</w:t>
      </w:r>
      <w:r w:rsidRPr="000F584D">
        <w:rPr>
          <w:lang w:val="lt-LT"/>
        </w:rPr>
        <w:t xml:space="preserve"> skyriaus </w:t>
      </w:r>
      <w:r w:rsidR="00FB78C2" w:rsidRPr="000F584D">
        <w:rPr>
          <w:lang w:val="lt-LT"/>
        </w:rPr>
        <w:t>vedėj</w:t>
      </w:r>
      <w:r w:rsidR="00B94FF0" w:rsidRPr="000F584D">
        <w:rPr>
          <w:lang w:val="lt-LT"/>
        </w:rPr>
        <w:t>o pavaduotoja</w:t>
      </w:r>
      <w:r w:rsidR="00FB78C2" w:rsidRPr="000F584D">
        <w:rPr>
          <w:lang w:val="lt-LT"/>
        </w:rPr>
        <w:t xml:space="preserve"> Jolita Galvanauskienė</w:t>
      </w:r>
      <w:r w:rsidRPr="000F584D">
        <w:rPr>
          <w:lang w:val="lt-LT"/>
        </w:rPr>
        <w:t>.</w:t>
      </w:r>
    </w:p>
    <w:p w14:paraId="13C80D11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</w:p>
    <w:p w14:paraId="37E2B06C" w14:textId="77777777" w:rsidR="00B94FF0" w:rsidRPr="000F584D" w:rsidRDefault="00B94FF0" w:rsidP="005136B7">
      <w:pPr>
        <w:ind w:firstLine="720"/>
        <w:rPr>
          <w:lang w:val="lt-LT"/>
        </w:rPr>
      </w:pPr>
      <w:r w:rsidRPr="000F584D">
        <w:rPr>
          <w:lang w:val="lt-LT"/>
        </w:rPr>
        <w:t>Biudžeto, finansų ir turto valdymo</w:t>
      </w:r>
    </w:p>
    <w:p w14:paraId="7CA9FE2D" w14:textId="6DA78537" w:rsidR="00386298" w:rsidRPr="000420F3" w:rsidRDefault="00B94FF0" w:rsidP="005136B7">
      <w:pPr>
        <w:ind w:firstLine="720"/>
        <w:rPr>
          <w:color w:val="FF0000"/>
          <w:lang w:val="lt-LT"/>
        </w:rPr>
      </w:pPr>
      <w:r w:rsidRPr="000F584D">
        <w:rPr>
          <w:lang w:val="lt-LT"/>
        </w:rPr>
        <w:t xml:space="preserve">skyriaus vedėjo pavaduotoja  </w:t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="00FB78C2" w:rsidRPr="000F584D">
        <w:rPr>
          <w:lang w:val="lt-LT"/>
        </w:rPr>
        <w:t>Jolita Galvanauskienė</w:t>
      </w:r>
      <w:r w:rsidR="00EF288B" w:rsidRPr="000F584D">
        <w:rPr>
          <w:lang w:val="lt-LT"/>
        </w:rPr>
        <w:t xml:space="preserve">                    </w:t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  <w:t xml:space="preserve">             </w:t>
      </w:r>
      <w:r w:rsidR="00EF288B" w:rsidRPr="000420F3">
        <w:rPr>
          <w:color w:val="FF0000"/>
          <w:lang w:val="lt-LT"/>
        </w:rPr>
        <w:tab/>
        <w:t xml:space="preserve">                                             </w:t>
      </w:r>
    </w:p>
    <w:sectPr w:rsidR="00386298" w:rsidRPr="000420F3" w:rsidSect="005136B7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D3C79" w14:textId="77777777" w:rsidR="0087075D" w:rsidRDefault="0087075D" w:rsidP="00DC3704">
      <w:r>
        <w:separator/>
      </w:r>
    </w:p>
  </w:endnote>
  <w:endnote w:type="continuationSeparator" w:id="0">
    <w:p w14:paraId="25D8CDEF" w14:textId="77777777" w:rsidR="0087075D" w:rsidRDefault="0087075D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FF5B" w14:textId="77777777" w:rsidR="0087075D" w:rsidRDefault="0087075D" w:rsidP="00DC3704">
      <w:r>
        <w:separator/>
      </w:r>
    </w:p>
  </w:footnote>
  <w:footnote w:type="continuationSeparator" w:id="0">
    <w:p w14:paraId="187F7FC2" w14:textId="77777777" w:rsidR="0087075D" w:rsidRDefault="0087075D" w:rsidP="00DC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2F983" w14:textId="6C30BDD2" w:rsidR="00CA01A6" w:rsidRPr="004704A7" w:rsidRDefault="0049092E" w:rsidP="00CA01A6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  <w:r w:rsidRPr="004704A7">
      <w:rPr>
        <w:rFonts w:ascii="Times New Roman" w:hAnsi="Times New Roman"/>
        <w:b/>
        <w:bCs/>
        <w:sz w:val="24"/>
        <w:szCs w:val="24"/>
        <w:lang w:val="lt-LT"/>
      </w:rPr>
      <w:t xml:space="preserve">Projektas </w:t>
    </w:r>
  </w:p>
  <w:p w14:paraId="2AAAE9FD" w14:textId="77777777" w:rsidR="00CA01A6" w:rsidRDefault="00CA01A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5365A"/>
    <w:multiLevelType w:val="multilevel"/>
    <w:tmpl w:val="E5A47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0B"/>
    <w:rsid w:val="00011E9C"/>
    <w:rsid w:val="00013432"/>
    <w:rsid w:val="0002477A"/>
    <w:rsid w:val="00026A7B"/>
    <w:rsid w:val="000360A1"/>
    <w:rsid w:val="00037833"/>
    <w:rsid w:val="000420F3"/>
    <w:rsid w:val="00044934"/>
    <w:rsid w:val="00050A51"/>
    <w:rsid w:val="00060C11"/>
    <w:rsid w:val="000678D4"/>
    <w:rsid w:val="00075DE6"/>
    <w:rsid w:val="0008015F"/>
    <w:rsid w:val="00093FC6"/>
    <w:rsid w:val="00097A22"/>
    <w:rsid w:val="000A1515"/>
    <w:rsid w:val="000B01C6"/>
    <w:rsid w:val="000B0BF5"/>
    <w:rsid w:val="000C0786"/>
    <w:rsid w:val="000C26F9"/>
    <w:rsid w:val="000C37E9"/>
    <w:rsid w:val="000C5C88"/>
    <w:rsid w:val="000D2ADB"/>
    <w:rsid w:val="000D6DCD"/>
    <w:rsid w:val="000E2CE8"/>
    <w:rsid w:val="000E71C6"/>
    <w:rsid w:val="000F1737"/>
    <w:rsid w:val="000F4080"/>
    <w:rsid w:val="000F584D"/>
    <w:rsid w:val="000F66C6"/>
    <w:rsid w:val="000F6D94"/>
    <w:rsid w:val="00105FEA"/>
    <w:rsid w:val="00106B18"/>
    <w:rsid w:val="00115A1E"/>
    <w:rsid w:val="00117738"/>
    <w:rsid w:val="00122FEA"/>
    <w:rsid w:val="001235A5"/>
    <w:rsid w:val="0012443B"/>
    <w:rsid w:val="00125A03"/>
    <w:rsid w:val="00126FFA"/>
    <w:rsid w:val="00133F68"/>
    <w:rsid w:val="001377AE"/>
    <w:rsid w:val="00152E33"/>
    <w:rsid w:val="00154063"/>
    <w:rsid w:val="00156C3D"/>
    <w:rsid w:val="00157AC3"/>
    <w:rsid w:val="001606E3"/>
    <w:rsid w:val="00161587"/>
    <w:rsid w:val="00164E66"/>
    <w:rsid w:val="0016676A"/>
    <w:rsid w:val="00172942"/>
    <w:rsid w:val="00175483"/>
    <w:rsid w:val="00183027"/>
    <w:rsid w:val="001831BB"/>
    <w:rsid w:val="00183B2D"/>
    <w:rsid w:val="001858D8"/>
    <w:rsid w:val="001868C0"/>
    <w:rsid w:val="00187F99"/>
    <w:rsid w:val="0019131C"/>
    <w:rsid w:val="001B619C"/>
    <w:rsid w:val="001B75A6"/>
    <w:rsid w:val="001C0A16"/>
    <w:rsid w:val="001C18C9"/>
    <w:rsid w:val="001C31E5"/>
    <w:rsid w:val="001C53B0"/>
    <w:rsid w:val="001C5C36"/>
    <w:rsid w:val="001D65B8"/>
    <w:rsid w:val="001E54C8"/>
    <w:rsid w:val="001F366F"/>
    <w:rsid w:val="001F6705"/>
    <w:rsid w:val="001F71B2"/>
    <w:rsid w:val="001F7E68"/>
    <w:rsid w:val="00200E5D"/>
    <w:rsid w:val="002142A2"/>
    <w:rsid w:val="0022119E"/>
    <w:rsid w:val="002245D9"/>
    <w:rsid w:val="0024235B"/>
    <w:rsid w:val="00246C1D"/>
    <w:rsid w:val="0025073F"/>
    <w:rsid w:val="002514EE"/>
    <w:rsid w:val="0027722C"/>
    <w:rsid w:val="002905D7"/>
    <w:rsid w:val="00290DE7"/>
    <w:rsid w:val="002B2403"/>
    <w:rsid w:val="002B4797"/>
    <w:rsid w:val="002B5C5E"/>
    <w:rsid w:val="002B6052"/>
    <w:rsid w:val="002C20C9"/>
    <w:rsid w:val="002C5261"/>
    <w:rsid w:val="002D3180"/>
    <w:rsid w:val="002E0747"/>
    <w:rsid w:val="002E468A"/>
    <w:rsid w:val="002F7CBC"/>
    <w:rsid w:val="00310179"/>
    <w:rsid w:val="00310969"/>
    <w:rsid w:val="00326A51"/>
    <w:rsid w:val="00327952"/>
    <w:rsid w:val="00334878"/>
    <w:rsid w:val="00335F16"/>
    <w:rsid w:val="00337F2C"/>
    <w:rsid w:val="00340EE1"/>
    <w:rsid w:val="003453F2"/>
    <w:rsid w:val="00365127"/>
    <w:rsid w:val="00371BCC"/>
    <w:rsid w:val="00376274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18A8"/>
    <w:rsid w:val="003A7F3D"/>
    <w:rsid w:val="003B0D16"/>
    <w:rsid w:val="003B2A7A"/>
    <w:rsid w:val="003B4500"/>
    <w:rsid w:val="003D64D2"/>
    <w:rsid w:val="003D7632"/>
    <w:rsid w:val="003E0C23"/>
    <w:rsid w:val="003E2523"/>
    <w:rsid w:val="003F03FC"/>
    <w:rsid w:val="003F33AF"/>
    <w:rsid w:val="003F3CDE"/>
    <w:rsid w:val="003F52EA"/>
    <w:rsid w:val="004014AC"/>
    <w:rsid w:val="00401809"/>
    <w:rsid w:val="00404082"/>
    <w:rsid w:val="004046E2"/>
    <w:rsid w:val="004061B4"/>
    <w:rsid w:val="0041548B"/>
    <w:rsid w:val="0041626B"/>
    <w:rsid w:val="004203FF"/>
    <w:rsid w:val="00425C50"/>
    <w:rsid w:val="00426929"/>
    <w:rsid w:val="004300E0"/>
    <w:rsid w:val="0043228F"/>
    <w:rsid w:val="00436176"/>
    <w:rsid w:val="00441AE5"/>
    <w:rsid w:val="00442655"/>
    <w:rsid w:val="00442982"/>
    <w:rsid w:val="004552FA"/>
    <w:rsid w:val="0046558F"/>
    <w:rsid w:val="004704A7"/>
    <w:rsid w:val="00472C61"/>
    <w:rsid w:val="0049092E"/>
    <w:rsid w:val="00492FF8"/>
    <w:rsid w:val="004965B2"/>
    <w:rsid w:val="00496C05"/>
    <w:rsid w:val="00497D82"/>
    <w:rsid w:val="004B4CE8"/>
    <w:rsid w:val="004B639E"/>
    <w:rsid w:val="004B798C"/>
    <w:rsid w:val="004C54D3"/>
    <w:rsid w:val="004D023D"/>
    <w:rsid w:val="004D4FEC"/>
    <w:rsid w:val="004D7176"/>
    <w:rsid w:val="004E0E64"/>
    <w:rsid w:val="004E5A97"/>
    <w:rsid w:val="004E633F"/>
    <w:rsid w:val="00501102"/>
    <w:rsid w:val="00501280"/>
    <w:rsid w:val="00501F98"/>
    <w:rsid w:val="005136B7"/>
    <w:rsid w:val="00520E41"/>
    <w:rsid w:val="0052438C"/>
    <w:rsid w:val="00526971"/>
    <w:rsid w:val="005312F3"/>
    <w:rsid w:val="005340A8"/>
    <w:rsid w:val="00560392"/>
    <w:rsid w:val="00561D70"/>
    <w:rsid w:val="00563020"/>
    <w:rsid w:val="00565DD5"/>
    <w:rsid w:val="00567319"/>
    <w:rsid w:val="00567AA1"/>
    <w:rsid w:val="00571AC3"/>
    <w:rsid w:val="0058657C"/>
    <w:rsid w:val="00586EF9"/>
    <w:rsid w:val="00594F9A"/>
    <w:rsid w:val="005A127C"/>
    <w:rsid w:val="005A21BA"/>
    <w:rsid w:val="005A43D3"/>
    <w:rsid w:val="005A65F7"/>
    <w:rsid w:val="005B2538"/>
    <w:rsid w:val="005B7FD5"/>
    <w:rsid w:val="005C442A"/>
    <w:rsid w:val="005D3C8E"/>
    <w:rsid w:val="005F4756"/>
    <w:rsid w:val="005F4F77"/>
    <w:rsid w:val="005F7B15"/>
    <w:rsid w:val="006044A7"/>
    <w:rsid w:val="00611DB7"/>
    <w:rsid w:val="006128E6"/>
    <w:rsid w:val="00617F7B"/>
    <w:rsid w:val="006203ED"/>
    <w:rsid w:val="00624E54"/>
    <w:rsid w:val="00625D05"/>
    <w:rsid w:val="00642EB5"/>
    <w:rsid w:val="00643403"/>
    <w:rsid w:val="00651CF2"/>
    <w:rsid w:val="006708F7"/>
    <w:rsid w:val="00681C49"/>
    <w:rsid w:val="00691A1D"/>
    <w:rsid w:val="00692D98"/>
    <w:rsid w:val="00693FE7"/>
    <w:rsid w:val="00695EE4"/>
    <w:rsid w:val="006A2D43"/>
    <w:rsid w:val="006B0881"/>
    <w:rsid w:val="006B0BCC"/>
    <w:rsid w:val="006B4C25"/>
    <w:rsid w:val="006B7CF7"/>
    <w:rsid w:val="006C36AE"/>
    <w:rsid w:val="006C3E6B"/>
    <w:rsid w:val="006C6273"/>
    <w:rsid w:val="006C7321"/>
    <w:rsid w:val="006D4471"/>
    <w:rsid w:val="006D6B19"/>
    <w:rsid w:val="006F2CB4"/>
    <w:rsid w:val="006F4255"/>
    <w:rsid w:val="007021EE"/>
    <w:rsid w:val="00702870"/>
    <w:rsid w:val="00711127"/>
    <w:rsid w:val="00721158"/>
    <w:rsid w:val="007230B1"/>
    <w:rsid w:val="00727C79"/>
    <w:rsid w:val="00743FE9"/>
    <w:rsid w:val="0075695B"/>
    <w:rsid w:val="007614DC"/>
    <w:rsid w:val="00772E22"/>
    <w:rsid w:val="00774300"/>
    <w:rsid w:val="0079142E"/>
    <w:rsid w:val="007977F9"/>
    <w:rsid w:val="007A14F6"/>
    <w:rsid w:val="007A1E16"/>
    <w:rsid w:val="007C259E"/>
    <w:rsid w:val="007C64EB"/>
    <w:rsid w:val="007C65FD"/>
    <w:rsid w:val="007D47F8"/>
    <w:rsid w:val="007E389B"/>
    <w:rsid w:val="007E6DDB"/>
    <w:rsid w:val="007F2DEF"/>
    <w:rsid w:val="007F79ED"/>
    <w:rsid w:val="00804755"/>
    <w:rsid w:val="0081078C"/>
    <w:rsid w:val="00814C53"/>
    <w:rsid w:val="00816021"/>
    <w:rsid w:val="00822B5F"/>
    <w:rsid w:val="00834280"/>
    <w:rsid w:val="00841A5B"/>
    <w:rsid w:val="00843EA1"/>
    <w:rsid w:val="008509CD"/>
    <w:rsid w:val="0085368F"/>
    <w:rsid w:val="008618E5"/>
    <w:rsid w:val="008653A8"/>
    <w:rsid w:val="0087075D"/>
    <w:rsid w:val="008712AA"/>
    <w:rsid w:val="008724F6"/>
    <w:rsid w:val="00877C99"/>
    <w:rsid w:val="00881C0C"/>
    <w:rsid w:val="008869B8"/>
    <w:rsid w:val="008879F7"/>
    <w:rsid w:val="00894277"/>
    <w:rsid w:val="008A049B"/>
    <w:rsid w:val="008A1D34"/>
    <w:rsid w:val="008A3016"/>
    <w:rsid w:val="008A6489"/>
    <w:rsid w:val="008A652D"/>
    <w:rsid w:val="008B4534"/>
    <w:rsid w:val="008C7E9D"/>
    <w:rsid w:val="008D7439"/>
    <w:rsid w:val="008E443A"/>
    <w:rsid w:val="008F643F"/>
    <w:rsid w:val="00902138"/>
    <w:rsid w:val="0090257A"/>
    <w:rsid w:val="009039B2"/>
    <w:rsid w:val="00905853"/>
    <w:rsid w:val="00906D80"/>
    <w:rsid w:val="009077EC"/>
    <w:rsid w:val="009108E4"/>
    <w:rsid w:val="009334B5"/>
    <w:rsid w:val="0094410C"/>
    <w:rsid w:val="00944815"/>
    <w:rsid w:val="009450B8"/>
    <w:rsid w:val="00954128"/>
    <w:rsid w:val="00956AF5"/>
    <w:rsid w:val="009668BB"/>
    <w:rsid w:val="00975256"/>
    <w:rsid w:val="009804ED"/>
    <w:rsid w:val="00980E58"/>
    <w:rsid w:val="00982DD0"/>
    <w:rsid w:val="00984994"/>
    <w:rsid w:val="00986908"/>
    <w:rsid w:val="009914BF"/>
    <w:rsid w:val="009916C9"/>
    <w:rsid w:val="00994569"/>
    <w:rsid w:val="00996244"/>
    <w:rsid w:val="009B27BF"/>
    <w:rsid w:val="009B6289"/>
    <w:rsid w:val="009C7092"/>
    <w:rsid w:val="009D713E"/>
    <w:rsid w:val="009E31CD"/>
    <w:rsid w:val="009E3B8B"/>
    <w:rsid w:val="009E7622"/>
    <w:rsid w:val="009F4C03"/>
    <w:rsid w:val="00A04394"/>
    <w:rsid w:val="00A1010B"/>
    <w:rsid w:val="00A102C5"/>
    <w:rsid w:val="00A22F74"/>
    <w:rsid w:val="00A23621"/>
    <w:rsid w:val="00A25DE2"/>
    <w:rsid w:val="00A30AA9"/>
    <w:rsid w:val="00A3281C"/>
    <w:rsid w:val="00A414E3"/>
    <w:rsid w:val="00A45F6C"/>
    <w:rsid w:val="00A46296"/>
    <w:rsid w:val="00A54CA7"/>
    <w:rsid w:val="00A573B2"/>
    <w:rsid w:val="00A62523"/>
    <w:rsid w:val="00A64B1F"/>
    <w:rsid w:val="00A654AA"/>
    <w:rsid w:val="00A73E13"/>
    <w:rsid w:val="00A910DE"/>
    <w:rsid w:val="00A9656D"/>
    <w:rsid w:val="00AA4040"/>
    <w:rsid w:val="00AA50A4"/>
    <w:rsid w:val="00AA74EF"/>
    <w:rsid w:val="00AB06B2"/>
    <w:rsid w:val="00AB109F"/>
    <w:rsid w:val="00AB34BF"/>
    <w:rsid w:val="00AB5B42"/>
    <w:rsid w:val="00AB5CA0"/>
    <w:rsid w:val="00AB743A"/>
    <w:rsid w:val="00AC2A84"/>
    <w:rsid w:val="00AC3A42"/>
    <w:rsid w:val="00AD0055"/>
    <w:rsid w:val="00AE22E6"/>
    <w:rsid w:val="00AE530A"/>
    <w:rsid w:val="00AE697B"/>
    <w:rsid w:val="00AE7323"/>
    <w:rsid w:val="00AF12FF"/>
    <w:rsid w:val="00AF295B"/>
    <w:rsid w:val="00AF6CBE"/>
    <w:rsid w:val="00B02515"/>
    <w:rsid w:val="00B0508C"/>
    <w:rsid w:val="00B06BEB"/>
    <w:rsid w:val="00B12A4E"/>
    <w:rsid w:val="00B23BF6"/>
    <w:rsid w:val="00B31F50"/>
    <w:rsid w:val="00B404DF"/>
    <w:rsid w:val="00B429AC"/>
    <w:rsid w:val="00B54C4E"/>
    <w:rsid w:val="00B64298"/>
    <w:rsid w:val="00B6454E"/>
    <w:rsid w:val="00B66E59"/>
    <w:rsid w:val="00B672DC"/>
    <w:rsid w:val="00B77FA5"/>
    <w:rsid w:val="00B84D1E"/>
    <w:rsid w:val="00B94FF0"/>
    <w:rsid w:val="00B95946"/>
    <w:rsid w:val="00BB222E"/>
    <w:rsid w:val="00BB6413"/>
    <w:rsid w:val="00BC32E7"/>
    <w:rsid w:val="00BE5859"/>
    <w:rsid w:val="00C021F4"/>
    <w:rsid w:val="00C06B9B"/>
    <w:rsid w:val="00C11C65"/>
    <w:rsid w:val="00C2272D"/>
    <w:rsid w:val="00C2317E"/>
    <w:rsid w:val="00C31F84"/>
    <w:rsid w:val="00C32E32"/>
    <w:rsid w:val="00C368D7"/>
    <w:rsid w:val="00C52056"/>
    <w:rsid w:val="00C72438"/>
    <w:rsid w:val="00C77BE7"/>
    <w:rsid w:val="00C82103"/>
    <w:rsid w:val="00C85D07"/>
    <w:rsid w:val="00C9091B"/>
    <w:rsid w:val="00C9113D"/>
    <w:rsid w:val="00C95BE9"/>
    <w:rsid w:val="00C971B9"/>
    <w:rsid w:val="00C97677"/>
    <w:rsid w:val="00CA01A6"/>
    <w:rsid w:val="00CA164F"/>
    <w:rsid w:val="00CA3820"/>
    <w:rsid w:val="00CA3F80"/>
    <w:rsid w:val="00CB4424"/>
    <w:rsid w:val="00CB72C5"/>
    <w:rsid w:val="00CC010A"/>
    <w:rsid w:val="00CC32BF"/>
    <w:rsid w:val="00CC42CE"/>
    <w:rsid w:val="00CD6F27"/>
    <w:rsid w:val="00CD7504"/>
    <w:rsid w:val="00CE0654"/>
    <w:rsid w:val="00CE0CFE"/>
    <w:rsid w:val="00CE1588"/>
    <w:rsid w:val="00CE36EC"/>
    <w:rsid w:val="00CF093F"/>
    <w:rsid w:val="00CF0A3A"/>
    <w:rsid w:val="00CF0D7F"/>
    <w:rsid w:val="00CF4AF5"/>
    <w:rsid w:val="00D04F59"/>
    <w:rsid w:val="00D21381"/>
    <w:rsid w:val="00D2430C"/>
    <w:rsid w:val="00D2521F"/>
    <w:rsid w:val="00D30C7E"/>
    <w:rsid w:val="00D323C3"/>
    <w:rsid w:val="00D3690B"/>
    <w:rsid w:val="00D54EF5"/>
    <w:rsid w:val="00D709F3"/>
    <w:rsid w:val="00D720FE"/>
    <w:rsid w:val="00D724D0"/>
    <w:rsid w:val="00D84EA8"/>
    <w:rsid w:val="00D867A6"/>
    <w:rsid w:val="00DA24B2"/>
    <w:rsid w:val="00DA6E4B"/>
    <w:rsid w:val="00DA6F15"/>
    <w:rsid w:val="00DB127C"/>
    <w:rsid w:val="00DB7CC9"/>
    <w:rsid w:val="00DC3704"/>
    <w:rsid w:val="00DC5028"/>
    <w:rsid w:val="00DD50FE"/>
    <w:rsid w:val="00DD5611"/>
    <w:rsid w:val="00DE32B1"/>
    <w:rsid w:val="00DF2D7D"/>
    <w:rsid w:val="00E10FCE"/>
    <w:rsid w:val="00E20ECD"/>
    <w:rsid w:val="00E20F9B"/>
    <w:rsid w:val="00E2560A"/>
    <w:rsid w:val="00E32172"/>
    <w:rsid w:val="00E50D10"/>
    <w:rsid w:val="00E544E2"/>
    <w:rsid w:val="00E646F1"/>
    <w:rsid w:val="00E7013A"/>
    <w:rsid w:val="00E72501"/>
    <w:rsid w:val="00E73D7E"/>
    <w:rsid w:val="00E76BFE"/>
    <w:rsid w:val="00E81F73"/>
    <w:rsid w:val="00E857B6"/>
    <w:rsid w:val="00E90A7B"/>
    <w:rsid w:val="00E90EEE"/>
    <w:rsid w:val="00EB3FB0"/>
    <w:rsid w:val="00EC247C"/>
    <w:rsid w:val="00EC4049"/>
    <w:rsid w:val="00ED3CB8"/>
    <w:rsid w:val="00ED52AD"/>
    <w:rsid w:val="00EE40B4"/>
    <w:rsid w:val="00EF0460"/>
    <w:rsid w:val="00EF20CE"/>
    <w:rsid w:val="00EF288B"/>
    <w:rsid w:val="00F05DAE"/>
    <w:rsid w:val="00F11022"/>
    <w:rsid w:val="00F2014C"/>
    <w:rsid w:val="00F25547"/>
    <w:rsid w:val="00F349AB"/>
    <w:rsid w:val="00F44E32"/>
    <w:rsid w:val="00F454E3"/>
    <w:rsid w:val="00F52A1D"/>
    <w:rsid w:val="00F6520B"/>
    <w:rsid w:val="00F6665C"/>
    <w:rsid w:val="00F710FD"/>
    <w:rsid w:val="00F81ED4"/>
    <w:rsid w:val="00F87D49"/>
    <w:rsid w:val="00F90C13"/>
    <w:rsid w:val="00F9335E"/>
    <w:rsid w:val="00FB229C"/>
    <w:rsid w:val="00FB3D9D"/>
    <w:rsid w:val="00FB78C2"/>
    <w:rsid w:val="00FC4369"/>
    <w:rsid w:val="00FD00C3"/>
    <w:rsid w:val="00FD4E16"/>
    <w:rsid w:val="00FD65AD"/>
    <w:rsid w:val="00FD691C"/>
    <w:rsid w:val="00FE6251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60A4"/>
  <w15:chartTrackingRefBased/>
  <w15:docId w15:val="{D12A9FE1-437C-4C64-905C-3A2046DB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288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CA01A6"/>
    <w:rPr>
      <w:rFonts w:ascii="Arial" w:hAnsi="Arial"/>
      <w:sz w:val="22"/>
      <w:lang w:val="en-US" w:eastAsia="ar-SA"/>
    </w:rPr>
  </w:style>
  <w:style w:type="table" w:styleId="Lentelstinklelis">
    <w:name w:val="Table Grid"/>
    <w:basedOn w:val="prastojilentel"/>
    <w:uiPriority w:val="59"/>
    <w:rsid w:val="0065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c3db40a9fc4b3f84bf95f9bc83760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D16B-9784-4E58-8E8B-19292D0D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63c3db40a9fc4b3f84bf95f9bc837609</Template>
  <TotalTime>1</TotalTime>
  <Pages>4</Pages>
  <Words>4063</Words>
  <Characters>2317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MOKYKLINIO AUTOBUSO PERDAVIMO PAGAL PANAUDOS SUTARTĮ LAZDIJŲ R. KUČIŪNŲ MOKYKLAI</vt:lpstr>
      <vt:lpstr>PROJEKTAS</vt:lpstr>
    </vt:vector>
  </TitlesOfParts>
  <Manager>2019-01-31</Manager>
  <Company>Hewlett-Packard Company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MOKYKLINIO AUTOBUSO PERDAVIMO PAGAL PANAUDOS SUTARTĮ LAZDIJŲ R. KUČIŪNŲ MOKYKLAI</dc:title>
  <dc:subject>5TS-1553</dc:subject>
  <dc:creator>LAZDIJŲ RAJONO SAVIVALDYBĖS TARYBA</dc:creator>
  <cp:keywords/>
  <cp:lastModifiedBy>Laima Jauniskiene</cp:lastModifiedBy>
  <cp:revision>2</cp:revision>
  <cp:lastPrinted>2019-08-21T12:41:00Z</cp:lastPrinted>
  <dcterms:created xsi:type="dcterms:W3CDTF">2020-04-02T12:20:00Z</dcterms:created>
  <dcterms:modified xsi:type="dcterms:W3CDTF">2020-04-02T12:20:00Z</dcterms:modified>
  <cp:category>Sprendimas</cp:category>
</cp:coreProperties>
</file>