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bookmarkStart w:id="0" w:name="_GoBack"/>
      <w:bookmarkEnd w:id="0"/>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1AA1A55A" w14:textId="77777777" w:rsidR="005A3FF2" w:rsidRPr="005A3FF2" w:rsidRDefault="005A3FF2" w:rsidP="005A3FF2">
      <w:pPr>
        <w:rPr>
          <w:rFonts w:ascii="Times New Roman" w:hAnsi="Times New Roman" w:cs="Times New Roman"/>
          <w:color w:val="000000" w:themeColor="text1"/>
          <w:sz w:val="24"/>
          <w:szCs w:val="24"/>
        </w:rPr>
      </w:pPr>
    </w:p>
    <w:p w14:paraId="465130C2" w14:textId="001FD232" w:rsidR="00FC7653" w:rsidRPr="00FC7653" w:rsidRDefault="005A3FF2" w:rsidP="00543BB3">
      <w:pPr>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r w:rsidR="00872BEF" w:rsidRPr="00872BEF">
        <w:rPr>
          <w:rFonts w:ascii="Times New Roman" w:hAnsi="Times New Roman" w:cs="Times New Roman"/>
          <w:b/>
          <w:bCs/>
          <w:color w:val="000000" w:themeColor="text1"/>
          <w:sz w:val="24"/>
          <w:szCs w:val="24"/>
        </w:rPr>
        <w:t>Dėl</w:t>
      </w:r>
      <w:r w:rsidR="00872BEF" w:rsidRPr="00872BEF">
        <w:rPr>
          <w:rFonts w:ascii="Times New Roman" w:hAnsi="Times New Roman" w:cs="Times New Roman"/>
          <w:b/>
          <w:color w:val="000000" w:themeColor="text1"/>
          <w:sz w:val="24"/>
          <w:szCs w:val="24"/>
        </w:rPr>
        <w:t xml:space="preserve"> </w:t>
      </w:r>
      <w:r w:rsidR="00872BEF">
        <w:rPr>
          <w:rFonts w:ascii="Times New Roman" w:hAnsi="Times New Roman" w:cs="Times New Roman"/>
          <w:b/>
          <w:color w:val="000000" w:themeColor="text1"/>
          <w:sz w:val="24"/>
          <w:szCs w:val="24"/>
        </w:rPr>
        <w:t>L</w:t>
      </w:r>
      <w:r w:rsidR="00872BEF" w:rsidRPr="00872BEF">
        <w:rPr>
          <w:rFonts w:ascii="Times New Roman" w:hAnsi="Times New Roman" w:cs="Times New Roman"/>
          <w:b/>
          <w:color w:val="000000" w:themeColor="text1"/>
          <w:sz w:val="24"/>
          <w:szCs w:val="24"/>
        </w:rPr>
        <w:t xml:space="preserve">azdijų rajono savivaldybės tarybos 2018 m. </w:t>
      </w:r>
      <w:r w:rsidR="00872BEF">
        <w:rPr>
          <w:rFonts w:ascii="Times New Roman" w:hAnsi="Times New Roman" w:cs="Times New Roman"/>
          <w:b/>
          <w:color w:val="000000" w:themeColor="text1"/>
          <w:sz w:val="24"/>
          <w:szCs w:val="24"/>
        </w:rPr>
        <w:t>r</w:t>
      </w:r>
      <w:r w:rsidR="00872BEF" w:rsidRPr="00872BEF">
        <w:rPr>
          <w:rFonts w:ascii="Times New Roman" w:hAnsi="Times New Roman" w:cs="Times New Roman"/>
          <w:b/>
          <w:color w:val="000000" w:themeColor="text1"/>
          <w:sz w:val="24"/>
          <w:szCs w:val="24"/>
        </w:rPr>
        <w:t xml:space="preserve">ugsėjo 14 d. </w:t>
      </w:r>
      <w:r w:rsidR="00872BEF">
        <w:rPr>
          <w:rFonts w:ascii="Times New Roman" w:hAnsi="Times New Roman" w:cs="Times New Roman"/>
          <w:b/>
          <w:color w:val="000000" w:themeColor="text1"/>
          <w:sz w:val="24"/>
          <w:szCs w:val="24"/>
        </w:rPr>
        <w:t>s</w:t>
      </w:r>
      <w:r w:rsidR="00872BEF" w:rsidRPr="00872BEF">
        <w:rPr>
          <w:rFonts w:ascii="Times New Roman" w:hAnsi="Times New Roman" w:cs="Times New Roman"/>
          <w:b/>
          <w:color w:val="000000" w:themeColor="text1"/>
          <w:sz w:val="24"/>
          <w:szCs w:val="24"/>
        </w:rPr>
        <w:t xml:space="preserve">prendimo </w:t>
      </w:r>
      <w:r w:rsidR="00872BEF">
        <w:rPr>
          <w:rFonts w:ascii="Times New Roman" w:hAnsi="Times New Roman" w:cs="Times New Roman"/>
          <w:b/>
          <w:color w:val="000000" w:themeColor="text1"/>
          <w:sz w:val="24"/>
          <w:szCs w:val="24"/>
        </w:rPr>
        <w:t>Nr.</w:t>
      </w:r>
      <w:r w:rsidR="00872BEF" w:rsidRPr="00872BEF">
        <w:rPr>
          <w:rFonts w:ascii="Times New Roman" w:hAnsi="Times New Roman" w:cs="Times New Roman"/>
          <w:b/>
          <w:color w:val="000000" w:themeColor="text1"/>
          <w:sz w:val="24"/>
          <w:szCs w:val="24"/>
        </w:rPr>
        <w:t xml:space="preserve"> 5</w:t>
      </w:r>
      <w:r w:rsidR="00872BEF">
        <w:rPr>
          <w:rFonts w:ascii="Times New Roman" w:hAnsi="Times New Roman" w:cs="Times New Roman"/>
          <w:b/>
          <w:color w:val="000000" w:themeColor="text1"/>
          <w:sz w:val="24"/>
          <w:szCs w:val="24"/>
        </w:rPr>
        <w:t>TS</w:t>
      </w:r>
      <w:r w:rsidR="00872BEF" w:rsidRPr="00872BEF">
        <w:rPr>
          <w:rFonts w:ascii="Times New Roman" w:hAnsi="Times New Roman" w:cs="Times New Roman"/>
          <w:b/>
          <w:color w:val="000000" w:themeColor="text1"/>
          <w:sz w:val="24"/>
          <w:szCs w:val="24"/>
        </w:rPr>
        <w:t>-1422 „</w:t>
      </w:r>
      <w:r w:rsidR="00872BEF">
        <w:rPr>
          <w:rFonts w:ascii="Times New Roman" w:hAnsi="Times New Roman" w:cs="Times New Roman"/>
          <w:b/>
          <w:color w:val="000000" w:themeColor="text1"/>
          <w:sz w:val="24"/>
          <w:szCs w:val="24"/>
        </w:rPr>
        <w:t>D</w:t>
      </w:r>
      <w:r w:rsidR="00872BEF" w:rsidRPr="00872BEF">
        <w:rPr>
          <w:rFonts w:ascii="Times New Roman" w:hAnsi="Times New Roman" w:cs="Times New Roman"/>
          <w:b/>
          <w:color w:val="000000" w:themeColor="text1"/>
          <w:sz w:val="24"/>
          <w:szCs w:val="24"/>
        </w:rPr>
        <w:t>ėl vietinės rinkliavos už leidimo prekiauti ar teikti paslaugas viešosiose vietose išdavimą nuostatų patvirtinimo“ pakeitimo</w:t>
      </w:r>
      <w:r w:rsidR="00FC7653" w:rsidRPr="00FC7653">
        <w:rPr>
          <w:rFonts w:ascii="Times New Roman" w:hAnsi="Times New Roman" w:cs="Times New Roman"/>
          <w:b/>
          <w:sz w:val="24"/>
          <w:szCs w:val="24"/>
        </w:rPr>
        <w:t xml:space="preserve"> </w:t>
      </w:r>
    </w:p>
    <w:p w14:paraId="33C84BC2" w14:textId="088F860D"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p w14:paraId="260F1DAE" w14:textId="4DC31035"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p>
    <w:p w14:paraId="2CF26BA3"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Antikorupciniu požiūriu rizikingos teisės akto projekto nuostatos, nustatytos atliekant antikorupcinį vertinimą po </w:t>
      </w:r>
      <w:proofErr w:type="spellStart"/>
      <w:r w:rsidRPr="005A3FF2">
        <w:rPr>
          <w:rFonts w:ascii="Times New Roman" w:hAnsi="Times New Roman" w:cs="Times New Roman"/>
          <w:color w:val="000000" w:themeColor="text1"/>
          <w:sz w:val="24"/>
          <w:szCs w:val="24"/>
        </w:rPr>
        <w:t>tarpinstitucinio</w:t>
      </w:r>
      <w:proofErr w:type="spellEnd"/>
      <w:r w:rsidRPr="005A3FF2">
        <w:rPr>
          <w:rFonts w:ascii="Times New Roman" w:hAnsi="Times New Roman" w:cs="Times New Roman"/>
          <w:color w:val="000000" w:themeColor="text1"/>
          <w:sz w:val="24"/>
          <w:szCs w:val="24"/>
        </w:rPr>
        <w:t xml:space="preserve">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14:paraId="72806A73" w14:textId="77777777" w:rsidTr="006779FB">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 xml:space="preserve">Pagrindimas (nurodomos konkrečios teisės akto projekto ar kitų teisės aktų nuostatos, pagrindžiančios teigiamą atsakymą, arba pateikiamos antikorupcinį teisės akto projekto vertinimą atliekančio specialisto pastabos ir pasiūlymai dėl korupcijos </w:t>
            </w:r>
            <w:r w:rsidRPr="005A3FF2">
              <w:rPr>
                <w:rFonts w:ascii="Times New Roman" w:hAnsi="Times New Roman" w:cs="Times New Roman"/>
                <w:color w:val="000000" w:themeColor="text1"/>
                <w:sz w:val="24"/>
                <w:szCs w:val="24"/>
              </w:rPr>
              <w:lastRenderedPageBreak/>
              <w:t>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6779FB">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6779FB">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08A0CA68"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A57205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72B453B9" w14:textId="77777777"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14:paraId="220FC4E0"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7777777"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4D0A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C4B442B" w14:textId="77777777"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77777777"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BDC2C9D"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3109083"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3F7A185"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27369845"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717BC109"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-2</w:t>
            </w:r>
            <w:r w:rsidR="00872BEF">
              <w:rPr>
                <w:rFonts w:ascii="Times New Roman" w:hAnsi="Times New Roman" w:cs="Times New Roman"/>
                <w:color w:val="000000" w:themeColor="text1"/>
                <w:sz w:val="24"/>
                <w:szCs w:val="24"/>
              </w:rPr>
              <w:t>1</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099038B1"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02-21</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A5DC" w14:textId="77777777" w:rsidR="000E49C1" w:rsidRDefault="000E49C1" w:rsidP="005A3FF2">
      <w:r>
        <w:separator/>
      </w:r>
    </w:p>
  </w:endnote>
  <w:endnote w:type="continuationSeparator" w:id="0">
    <w:p w14:paraId="3B0FD121" w14:textId="77777777" w:rsidR="000E49C1" w:rsidRDefault="000E49C1"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9E7A" w14:textId="77777777" w:rsidR="000E49C1" w:rsidRDefault="000E49C1" w:rsidP="005A3FF2">
      <w:r>
        <w:separator/>
      </w:r>
    </w:p>
  </w:footnote>
  <w:footnote w:type="continuationSeparator" w:id="0">
    <w:p w14:paraId="68DD215A" w14:textId="77777777" w:rsidR="000E49C1" w:rsidRDefault="000E49C1"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w:t>
      </w:r>
      <w:r w:rsidRPr="00BA1CB8">
        <w:rPr>
          <w:sz w:val="16"/>
          <w:szCs w:val="16"/>
        </w:rPr>
        <w:t>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A14E6E"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6C13" w14:textId="77777777" w:rsidR="008D1D37" w:rsidRPr="00443B11" w:rsidRDefault="00A14E6E"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2"/>
    <w:rsid w:val="000C13FA"/>
    <w:rsid w:val="000E49C1"/>
    <w:rsid w:val="002037CD"/>
    <w:rsid w:val="00284FDE"/>
    <w:rsid w:val="00303AC9"/>
    <w:rsid w:val="00330E2E"/>
    <w:rsid w:val="003702F2"/>
    <w:rsid w:val="003B45E7"/>
    <w:rsid w:val="00543BB3"/>
    <w:rsid w:val="00562276"/>
    <w:rsid w:val="005A3FF2"/>
    <w:rsid w:val="005D3A03"/>
    <w:rsid w:val="00655836"/>
    <w:rsid w:val="0074118B"/>
    <w:rsid w:val="007A6476"/>
    <w:rsid w:val="008346F8"/>
    <w:rsid w:val="00872BEF"/>
    <w:rsid w:val="0099073E"/>
    <w:rsid w:val="00A07399"/>
    <w:rsid w:val="00A14E6E"/>
    <w:rsid w:val="00A40528"/>
    <w:rsid w:val="00C02AC0"/>
    <w:rsid w:val="00C41EC3"/>
    <w:rsid w:val="00D10366"/>
    <w:rsid w:val="00E20067"/>
    <w:rsid w:val="00EA4CCB"/>
    <w:rsid w:val="00EE1A3D"/>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4238</Words>
  <Characters>2417</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2020-02-24T19:44:00Z</dcterms:created>
  <dcterms:modified xsi:type="dcterms:W3CDTF">2020-02-24T19:44:00Z</dcterms:modified>
</cp:coreProperties>
</file>