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68871" w14:textId="3F1D22FF" w:rsidR="00BD63E3" w:rsidRDefault="00BD63E3" w:rsidP="00D4654E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L</w:t>
      </w:r>
      <w:r w:rsidRPr="00BD63E3">
        <w:rPr>
          <w:szCs w:val="24"/>
        </w:rPr>
        <w:t>azdijų rajono savivaldybės tarybos</w:t>
      </w:r>
    </w:p>
    <w:p w14:paraId="48C44786" w14:textId="5BD47890" w:rsidR="00FC176B" w:rsidRDefault="00D4654E" w:rsidP="00D4654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</w:t>
      </w:r>
      <w:r w:rsidR="00BD63E3" w:rsidRPr="00BD63E3">
        <w:rPr>
          <w:szCs w:val="24"/>
        </w:rPr>
        <w:t xml:space="preserve">2018 m. </w:t>
      </w:r>
      <w:r w:rsidR="00BD63E3">
        <w:rPr>
          <w:szCs w:val="24"/>
        </w:rPr>
        <w:t>..............</w:t>
      </w:r>
    </w:p>
    <w:p w14:paraId="03966133" w14:textId="012203AF" w:rsidR="00BD63E3" w:rsidRPr="00BD63E3" w:rsidRDefault="00D4654E" w:rsidP="00D4654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</w:t>
      </w:r>
      <w:r w:rsidR="00BD63E3">
        <w:rPr>
          <w:szCs w:val="24"/>
        </w:rPr>
        <w:t>sprendimo Nr. 5TS-</w:t>
      </w:r>
    </w:p>
    <w:p w14:paraId="31B07AFF" w14:textId="69F4872B" w:rsidR="00BD63E3" w:rsidRPr="00BD63E3" w:rsidRDefault="00D4654E" w:rsidP="00D4654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  <w:r w:rsidR="00BD63E3">
        <w:rPr>
          <w:szCs w:val="24"/>
        </w:rPr>
        <w:t>priedas</w:t>
      </w:r>
    </w:p>
    <w:p w14:paraId="0068F30C" w14:textId="77777777" w:rsidR="00BD63E3" w:rsidRDefault="00BD63E3" w:rsidP="00D3158E">
      <w:pPr>
        <w:rPr>
          <w:b/>
          <w:szCs w:val="24"/>
        </w:rPr>
      </w:pPr>
    </w:p>
    <w:p w14:paraId="48C44787" w14:textId="55FD1D2A" w:rsidR="001C6EB2" w:rsidRDefault="00AE5714" w:rsidP="001C6EB2">
      <w:pPr>
        <w:jc w:val="center"/>
        <w:rPr>
          <w:b/>
          <w:szCs w:val="24"/>
        </w:rPr>
      </w:pPr>
      <w:r>
        <w:rPr>
          <w:b/>
          <w:szCs w:val="24"/>
        </w:rPr>
        <w:t>2018 METŲ</w:t>
      </w:r>
      <w:r>
        <w:rPr>
          <w:b/>
          <w:bCs/>
          <w:szCs w:val="24"/>
        </w:rPr>
        <w:t xml:space="preserve"> </w:t>
      </w:r>
      <w:r w:rsidR="001C6EB2">
        <w:rPr>
          <w:b/>
          <w:szCs w:val="24"/>
        </w:rPr>
        <w:t xml:space="preserve">LAZDIJŲ RAJONO SAVIVALDYBĖS ASMENS SVEIKATOS PRIEŽIŪROS </w:t>
      </w:r>
      <w:r w:rsidR="00174D50">
        <w:rPr>
          <w:b/>
          <w:szCs w:val="24"/>
        </w:rPr>
        <w:t xml:space="preserve">VIEŠŲJŲ </w:t>
      </w:r>
      <w:r w:rsidR="001C6EB2">
        <w:rPr>
          <w:b/>
          <w:szCs w:val="24"/>
        </w:rPr>
        <w:t>ĮSTAIGŲ</w:t>
      </w:r>
    </w:p>
    <w:p w14:paraId="48C44788" w14:textId="0515FFFC" w:rsidR="001C6EB2" w:rsidRDefault="001C6EB2" w:rsidP="001C6EB2">
      <w:pPr>
        <w:jc w:val="center"/>
        <w:rPr>
          <w:b/>
          <w:szCs w:val="24"/>
        </w:rPr>
      </w:pPr>
      <w:r>
        <w:rPr>
          <w:b/>
          <w:bCs/>
          <w:szCs w:val="24"/>
        </w:rPr>
        <w:t>SIEKTINOS VEIKLOS UŽDUOTYS</w:t>
      </w:r>
    </w:p>
    <w:p w14:paraId="48C44789" w14:textId="77777777" w:rsidR="001C6EB2" w:rsidRDefault="001C6EB2" w:rsidP="001C6EB2">
      <w:pPr>
        <w:jc w:val="center"/>
        <w:rPr>
          <w:b/>
          <w:sz w:val="20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8930"/>
      </w:tblGrid>
      <w:tr w:rsidR="001C6EB2" w14:paraId="48C44790" w14:textId="77777777" w:rsidTr="00560F8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478A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478B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Siektinos veiklos užduotys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78C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48C4478D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Veiklos vertinimo rodikliai</w:t>
            </w:r>
          </w:p>
          <w:p w14:paraId="48C4478E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478F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Užduočių įvykdymo vertinimo kriterijai ir balai</w:t>
            </w:r>
          </w:p>
        </w:tc>
      </w:tr>
      <w:tr w:rsidR="001C6EB2" w14:paraId="48C44792" w14:textId="77777777" w:rsidTr="00B07656">
        <w:trPr>
          <w:trHeight w:val="20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4791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Kiekybiniai veiklos vertinimo rodikliai</w:t>
            </w:r>
          </w:p>
        </w:tc>
      </w:tr>
    </w:tbl>
    <w:tbl>
      <w:tblPr>
        <w:tblStyle w:val="Lentelstinklelis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418"/>
        <w:gridCol w:w="1559"/>
        <w:gridCol w:w="7371"/>
      </w:tblGrid>
      <w:tr w:rsidR="001C6EB2" w14:paraId="48C44798" w14:textId="77777777" w:rsidTr="00560F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93" w14:textId="77777777" w:rsidR="001C6EB2" w:rsidRDefault="001C6EB2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94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Siekti subalansuotos įstaigos finansinės veiklos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95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Finansinis įstaigos veiklos rezultatas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96" w14:textId="77777777" w:rsidR="001C6EB2" w:rsidRDefault="001C6E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97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  <w:lang w:eastAsia="lt-LT"/>
              </w:rPr>
              <w:t>Rodiklis apskaičiuojamas iš pajamų atimant sąnaudas</w:t>
            </w:r>
          </w:p>
        </w:tc>
      </w:tr>
      <w:tr w:rsidR="001C6EB2" w14:paraId="48C4479E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99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9A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9B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9C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9D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Įstaigos finansinis rezultatas teigiamas</w:t>
            </w:r>
          </w:p>
        </w:tc>
      </w:tr>
      <w:tr w:rsidR="001C6EB2" w14:paraId="48C447A4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9F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A0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A1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A2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A3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Įstaigos finansinis rezultatas neigiamas</w:t>
            </w:r>
          </w:p>
        </w:tc>
      </w:tr>
      <w:tr w:rsidR="001C6EB2" w14:paraId="48C447A6" w14:textId="77777777" w:rsidTr="001677C4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7A5" w14:textId="77777777" w:rsidR="001C6EB2" w:rsidRDefault="001C6EB2">
            <w:pPr>
              <w:rPr>
                <w:sz w:val="22"/>
                <w:szCs w:val="22"/>
              </w:rPr>
            </w:pPr>
          </w:p>
        </w:tc>
      </w:tr>
      <w:tr w:rsidR="001C6EB2" w14:paraId="48C447B1" w14:textId="77777777" w:rsidTr="00560F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A7" w14:textId="77777777" w:rsidR="001C6EB2" w:rsidRDefault="001C6E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7A8" w14:textId="77777777" w:rsidR="001C6EB2" w:rsidRDefault="001C6EB2">
            <w:pPr>
              <w:rPr>
                <w:sz w:val="22"/>
                <w:szCs w:val="22"/>
              </w:rPr>
            </w:pPr>
          </w:p>
          <w:p w14:paraId="48C447A9" w14:textId="77777777" w:rsidR="001C6EB2" w:rsidRDefault="001C6EB2">
            <w:pPr>
              <w:rPr>
                <w:sz w:val="22"/>
                <w:szCs w:val="22"/>
              </w:rPr>
            </w:pPr>
          </w:p>
          <w:p w14:paraId="48C447AA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Užtikrinti racionalią darbo užmokesčio dalį sąnaudų struktūroje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AB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Įstaigos sąnaudų darbo užmokesčiui dalis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AC" w14:textId="77777777" w:rsidR="001C6EB2" w:rsidRDefault="001C6E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7AD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 xml:space="preserve">Rodiklis apskaičiuojamas pagal formulę: </w:t>
            </w:r>
          </w:p>
          <w:p w14:paraId="48C447AE" w14:textId="77777777" w:rsidR="001C6EB2" w:rsidRDefault="001C6EB2">
            <w:pPr>
              <w:rPr>
                <w:sz w:val="22"/>
                <w:szCs w:val="22"/>
              </w:rPr>
            </w:pPr>
          </w:p>
          <w:p w14:paraId="48C447AF" w14:textId="77777777" w:rsidR="001C6EB2" w:rsidRDefault="00424B73">
            <w:pPr>
              <w:widowControl w:val="0"/>
              <w:suppressAutoHyphens/>
              <w:ind w:firstLine="567"/>
              <w:jc w:val="both"/>
              <w:rPr>
                <w:color w:val="000000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(Darbo užmokesčio sąnaudos per metus+socialinio draudimo sąnaudos per metus)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Pagrindinės veiklos sąnaudos per metus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48C447B0" w14:textId="77777777" w:rsidR="001C6EB2" w:rsidRDefault="001C6EB2">
            <w:pPr>
              <w:rPr>
                <w:sz w:val="22"/>
                <w:szCs w:val="22"/>
              </w:rPr>
            </w:pPr>
          </w:p>
        </w:tc>
      </w:tr>
      <w:tr w:rsidR="001C6EB2" w14:paraId="48C447B8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2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3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4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VšĮ ,,Lazdijų ligoninė“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5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VšĮ ,,Lazdijų PSP</w:t>
            </w:r>
            <w:r w:rsidR="001E7700">
              <w:rPr>
                <w:sz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6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7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Rodiklio kriterijus įvykdytas</w:t>
            </w:r>
          </w:p>
        </w:tc>
      </w:tr>
      <w:tr w:rsidR="001C6EB2" w14:paraId="48C447BF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9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A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BB" w14:textId="77777777" w:rsidR="001C6EB2" w:rsidRDefault="00FF21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BC" w14:textId="56886E7F" w:rsidR="001C6EB2" w:rsidRDefault="008809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F41802">
              <w:rPr>
                <w:b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D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BE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Rodiklio kriterijus neįvykdytas</w:t>
            </w:r>
          </w:p>
        </w:tc>
      </w:tr>
      <w:tr w:rsidR="001C6EB2" w14:paraId="48C447C1" w14:textId="77777777" w:rsidTr="001677C4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7C0" w14:textId="77777777" w:rsidR="001C6EB2" w:rsidRDefault="001C6EB2">
            <w:pPr>
              <w:rPr>
                <w:sz w:val="22"/>
                <w:szCs w:val="22"/>
              </w:rPr>
            </w:pPr>
          </w:p>
        </w:tc>
      </w:tr>
      <w:tr w:rsidR="001C6EB2" w14:paraId="48C447CA" w14:textId="77777777" w:rsidTr="00560F80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C2" w14:textId="77777777" w:rsidR="001C6EB2" w:rsidRDefault="001C6E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C3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Užtikrinti racionalią valdymo išlaidų dalį sąnaudų struktūroje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C4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Įstaigos sąnaudų valdymo išlaidoms dalis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C5" w14:textId="77777777" w:rsidR="001C6EB2" w:rsidRDefault="001C6E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7C6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 xml:space="preserve">Rodiklis apskaičiuojamas pagal formulę: </w:t>
            </w:r>
          </w:p>
          <w:p w14:paraId="48C447C7" w14:textId="77777777" w:rsidR="001C6EB2" w:rsidRDefault="001C6EB2">
            <w:pPr>
              <w:rPr>
                <w:sz w:val="22"/>
                <w:szCs w:val="22"/>
              </w:rPr>
            </w:pPr>
          </w:p>
          <w:p w14:paraId="48C447C8" w14:textId="77777777" w:rsidR="001C6EB2" w:rsidRDefault="00424B73">
            <w:pPr>
              <w:widowControl w:val="0"/>
              <w:suppressAutoHyphens/>
              <w:ind w:firstLine="567"/>
              <w:jc w:val="both"/>
              <w:rPr>
                <w:color w:val="000000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(Valdymo darbuotojų per metus patirta išlaidų suma)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(Pagrindinės veiklos sąnaudos per metus+kitos veiklos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 xml:space="preserve"> sąnaudos per metus)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48C447C9" w14:textId="77777777" w:rsidR="001C6EB2" w:rsidRDefault="001C6EB2">
            <w:pPr>
              <w:rPr>
                <w:sz w:val="22"/>
                <w:szCs w:val="22"/>
              </w:rPr>
            </w:pPr>
          </w:p>
        </w:tc>
      </w:tr>
      <w:tr w:rsidR="001C6EB2" w14:paraId="48C447D1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CB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CC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CD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VšĮ ,,Lazdijų ligoninė“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CE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VšĮ ,,Lazdijų PSPC“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CF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D0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Rodiklio kriterijus įvykdytas</w:t>
            </w:r>
          </w:p>
        </w:tc>
      </w:tr>
      <w:tr w:rsidR="001C6EB2" w14:paraId="48C447D8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D2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D3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D4" w14:textId="6D1FA7E3" w:rsidR="001C6EB2" w:rsidRDefault="008809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D5" w14:textId="18E71CAB" w:rsidR="001C6EB2" w:rsidRDefault="008809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D6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D7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Rodiklio kriterijus neįvykdytas</w:t>
            </w:r>
          </w:p>
        </w:tc>
      </w:tr>
      <w:tr w:rsidR="001C6EB2" w14:paraId="48C447DA" w14:textId="77777777" w:rsidTr="001677C4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7D9" w14:textId="77777777" w:rsidR="001C6EB2" w:rsidRDefault="001C6EB2">
            <w:pPr>
              <w:rPr>
                <w:sz w:val="22"/>
                <w:szCs w:val="22"/>
              </w:rPr>
            </w:pPr>
          </w:p>
        </w:tc>
      </w:tr>
      <w:tr w:rsidR="001677C4" w14:paraId="48C447E4" w14:textId="77777777" w:rsidTr="00560F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447DB" w14:textId="77777777" w:rsidR="001677C4" w:rsidRDefault="001677C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447DC" w14:textId="77777777" w:rsidR="001677C4" w:rsidRDefault="001677C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Pritraukti kuo daugiau papildomų finansavimo šaltinių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DD" w14:textId="77777777" w:rsidR="001677C4" w:rsidRDefault="001677C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Papildomų finansavimo šaltinių pritraukimas </w:t>
            </w:r>
          </w:p>
          <w:p w14:paraId="48C447DE" w14:textId="77777777" w:rsidR="001677C4" w:rsidRDefault="001677C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(mokamos paslaugos, parama, labdara, tikslinės lėšos ir kt.)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DF" w14:textId="77777777" w:rsidR="001677C4" w:rsidRDefault="001677C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Balai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7E0" w14:textId="77777777" w:rsidR="001677C4" w:rsidRDefault="001677C4">
            <w:pPr>
              <w:rPr>
                <w:sz w:val="22"/>
              </w:rPr>
            </w:pPr>
            <w:r>
              <w:rPr>
                <w:sz w:val="22"/>
              </w:rPr>
              <w:t>Rodiklis apskaičiuojamas pagal formulę:</w:t>
            </w:r>
          </w:p>
          <w:p w14:paraId="48C447E1" w14:textId="77777777" w:rsidR="001677C4" w:rsidRDefault="001677C4">
            <w:pPr>
              <w:rPr>
                <w:sz w:val="22"/>
                <w:szCs w:val="22"/>
              </w:rPr>
            </w:pPr>
          </w:p>
          <w:p w14:paraId="48C447E2" w14:textId="77777777" w:rsidR="001677C4" w:rsidRPr="00CE34F8" w:rsidRDefault="00424B73">
            <w:pPr>
              <w:tabs>
                <w:tab w:val="left" w:pos="709"/>
              </w:tabs>
              <w:ind w:firstLine="851"/>
              <w:jc w:val="both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Papildomų finansavimo šaltinių suma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lt-LT"/>
                      </w:rPr>
                      <m:t>Visos pajamos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48C447E3" w14:textId="77777777" w:rsidR="00CE34F8" w:rsidRDefault="00CE34F8">
            <w:pPr>
              <w:tabs>
                <w:tab w:val="left" w:pos="709"/>
              </w:tabs>
              <w:ind w:firstLine="851"/>
              <w:jc w:val="both"/>
              <w:rPr>
                <w:sz w:val="20"/>
              </w:rPr>
            </w:pPr>
          </w:p>
        </w:tc>
      </w:tr>
      <w:tr w:rsidR="001677C4" w14:paraId="48C447EA" w14:textId="77777777" w:rsidTr="00560F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447E5" w14:textId="77777777" w:rsidR="001677C4" w:rsidRDefault="00167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447E6" w14:textId="77777777" w:rsidR="001677C4" w:rsidRDefault="00167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E7" w14:textId="77777777" w:rsidR="001677C4" w:rsidRDefault="00167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E8" w14:textId="77777777" w:rsidR="001677C4" w:rsidRDefault="001677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E9" w14:textId="77777777" w:rsidR="00236BD8" w:rsidRDefault="001677C4">
            <w:pPr>
              <w:rPr>
                <w:sz w:val="22"/>
              </w:rPr>
            </w:pPr>
            <w:r>
              <w:rPr>
                <w:sz w:val="22"/>
              </w:rPr>
              <w:t xml:space="preserve">Pritraukta </w:t>
            </w:r>
            <w:r w:rsidR="00C134E8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 %</w:t>
            </w:r>
            <w:r>
              <w:rPr>
                <w:sz w:val="22"/>
              </w:rPr>
              <w:t xml:space="preserve"> ir daugiau lėšų</w:t>
            </w:r>
          </w:p>
        </w:tc>
      </w:tr>
      <w:tr w:rsidR="001677C4" w14:paraId="48C447F0" w14:textId="77777777" w:rsidTr="00560F80">
        <w:trPr>
          <w:trHeight w:val="4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447EB" w14:textId="77777777" w:rsidR="001677C4" w:rsidRDefault="00167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447EC" w14:textId="77777777" w:rsidR="001677C4" w:rsidRDefault="00167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ED" w14:textId="77777777" w:rsidR="001677C4" w:rsidRDefault="00167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447EE" w14:textId="77777777" w:rsidR="001677C4" w:rsidRDefault="001677C4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447EF" w14:textId="77777777" w:rsidR="001677C4" w:rsidRPr="00BE486E" w:rsidRDefault="001677C4">
            <w:pPr>
              <w:rPr>
                <w:sz w:val="22"/>
              </w:rPr>
            </w:pPr>
            <w:r>
              <w:rPr>
                <w:sz w:val="22"/>
              </w:rPr>
              <w:t xml:space="preserve">Pritraukta </w:t>
            </w:r>
            <w:r w:rsidR="00C134E8">
              <w:rPr>
                <w:b/>
                <w:color w:val="000000" w:themeColor="text1"/>
                <w:sz w:val="22"/>
              </w:rPr>
              <w:t>2</w:t>
            </w:r>
            <w:r>
              <w:rPr>
                <w:b/>
                <w:color w:val="000000" w:themeColor="text1"/>
                <w:sz w:val="22"/>
              </w:rPr>
              <w:t xml:space="preserve"> %</w:t>
            </w:r>
            <w:r>
              <w:rPr>
                <w:color w:val="000000" w:themeColor="text1"/>
                <w:sz w:val="22"/>
              </w:rPr>
              <w:t xml:space="preserve"> ir mažiau </w:t>
            </w:r>
            <w:r>
              <w:rPr>
                <w:sz w:val="22"/>
              </w:rPr>
              <w:t>lėšų</w:t>
            </w:r>
          </w:p>
        </w:tc>
      </w:tr>
      <w:tr w:rsidR="001677C4" w14:paraId="48C447F6" w14:textId="77777777" w:rsidTr="00560F80"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7F1" w14:textId="77777777" w:rsidR="001677C4" w:rsidRDefault="00167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7F2" w14:textId="77777777" w:rsidR="001677C4" w:rsidRDefault="00167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7F3" w14:textId="77777777" w:rsidR="00CE34F8" w:rsidRDefault="00CE34F8" w:rsidP="001677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7F4" w14:textId="77777777" w:rsidR="001677C4" w:rsidRDefault="001677C4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7F5" w14:textId="77777777" w:rsidR="001677C4" w:rsidRDefault="001677C4">
            <w:pPr>
              <w:rPr>
                <w:sz w:val="22"/>
              </w:rPr>
            </w:pPr>
          </w:p>
        </w:tc>
      </w:tr>
      <w:tr w:rsidR="001C6EB2" w14:paraId="48C447F8" w14:textId="77777777" w:rsidTr="001677C4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F7" w14:textId="77777777" w:rsidR="001C6EB2" w:rsidRDefault="001C6E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Kokybiniai veiklos vertinimo rodikliai</w:t>
            </w:r>
          </w:p>
        </w:tc>
      </w:tr>
      <w:tr w:rsidR="001C6EB2" w14:paraId="48C44801" w14:textId="77777777" w:rsidTr="00560F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7F9" w14:textId="77777777" w:rsidR="001C6EB2" w:rsidRDefault="001C6EB2">
            <w:pPr>
              <w:jc w:val="center"/>
              <w:rPr>
                <w:sz w:val="22"/>
              </w:rPr>
            </w:pPr>
          </w:p>
          <w:p w14:paraId="48C447FA" w14:textId="77777777" w:rsidR="001C6EB2" w:rsidRDefault="001C6E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14:paraId="48C447FB" w14:textId="77777777" w:rsidR="001C6EB2" w:rsidRDefault="001C6EB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FC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Siekti, kad pacientų pasitenkinimas įstaigos teikiamomis paslaugomis didėtų, o skundų skaičius mažėtų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FD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 xml:space="preserve">Pacientų pasitenkinimo įstaigos teikiamomis paslaugomis lygis </w:t>
            </w:r>
            <w:r w:rsidR="00C74A82">
              <w:rPr>
                <w:sz w:val="22"/>
              </w:rPr>
              <w:t xml:space="preserve">(taikoma tik stacionarines sveikatos priežiūros paslaugas teikiančiai įstaigai) </w:t>
            </w:r>
            <w:r>
              <w:rPr>
                <w:sz w:val="22"/>
              </w:rPr>
              <w:t>bei pacientų skundų tendencijos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7FE" w14:textId="77777777" w:rsidR="001C6EB2" w:rsidRDefault="001C6E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7FF" w14:textId="77777777" w:rsidR="001C6EB2" w:rsidRDefault="001C6EB2">
            <w:pPr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sz w:val="22"/>
                <w:lang w:eastAsia="lt-LT"/>
              </w:rPr>
              <w:t xml:space="preserve">acientų pasitenkinimo įstaigos teikiamomis paslaugomis lygis nustatomas </w:t>
            </w:r>
            <w:r>
              <w:rPr>
                <w:sz w:val="22"/>
              </w:rPr>
              <w:t xml:space="preserve">vadovaujantis Lietuvos Respublikos sveikatos apsaugos ministro 2012 m. lapkričio 29 d. įsakymo Nr. V-1073 „Dėl asmens sveikatos priežiūros įstaigų, teikiančių stacionarines asmens sveikatos priežiūros paslaugas, veiklos kokybės ir efektyvumo vertinimo rodiklių sąrašų patvirtinimo“ 2.1.1 papunkčiu. </w:t>
            </w:r>
          </w:p>
          <w:p w14:paraId="48C44800" w14:textId="77777777" w:rsidR="001C6EB2" w:rsidRDefault="001C6EB2">
            <w:pPr>
              <w:jc w:val="both"/>
              <w:rPr>
                <w:sz w:val="22"/>
              </w:rPr>
            </w:pPr>
            <w:r>
              <w:rPr>
                <w:sz w:val="22"/>
              </w:rPr>
              <w:t>(Rodiklis apskaičiuojamas išvedant anketinių apklausų vykdymo ir pacientų skundų tendencijų asmens sveikatos priežiūros įstaigoje rodiklių balų vidurkį)</w:t>
            </w:r>
          </w:p>
        </w:tc>
      </w:tr>
      <w:tr w:rsidR="001C6EB2" w14:paraId="48C44807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02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03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04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05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06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Rodiklio kriterijus įvykdytas</w:t>
            </w:r>
          </w:p>
        </w:tc>
      </w:tr>
      <w:tr w:rsidR="001C6EB2" w14:paraId="48C4480D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08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09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0A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0B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0C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Rodiklio kriterijus neįvykdytas</w:t>
            </w:r>
          </w:p>
        </w:tc>
      </w:tr>
      <w:tr w:rsidR="001C6EB2" w14:paraId="48C44813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0E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0F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10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811" w14:textId="77777777" w:rsidR="001C6EB2" w:rsidRDefault="001C6EB2">
            <w:pPr>
              <w:rPr>
                <w:b/>
                <w:bCs/>
                <w:i/>
                <w:iCs/>
                <w:sz w:val="22"/>
                <w:szCs w:val="22"/>
                <w:lang w:eastAsia="lt-LT"/>
              </w:rPr>
            </w:pPr>
          </w:p>
          <w:p w14:paraId="48C44812" w14:textId="77777777" w:rsidR="001C6EB2" w:rsidRDefault="001C6EB2">
            <w:pPr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  <w:lang w:eastAsia="lt-LT"/>
              </w:rPr>
              <w:t>Vertinimo metodika:</w:t>
            </w:r>
          </w:p>
        </w:tc>
      </w:tr>
      <w:tr w:rsidR="001C6EB2" w14:paraId="48C44819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14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15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16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Anketinių apklausų vykdymas (ne mažiau 10 % apklaustų pacientų 1 kartą per metus)</w:t>
            </w:r>
            <w:r w:rsidR="000E485E">
              <w:rPr>
                <w:sz w:val="22"/>
              </w:rPr>
              <w:t xml:space="preserve"> </w:t>
            </w:r>
            <w:r w:rsidR="00942750">
              <w:rPr>
                <w:sz w:val="22"/>
              </w:rPr>
              <w:t>(</w:t>
            </w:r>
            <w:r w:rsidR="005A74CB">
              <w:rPr>
                <w:sz w:val="22"/>
              </w:rPr>
              <w:t>Taikoma tik stacionarui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17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18" w14:textId="77777777" w:rsidR="001C6EB2" w:rsidRDefault="001C6EB2">
            <w:pPr>
              <w:rPr>
                <w:sz w:val="22"/>
              </w:rPr>
            </w:pPr>
            <w:r>
              <w:rPr>
                <w:b/>
                <w:sz w:val="22"/>
              </w:rPr>
              <w:t>50 %</w:t>
            </w:r>
            <w:r>
              <w:rPr>
                <w:sz w:val="22"/>
              </w:rPr>
              <w:t xml:space="preserve"> ir daugiau pacientų patenkinti įstaigos teikiamomis paslaugomis</w:t>
            </w:r>
          </w:p>
        </w:tc>
      </w:tr>
      <w:tr w:rsidR="001C6EB2" w14:paraId="48C4481F" w14:textId="77777777" w:rsidTr="00560F80">
        <w:trPr>
          <w:trHeight w:val="8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1A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1B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1C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1D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1E" w14:textId="77777777" w:rsidR="001C6EB2" w:rsidRDefault="001C6EB2">
            <w:pPr>
              <w:rPr>
                <w:sz w:val="22"/>
              </w:rPr>
            </w:pPr>
            <w:r>
              <w:rPr>
                <w:b/>
                <w:sz w:val="22"/>
              </w:rPr>
              <w:t>49 %</w:t>
            </w:r>
            <w:r>
              <w:rPr>
                <w:sz w:val="22"/>
              </w:rPr>
              <w:t xml:space="preserve"> ir mažiau pacientų patenkinti įstaigos teikiamomis paslaugomis</w:t>
            </w:r>
          </w:p>
        </w:tc>
      </w:tr>
      <w:tr w:rsidR="001C6EB2" w14:paraId="48C44828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20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21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22" w14:textId="77777777" w:rsidR="001C6EB2" w:rsidRDefault="001C6EB2">
            <w:pPr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Pacientų skundų tendencijos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823" w14:textId="77777777" w:rsidR="001C6EB2" w:rsidRDefault="001C6EB2">
            <w:pPr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824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 xml:space="preserve">Rodiklis apskaičiuojamas pagal formulę: </w:t>
            </w:r>
          </w:p>
          <w:p w14:paraId="48C44825" w14:textId="77777777" w:rsidR="001C6EB2" w:rsidRDefault="001C6EB2">
            <w:pPr>
              <w:rPr>
                <w:sz w:val="22"/>
                <w:szCs w:val="22"/>
              </w:rPr>
            </w:pPr>
          </w:p>
          <w:p w14:paraId="48C44826" w14:textId="77777777" w:rsidR="001C6EB2" w:rsidRDefault="00424B73">
            <w:pPr>
              <w:tabs>
                <w:tab w:val="left" w:pos="709"/>
              </w:tabs>
              <w:ind w:firstLine="851"/>
              <w:jc w:val="both"/>
              <w:rPr>
                <w:sz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Rašytinių pagrįstų pacientų skundų skaičius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(Ambulatorinių apsilankymų skaičius+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lt-LT"/>
                      </w:rPr>
                      <m:t>stacionarinių atvejų skaičius)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48C44827" w14:textId="77777777" w:rsidR="001C6EB2" w:rsidRDefault="001C6EB2">
            <w:pPr>
              <w:rPr>
                <w:sz w:val="22"/>
                <w:szCs w:val="22"/>
              </w:rPr>
            </w:pPr>
          </w:p>
        </w:tc>
      </w:tr>
      <w:tr w:rsidR="001C6EB2" w14:paraId="48C4482E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29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2A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2B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2C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2D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Nepateikta skundų arba pateikti skundai pripažinti nepagrįstais</w:t>
            </w:r>
          </w:p>
        </w:tc>
      </w:tr>
      <w:tr w:rsidR="001C6EB2" w14:paraId="48C44834" w14:textId="77777777" w:rsidTr="00560F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2F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30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31" w14:textId="77777777" w:rsidR="001C6EB2" w:rsidRDefault="001C6E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32" w14:textId="77777777" w:rsidR="001C6EB2" w:rsidRDefault="001C6E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33" w14:textId="77777777" w:rsidR="001C6EB2" w:rsidRDefault="001C6EB2">
            <w:pPr>
              <w:rPr>
                <w:sz w:val="22"/>
              </w:rPr>
            </w:pPr>
            <w:r>
              <w:rPr>
                <w:sz w:val="22"/>
              </w:rPr>
              <w:t>1 % ir daugiau pagrįstų pacientų skundų</w:t>
            </w:r>
          </w:p>
        </w:tc>
      </w:tr>
      <w:tr w:rsidR="001C6EB2" w14:paraId="48C44836" w14:textId="77777777" w:rsidTr="001677C4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835" w14:textId="77777777" w:rsidR="001C6EB2" w:rsidRDefault="001C6EB2">
            <w:pPr>
              <w:rPr>
                <w:sz w:val="22"/>
                <w:szCs w:val="22"/>
              </w:rPr>
            </w:pPr>
          </w:p>
        </w:tc>
      </w:tr>
    </w:tbl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1559"/>
        <w:gridCol w:w="7371"/>
      </w:tblGrid>
      <w:tr w:rsidR="001C6EB2" w14:paraId="48C4483C" w14:textId="77777777" w:rsidTr="00560F80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37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38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Nuolat tobulinti kokybės vadybos sistemą, šalinti jos trūkumus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39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 w:rsidRPr="006E4EFB">
              <w:rPr>
                <w:sz w:val="22"/>
                <w:szCs w:val="22"/>
              </w:rPr>
              <w:t>Kokybės vadybos sistemos įdiegimo ir vystymo laipsnis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3A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3B" w14:textId="77777777" w:rsidR="001C6EB2" w:rsidRDefault="001C6EB2">
            <w:pPr>
              <w:spacing w:line="25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eastAsia="lt-LT"/>
              </w:rPr>
              <w:t xml:space="preserve">Rodiklis nustatomas, numatant parengtinų </w:t>
            </w:r>
            <w:r>
              <w:rPr>
                <w:sz w:val="22"/>
                <w:szCs w:val="22"/>
              </w:rPr>
              <w:t>metodikų, protokolų ar procedūrų instrukcijų ir (ar) formų kiekį bei k</w:t>
            </w:r>
            <w:r>
              <w:rPr>
                <w:sz w:val="22"/>
                <w:szCs w:val="22"/>
                <w:lang w:eastAsia="lt-LT"/>
              </w:rPr>
              <w:t xml:space="preserve">okybės vadybos sistemos priežiūros audito metu nustatytų </w:t>
            </w:r>
            <w:r>
              <w:rPr>
                <w:sz w:val="22"/>
                <w:szCs w:val="22"/>
              </w:rPr>
              <w:t>neatitikčių skaičių.</w:t>
            </w:r>
          </w:p>
        </w:tc>
      </w:tr>
      <w:tr w:rsidR="001C6EB2" w14:paraId="48C44842" w14:textId="77777777" w:rsidTr="00560F80">
        <w:trPr>
          <w:trHeight w:val="5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3D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3E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3F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40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4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Įdiegta nauja arba atnaujinta jau esama kokybės vadybos sistema</w:t>
            </w:r>
          </w:p>
        </w:tc>
      </w:tr>
      <w:tr w:rsidR="001C6EB2" w14:paraId="48C44848" w14:textId="77777777" w:rsidTr="00560F80">
        <w:trPr>
          <w:trHeight w:val="5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43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44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45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46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47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Kokybės vadybos sistema neįdiegta ar sistema neatnaujinta</w:t>
            </w:r>
          </w:p>
        </w:tc>
      </w:tr>
      <w:tr w:rsidR="001C6EB2" w14:paraId="48C4484A" w14:textId="77777777" w:rsidTr="002774F6">
        <w:trPr>
          <w:trHeight w:val="237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49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1C6EB2" w14:paraId="48C44851" w14:textId="77777777" w:rsidTr="00560F80">
        <w:trPr>
          <w:trHeight w:val="11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4B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4C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Užtikrinti, kad darbuotojų kaita nepablogintų įstaigos veiklos ir darbo organizavimo rezultatų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4D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kaitos įstaigoje rodiklis (DKR)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4E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4F" w14:textId="77777777" w:rsidR="001C6EB2" w:rsidRDefault="001C6EB2">
            <w:pPr>
              <w:widowControl w:val="0"/>
              <w:suppressAutoHyphens/>
              <w:spacing w:line="256" w:lineRule="auto"/>
              <w:ind w:firstLine="33"/>
              <w:jc w:val="both"/>
              <w:rPr>
                <w:sz w:val="20"/>
                <w:lang w:eastAsia="lt-LT"/>
              </w:rPr>
            </w:pPr>
            <w:r>
              <w:rPr>
                <w:sz w:val="20"/>
              </w:rPr>
              <w:t xml:space="preserve">Darbuotojų kaitos įstaigoje </w:t>
            </w:r>
            <w:r>
              <w:rPr>
                <w:sz w:val="20"/>
                <w:lang w:eastAsia="lt-LT"/>
              </w:rPr>
              <w:t>rodiklis apskaičiuojamas pagal formulę:</w:t>
            </w:r>
          </w:p>
          <w:p w14:paraId="48C44850" w14:textId="77777777" w:rsidR="001C6EB2" w:rsidRDefault="00424B73">
            <w:pPr>
              <w:tabs>
                <w:tab w:val="left" w:pos="709"/>
              </w:tabs>
              <w:spacing w:line="256" w:lineRule="auto"/>
              <w:jc w:val="both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  <m:t xml:space="preserve">(Atleistų darbuotojų skaičius +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  <m:t>naujai priimtų darbuotojų skaičius) / 2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lt-LT"/>
                      </w:rPr>
                      <m:t>Įstaigoje dirbančių darbuotojų skaičiaus paskutinę metų darbo dieną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</w:tc>
      </w:tr>
      <w:tr w:rsidR="001C6EB2" w14:paraId="48C44857" w14:textId="77777777" w:rsidTr="00560F80">
        <w:trPr>
          <w:trHeight w:val="4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52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53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54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55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56" w14:textId="77777777" w:rsidR="001C6EB2" w:rsidRDefault="00405CC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C6EB2" w:rsidRPr="006E4EFB">
              <w:rPr>
                <w:sz w:val="22"/>
                <w:szCs w:val="22"/>
              </w:rPr>
              <w:t xml:space="preserve"> % ir mažiau</w:t>
            </w:r>
          </w:p>
        </w:tc>
      </w:tr>
      <w:tr w:rsidR="001C6EB2" w14:paraId="48C4485D" w14:textId="77777777" w:rsidTr="00560F80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58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59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5A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5B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5C" w14:textId="77777777" w:rsidR="001C6EB2" w:rsidRDefault="00BA1DE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C6EB2">
              <w:rPr>
                <w:sz w:val="22"/>
                <w:szCs w:val="22"/>
              </w:rPr>
              <w:t xml:space="preserve"> % ir daugiau</w:t>
            </w:r>
          </w:p>
        </w:tc>
      </w:tr>
      <w:tr w:rsidR="001C6EB2" w14:paraId="48C4485F" w14:textId="77777777" w:rsidTr="002774F6">
        <w:trPr>
          <w:trHeight w:val="242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5E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1C6EB2" w14:paraId="48C44867" w14:textId="77777777" w:rsidTr="00560F80">
        <w:trPr>
          <w:trHeight w:val="11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60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6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Siekti, kad didėtų prioritetinių paslaugų dalis teikiamų paslaugų struktūroje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62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Prioritetinių paslaugų teikimo dinamika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63" w14:textId="77777777" w:rsidR="001C6EB2" w:rsidRPr="00FE4904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E4904">
              <w:rPr>
                <w:b/>
                <w:sz w:val="22"/>
                <w:szCs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864" w14:textId="77777777" w:rsidR="005A74CB" w:rsidRDefault="001C6EB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 xml:space="preserve">Prioritetinių paslaugų teikimo </w:t>
            </w:r>
            <w:r>
              <w:rPr>
                <w:sz w:val="22"/>
                <w:szCs w:val="22"/>
                <w:lang w:eastAsia="lt-LT"/>
              </w:rPr>
              <w:t>rodiklis apskaičiuojamas pagal formulę:</w:t>
            </w:r>
          </w:p>
          <w:p w14:paraId="48C44865" w14:textId="77777777" w:rsidR="001C6EB2" w:rsidRPr="005A74CB" w:rsidRDefault="001C6EB2">
            <w:pPr>
              <w:spacing w:line="256" w:lineRule="auto"/>
              <w:rPr>
                <w:sz w:val="22"/>
                <w:szCs w:val="22"/>
                <w:lang w:eastAsia="lt-L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eastAsia="lt-LT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lt-LT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  <m:t xml:space="preserve">(Einamaisiais metais suteiktų prioritetinių paslaugų skaičius-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lang w:eastAsia="lt-LT"/>
                          </w:rPr>
                          <m:t>praėjusiais metais suteiktų prioritetinių paslaugų skaičius)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lt-LT"/>
                      </w:rPr>
                      <m:t>Praėjusiais metais suteiktų prioritetinių paslaugų skaičius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x 100 %</m:t>
                </m:r>
              </m:oMath>
            </m:oMathPara>
          </w:p>
          <w:p w14:paraId="48C44866" w14:textId="77777777" w:rsidR="001C6EB2" w:rsidRDefault="001C6EB2">
            <w:pPr>
              <w:spacing w:line="256" w:lineRule="auto"/>
              <w:rPr>
                <w:sz w:val="20"/>
              </w:rPr>
            </w:pPr>
          </w:p>
        </w:tc>
      </w:tr>
      <w:tr w:rsidR="001C6EB2" w14:paraId="48C4486D" w14:textId="77777777" w:rsidTr="00560F80">
        <w:trPr>
          <w:trHeight w:val="2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68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69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6A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6B" w14:textId="77777777" w:rsidR="001C6EB2" w:rsidRPr="006E4EFB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E4EF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6C" w14:textId="77777777" w:rsidR="001C6EB2" w:rsidRPr="006E4EFB" w:rsidRDefault="001C6EB2">
            <w:pPr>
              <w:spacing w:line="256" w:lineRule="auto"/>
              <w:rPr>
                <w:sz w:val="22"/>
                <w:szCs w:val="22"/>
              </w:rPr>
            </w:pPr>
            <w:r w:rsidRPr="006E4EFB">
              <w:rPr>
                <w:b/>
                <w:sz w:val="22"/>
                <w:szCs w:val="22"/>
              </w:rPr>
              <w:t>71 %</w:t>
            </w:r>
            <w:r w:rsidRPr="006E4EFB">
              <w:rPr>
                <w:sz w:val="22"/>
                <w:szCs w:val="22"/>
              </w:rPr>
              <w:t xml:space="preserve"> ir daugiau</w:t>
            </w:r>
          </w:p>
        </w:tc>
      </w:tr>
      <w:tr w:rsidR="001C6EB2" w14:paraId="48C44873" w14:textId="77777777" w:rsidTr="00560F80">
        <w:trPr>
          <w:trHeight w:val="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6E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6F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70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71" w14:textId="77777777" w:rsidR="001C6EB2" w:rsidRPr="006E4EFB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E4EF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72" w14:textId="77777777" w:rsidR="001C6EB2" w:rsidRPr="006E4EFB" w:rsidRDefault="001C6EB2">
            <w:pPr>
              <w:spacing w:line="256" w:lineRule="auto"/>
              <w:rPr>
                <w:sz w:val="22"/>
                <w:szCs w:val="22"/>
              </w:rPr>
            </w:pPr>
            <w:r w:rsidRPr="006E4EFB">
              <w:rPr>
                <w:b/>
                <w:sz w:val="22"/>
                <w:szCs w:val="22"/>
              </w:rPr>
              <w:t>70 %</w:t>
            </w:r>
            <w:r w:rsidRPr="006E4EFB">
              <w:rPr>
                <w:sz w:val="22"/>
                <w:szCs w:val="22"/>
              </w:rPr>
              <w:t xml:space="preserve"> ir mažiau</w:t>
            </w:r>
          </w:p>
        </w:tc>
      </w:tr>
      <w:tr w:rsidR="001C6EB2" w14:paraId="48C44875" w14:textId="77777777" w:rsidTr="002774F6">
        <w:trPr>
          <w:trHeight w:val="271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74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1C6EB2" w14:paraId="48C4487A" w14:textId="77777777" w:rsidTr="00560F80">
        <w:trPr>
          <w:trHeight w:val="3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76" w14:textId="77777777" w:rsidR="001C6EB2" w:rsidRDefault="004B229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77" w14:textId="77777777" w:rsidR="001C6EB2" w:rsidRDefault="00D6452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Gydymo įstaigose diegti ir plėtoti informacines technologijas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78" w14:textId="77777777" w:rsidR="001C6EB2" w:rsidRDefault="004B229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Informacinių technologijų diegimo ir plėtros lygis (pacientų elektroninės registracijos sistema, įstaigos interneto svetainės išsamumas, darbuotojų darbo krūvio apskaita, įstaigos dalyvavimo elektroninėje sveikatos sistemoje mastas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79" w14:textId="77777777" w:rsidR="001C6EB2" w:rsidRDefault="001C6EB2">
            <w:pPr>
              <w:spacing w:line="256" w:lineRule="auto"/>
              <w:rPr>
                <w:b/>
                <w:bCs/>
                <w:i/>
                <w:iCs/>
                <w:sz w:val="22"/>
                <w:szCs w:val="22"/>
                <w:lang w:eastAsia="lt-LT"/>
              </w:rPr>
            </w:pPr>
          </w:p>
        </w:tc>
      </w:tr>
      <w:tr w:rsidR="001C6EB2" w14:paraId="48C44880" w14:textId="77777777" w:rsidTr="00560F80">
        <w:trPr>
          <w:trHeight w:val="5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7B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7C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7D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7E" w14:textId="77777777" w:rsidR="001C6EB2" w:rsidRDefault="00BB0CD1" w:rsidP="00B02F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87F" w14:textId="77777777" w:rsidR="001C6EB2" w:rsidRPr="00E414FE" w:rsidRDefault="004D3BB3">
            <w:pPr>
              <w:spacing w:line="256" w:lineRule="auto"/>
              <w:rPr>
                <w:b/>
                <w:bCs/>
                <w:iCs/>
                <w:sz w:val="22"/>
                <w:szCs w:val="22"/>
                <w:lang w:eastAsia="lt-LT"/>
              </w:rPr>
            </w:pPr>
            <w:r w:rsidRPr="00E414FE">
              <w:rPr>
                <w:b/>
                <w:bCs/>
                <w:iCs/>
                <w:sz w:val="22"/>
                <w:szCs w:val="22"/>
                <w:lang w:eastAsia="lt-LT"/>
              </w:rPr>
              <w:t>Pacientų duomenų teikimo į Elektroninės sveikatos paslaugų ir bendradarbiavimo infrastruktūros informacinę sistemą</w:t>
            </w:r>
            <w:r w:rsidR="00532008">
              <w:rPr>
                <w:b/>
                <w:bCs/>
                <w:iCs/>
                <w:sz w:val="22"/>
                <w:szCs w:val="22"/>
                <w:lang w:eastAsia="lt-LT"/>
              </w:rPr>
              <w:t xml:space="preserve"> </w:t>
            </w:r>
            <w:r w:rsidR="004C0C79">
              <w:rPr>
                <w:b/>
                <w:bCs/>
                <w:iCs/>
                <w:sz w:val="22"/>
                <w:szCs w:val="22"/>
                <w:lang w:eastAsia="lt-LT"/>
              </w:rPr>
              <w:t>(</w:t>
            </w:r>
            <w:r w:rsidR="00532008">
              <w:rPr>
                <w:b/>
                <w:bCs/>
                <w:iCs/>
                <w:sz w:val="22"/>
                <w:szCs w:val="22"/>
                <w:lang w:eastAsia="lt-LT"/>
              </w:rPr>
              <w:t>ESPBI IS</w:t>
            </w:r>
            <w:r w:rsidR="004C0C79">
              <w:rPr>
                <w:b/>
                <w:bCs/>
                <w:iCs/>
                <w:sz w:val="22"/>
                <w:szCs w:val="22"/>
                <w:lang w:eastAsia="lt-LT"/>
              </w:rPr>
              <w:t>)</w:t>
            </w:r>
          </w:p>
        </w:tc>
      </w:tr>
      <w:tr w:rsidR="009F5DA5" w14:paraId="48C44886" w14:textId="77777777" w:rsidTr="009F5DA5">
        <w:trPr>
          <w:trHeight w:val="6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81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82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83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44884" w14:textId="77777777" w:rsidR="009F5DA5" w:rsidRDefault="009F5DA5" w:rsidP="00A419A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85" w14:textId="77777777" w:rsidR="009F5DA5" w:rsidRPr="00FE7413" w:rsidRDefault="009F5DA5" w:rsidP="005A05DF">
            <w:pPr>
              <w:spacing w:line="256" w:lineRule="auto"/>
              <w:rPr>
                <w:iCs/>
                <w:sz w:val="22"/>
                <w:szCs w:val="22"/>
                <w:lang w:eastAsia="lt-LT"/>
              </w:rPr>
            </w:pPr>
            <w:r w:rsidRPr="00FE7413">
              <w:rPr>
                <w:iCs/>
                <w:sz w:val="22"/>
                <w:szCs w:val="22"/>
                <w:lang w:eastAsia="lt-LT"/>
              </w:rPr>
              <w:t>Įvykdytas Programos kriterijus „Kompensuojamųjų vaistų, išrašytų naudojant e. recepto paslaugą, dalis“, nurodant absoliutų skaičių ir procentinę dalį;</w:t>
            </w:r>
          </w:p>
        </w:tc>
      </w:tr>
      <w:tr w:rsidR="009F5DA5" w14:paraId="48C4488C" w14:textId="77777777" w:rsidTr="009F5DA5">
        <w:trPr>
          <w:trHeight w:val="8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87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88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89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8A" w14:textId="77777777" w:rsidR="009F5DA5" w:rsidRDefault="009F5DA5" w:rsidP="00635B4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8B" w14:textId="77777777" w:rsidR="009F5DA5" w:rsidRPr="00FE7413" w:rsidRDefault="009F5DA5">
            <w:pPr>
              <w:spacing w:line="256" w:lineRule="auto"/>
              <w:rPr>
                <w:iCs/>
                <w:sz w:val="22"/>
                <w:szCs w:val="22"/>
                <w:lang w:eastAsia="lt-LT"/>
              </w:rPr>
            </w:pPr>
            <w:r w:rsidRPr="00FE7413">
              <w:rPr>
                <w:iCs/>
                <w:sz w:val="22"/>
                <w:szCs w:val="22"/>
                <w:lang w:eastAsia="lt-LT"/>
              </w:rPr>
              <w:t xml:space="preserve">Įstaiga per </w:t>
            </w:r>
            <w:r w:rsidRPr="00FE7413">
              <w:rPr>
                <w:color w:val="000000"/>
                <w:sz w:val="22"/>
                <w:szCs w:val="22"/>
                <w:bdr w:val="none" w:sz="0" w:space="0" w:color="auto" w:frame="1"/>
              </w:rPr>
              <w:t>ESPBI IS keičiasi duomenimis statistinių ir klinikinių duomenų rinkinių apraše nustatyta apimtimi</w:t>
            </w:r>
            <w:r w:rsidRPr="00FE7413">
              <w:rPr>
                <w:iCs/>
                <w:sz w:val="22"/>
                <w:szCs w:val="22"/>
                <w:lang w:eastAsia="lt-LT"/>
              </w:rPr>
              <w:t>;</w:t>
            </w:r>
          </w:p>
        </w:tc>
      </w:tr>
      <w:tr w:rsidR="009F5DA5" w14:paraId="48C44892" w14:textId="77777777" w:rsidTr="009F5DA5">
        <w:trPr>
          <w:trHeight w:val="5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8D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8E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8F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44890" w14:textId="77777777" w:rsidR="009F5DA5" w:rsidRDefault="009F5DA5" w:rsidP="00233B7F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91" w14:textId="77777777" w:rsidR="009F5DA5" w:rsidRPr="00FE7413" w:rsidRDefault="009F5DA5" w:rsidP="0092515A">
            <w:pPr>
              <w:spacing w:line="256" w:lineRule="auto"/>
              <w:ind w:firstLine="33"/>
              <w:rPr>
                <w:iCs/>
                <w:sz w:val="22"/>
                <w:szCs w:val="22"/>
                <w:lang w:eastAsia="lt-LT"/>
              </w:rPr>
            </w:pPr>
            <w:r w:rsidRPr="00FE7413">
              <w:rPr>
                <w:iCs/>
                <w:sz w:val="22"/>
                <w:szCs w:val="22"/>
                <w:lang w:eastAsia="lt-LT"/>
              </w:rPr>
              <w:t>Duomenys teikiami į ESPBI IS</w:t>
            </w:r>
          </w:p>
        </w:tc>
      </w:tr>
      <w:tr w:rsidR="009F5DA5" w14:paraId="48C44898" w14:textId="77777777" w:rsidTr="001A640D">
        <w:trPr>
          <w:trHeight w:val="8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93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94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95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44896" w14:textId="77777777" w:rsidR="009F5DA5" w:rsidRDefault="009F5D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97" w14:textId="77777777" w:rsidR="009F5DA5" w:rsidRPr="00FE7413" w:rsidRDefault="009F5DA5" w:rsidP="0092515A">
            <w:pPr>
              <w:spacing w:line="256" w:lineRule="auto"/>
              <w:ind w:firstLine="33"/>
              <w:rPr>
                <w:iCs/>
                <w:sz w:val="22"/>
                <w:szCs w:val="22"/>
                <w:lang w:eastAsia="lt-LT"/>
              </w:rPr>
            </w:pPr>
            <w:r w:rsidRPr="00FE7413">
              <w:rPr>
                <w:iCs/>
                <w:sz w:val="22"/>
                <w:szCs w:val="22"/>
                <w:lang w:eastAsia="lt-LT"/>
              </w:rPr>
              <w:t>Visų pacientų atvykimo (</w:t>
            </w:r>
            <w:proofErr w:type="spellStart"/>
            <w:r w:rsidRPr="00FE7413">
              <w:rPr>
                <w:iCs/>
                <w:sz w:val="22"/>
                <w:szCs w:val="22"/>
                <w:lang w:eastAsia="lt-LT"/>
              </w:rPr>
              <w:t>Encounter</w:t>
            </w:r>
            <w:proofErr w:type="spellEnd"/>
            <w:r w:rsidRPr="00FE7413">
              <w:rPr>
                <w:iCs/>
                <w:sz w:val="22"/>
                <w:szCs w:val="22"/>
                <w:lang w:eastAsia="lt-LT"/>
              </w:rPr>
              <w:t>) į įstaigą registracijos duomenys teikiami į ESPBI IS;</w:t>
            </w:r>
          </w:p>
        </w:tc>
      </w:tr>
      <w:tr w:rsidR="009F5DA5" w14:paraId="48C4489E" w14:textId="77777777" w:rsidTr="001A640D">
        <w:trPr>
          <w:trHeight w:val="8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99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9A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9B" w14:textId="77777777" w:rsidR="009F5DA5" w:rsidRDefault="009F5DA5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89C" w14:textId="77777777" w:rsidR="009F5DA5" w:rsidRDefault="009F5DA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9D" w14:textId="77777777" w:rsidR="009F5DA5" w:rsidRPr="00FE7413" w:rsidRDefault="009F5DA5" w:rsidP="0092515A">
            <w:pPr>
              <w:spacing w:line="256" w:lineRule="auto"/>
              <w:ind w:firstLine="33"/>
              <w:rPr>
                <w:iCs/>
                <w:sz w:val="22"/>
                <w:szCs w:val="22"/>
                <w:lang w:eastAsia="lt-LT"/>
              </w:rPr>
            </w:pPr>
            <w:r w:rsidRPr="00FE7413">
              <w:rPr>
                <w:iCs/>
                <w:sz w:val="22"/>
                <w:szCs w:val="22"/>
                <w:lang w:eastAsia="lt-LT"/>
              </w:rPr>
              <w:t>Jei paslaugoms gauti toje įstaigoje galima registruotis Išankstinės pacientų registracijos sistema arba naudojamasi telemedicinos sprendimais (</w:t>
            </w:r>
            <w:proofErr w:type="spellStart"/>
            <w:r w:rsidRPr="00FE7413">
              <w:rPr>
                <w:iCs/>
                <w:sz w:val="22"/>
                <w:szCs w:val="22"/>
                <w:lang w:eastAsia="lt-LT"/>
              </w:rPr>
              <w:t>telekardiologijos</w:t>
            </w:r>
            <w:proofErr w:type="spellEnd"/>
            <w:r w:rsidRPr="00FE7413">
              <w:rPr>
                <w:iCs/>
                <w:sz w:val="22"/>
                <w:szCs w:val="22"/>
                <w:lang w:eastAsia="lt-LT"/>
              </w:rPr>
              <w:t xml:space="preserve"> ar </w:t>
            </w:r>
            <w:proofErr w:type="spellStart"/>
            <w:r w:rsidRPr="00FE7413">
              <w:rPr>
                <w:iCs/>
                <w:sz w:val="22"/>
                <w:szCs w:val="22"/>
                <w:lang w:eastAsia="lt-LT"/>
              </w:rPr>
              <w:t>teleradiologijos</w:t>
            </w:r>
            <w:proofErr w:type="spellEnd"/>
            <w:r w:rsidRPr="00FE7413">
              <w:rPr>
                <w:iCs/>
                <w:sz w:val="22"/>
                <w:szCs w:val="22"/>
                <w:lang w:eastAsia="lt-LT"/>
              </w:rPr>
              <w:t>);</w:t>
            </w:r>
          </w:p>
        </w:tc>
      </w:tr>
      <w:tr w:rsidR="00780C40" w14:paraId="48C448A4" w14:textId="77777777" w:rsidTr="005F7828">
        <w:trPr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9F" w14:textId="77777777" w:rsidR="00780C40" w:rsidRDefault="00780C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A0" w14:textId="77777777" w:rsidR="00780C40" w:rsidRDefault="00780C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A1" w14:textId="77777777" w:rsidR="00780C40" w:rsidRDefault="00780C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8A2" w14:textId="77777777" w:rsidR="00780C40" w:rsidRDefault="00A8703F" w:rsidP="00635B4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A3" w14:textId="77777777" w:rsidR="00780C40" w:rsidRPr="00780C40" w:rsidRDefault="00780C40" w:rsidP="00BA3F89">
            <w:pPr>
              <w:spacing w:line="256" w:lineRule="auto"/>
              <w:ind w:firstLine="33"/>
              <w:rPr>
                <w:b/>
                <w:iCs/>
                <w:sz w:val="22"/>
                <w:szCs w:val="22"/>
                <w:highlight w:val="green"/>
                <w:lang w:eastAsia="lt-LT"/>
              </w:rPr>
            </w:pPr>
            <w:r w:rsidRPr="00780C40">
              <w:rPr>
                <w:b/>
                <w:iCs/>
                <w:sz w:val="22"/>
                <w:szCs w:val="22"/>
                <w:lang w:eastAsia="lt-LT"/>
              </w:rPr>
              <w:t>Informacinių technologijų panaudojimas valdant įstaigą</w:t>
            </w:r>
            <w:r w:rsidR="00333DDD">
              <w:rPr>
                <w:b/>
                <w:iCs/>
                <w:sz w:val="22"/>
                <w:szCs w:val="22"/>
                <w:lang w:eastAsia="lt-LT"/>
              </w:rPr>
              <w:t xml:space="preserve"> </w:t>
            </w:r>
          </w:p>
        </w:tc>
      </w:tr>
      <w:tr w:rsidR="001C6EB2" w14:paraId="48C448AA" w14:textId="77777777" w:rsidTr="00560F80">
        <w:trPr>
          <w:trHeight w:val="5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A5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A6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A7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A8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A9" w14:textId="77777777" w:rsidR="001C6EB2" w:rsidRDefault="001C6EB2">
            <w:pPr>
              <w:spacing w:line="256" w:lineRule="auto"/>
              <w:ind w:firstLine="33"/>
              <w:jc w:val="both"/>
              <w:rPr>
                <w:bCs/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Įdiegta su pacientu susieta vaistų ir kitų medicinos priemonių panaudojimo apskaitos sistema;</w:t>
            </w:r>
          </w:p>
        </w:tc>
      </w:tr>
      <w:tr w:rsidR="001C6EB2" w14:paraId="48C448B0" w14:textId="77777777" w:rsidTr="00560F80">
        <w:trPr>
          <w:trHeight w:val="5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AB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AC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AD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AE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AF" w14:textId="77777777" w:rsidR="001C6EB2" w:rsidRDefault="001C6EB2">
            <w:pPr>
              <w:spacing w:line="256" w:lineRule="auto"/>
              <w:ind w:firstLine="33"/>
              <w:jc w:val="both"/>
              <w:rPr>
                <w:bCs/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Įdiegta elektroninė dokumentų valdymo sistema, užtikrinanti visų vidaus ir išorės dokumentų elektroninį tvarkymą;</w:t>
            </w:r>
          </w:p>
        </w:tc>
      </w:tr>
      <w:tr w:rsidR="001C6EB2" w14:paraId="48C448B6" w14:textId="77777777" w:rsidTr="00560F80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2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3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B4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B5" w14:textId="77777777" w:rsidR="001C6EB2" w:rsidRDefault="001C6EB2">
            <w:pPr>
              <w:spacing w:line="256" w:lineRule="auto"/>
              <w:ind w:firstLine="33"/>
              <w:jc w:val="both"/>
              <w:rPr>
                <w:bCs/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Įstaigos interneto svetainė yra reguliariai atnaujinama;</w:t>
            </w:r>
          </w:p>
        </w:tc>
      </w:tr>
      <w:tr w:rsidR="001C6EB2" w14:paraId="48C448BC" w14:textId="77777777" w:rsidTr="00560F80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7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8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9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BA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BB" w14:textId="77777777" w:rsidR="001C6EB2" w:rsidRDefault="001C6EB2">
            <w:pPr>
              <w:spacing w:line="256" w:lineRule="auto"/>
              <w:ind w:firstLine="33"/>
              <w:jc w:val="both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Per praėjusius metus įdiegus naują ar modernizavus esamą sistemą (visiškai kompiuterizavus tam tikrą vieną veiklą, pvz., darbuotojų darbo krūvio apskaitą) papildomai skiriamas 1 balas.</w:t>
            </w:r>
          </w:p>
        </w:tc>
      </w:tr>
      <w:tr w:rsidR="001C6EB2" w14:paraId="48C448C2" w14:textId="77777777" w:rsidTr="00560F80">
        <w:trPr>
          <w:trHeight w:val="3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D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E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BF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C0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C1" w14:textId="77777777" w:rsidR="001C6EB2" w:rsidRPr="004D3BB3" w:rsidRDefault="004D3BB3">
            <w:pPr>
              <w:spacing w:line="256" w:lineRule="auto"/>
              <w:ind w:firstLine="33"/>
              <w:jc w:val="both"/>
              <w:rPr>
                <w:b/>
                <w:iCs/>
                <w:sz w:val="22"/>
                <w:szCs w:val="22"/>
                <w:lang w:eastAsia="lt-LT"/>
              </w:rPr>
            </w:pPr>
            <w:r w:rsidRPr="004D3BB3">
              <w:rPr>
                <w:b/>
                <w:iCs/>
                <w:sz w:val="22"/>
                <w:szCs w:val="22"/>
                <w:lang w:eastAsia="lt-LT"/>
              </w:rPr>
              <w:t>Papildomų rodiklių vertinimas</w:t>
            </w:r>
          </w:p>
        </w:tc>
      </w:tr>
      <w:tr w:rsidR="001C6EB2" w14:paraId="48C448C8" w14:textId="77777777" w:rsidTr="00560F80">
        <w:trPr>
          <w:trHeight w:val="4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C3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C4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C5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C6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C7" w14:textId="77777777" w:rsidR="001C6EB2" w:rsidRDefault="004D3BB3">
            <w:pPr>
              <w:spacing w:line="256" w:lineRule="auto"/>
              <w:ind w:firstLine="33"/>
              <w:jc w:val="both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Jei įstaigoje kompiuterizuotos visos darbo vietos skiriamas 1 balas</w:t>
            </w:r>
          </w:p>
        </w:tc>
      </w:tr>
      <w:tr w:rsidR="004D3BB3" w14:paraId="48C448CE" w14:textId="77777777" w:rsidTr="00560F80">
        <w:trPr>
          <w:trHeight w:val="4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C9" w14:textId="77777777" w:rsidR="004D3BB3" w:rsidRDefault="004D3BB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CA" w14:textId="77777777" w:rsidR="004D3BB3" w:rsidRDefault="004D3BB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8CB" w14:textId="77777777" w:rsidR="004D3BB3" w:rsidRDefault="004D3BB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48CC" w14:textId="77777777" w:rsidR="004D3BB3" w:rsidRDefault="004D3BB3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CD" w14:textId="77777777" w:rsidR="004D3BB3" w:rsidRDefault="004D3BB3">
            <w:pPr>
              <w:spacing w:line="256" w:lineRule="auto"/>
              <w:ind w:firstLine="33"/>
              <w:jc w:val="both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Jei įstaigoje nereglamentuotas IS naudojimas, duomenų sauga ar neatliekami kiti privalomi IS valdymo ir tvarkytojo veiksmai</w:t>
            </w:r>
          </w:p>
        </w:tc>
      </w:tr>
      <w:tr w:rsidR="001C6EB2" w14:paraId="48C448D4" w14:textId="77777777" w:rsidTr="00560F80">
        <w:trPr>
          <w:trHeight w:val="3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CF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D0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D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D2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D3" w14:textId="77777777" w:rsidR="001C6EB2" w:rsidRPr="00FE7413" w:rsidRDefault="001C6EB2">
            <w:pPr>
              <w:spacing w:line="256" w:lineRule="auto"/>
              <w:ind w:firstLine="15"/>
              <w:jc w:val="both"/>
              <w:rPr>
                <w:iCs/>
                <w:sz w:val="22"/>
                <w:szCs w:val="22"/>
                <w:lang w:eastAsia="lt-LT"/>
              </w:rPr>
            </w:pPr>
            <w:r w:rsidRPr="00FE7413">
              <w:rPr>
                <w:iCs/>
                <w:sz w:val="22"/>
                <w:szCs w:val="22"/>
                <w:lang w:eastAsia="lt-LT"/>
              </w:rPr>
              <w:t>Duomenys neteikiami į ESPBI IS,</w:t>
            </w:r>
          </w:p>
        </w:tc>
      </w:tr>
      <w:tr w:rsidR="001C6EB2" w14:paraId="48C448DA" w14:textId="77777777" w:rsidTr="00560F80">
        <w:trPr>
          <w:trHeight w:val="5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D5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D6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D7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D8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D9" w14:textId="77777777" w:rsidR="001C6EB2" w:rsidRPr="00FE7413" w:rsidRDefault="001C6EB2">
            <w:pPr>
              <w:spacing w:line="256" w:lineRule="auto"/>
              <w:ind w:firstLine="15"/>
              <w:jc w:val="both"/>
              <w:rPr>
                <w:iCs/>
                <w:sz w:val="22"/>
                <w:szCs w:val="22"/>
                <w:lang w:eastAsia="lt-LT"/>
              </w:rPr>
            </w:pPr>
            <w:r w:rsidRPr="00FE7413">
              <w:rPr>
                <w:iCs/>
                <w:sz w:val="22"/>
                <w:szCs w:val="22"/>
                <w:lang w:eastAsia="lt-LT"/>
              </w:rPr>
              <w:t>Visų pacientų atvykimo (</w:t>
            </w:r>
            <w:proofErr w:type="spellStart"/>
            <w:r w:rsidRPr="00FE7413">
              <w:rPr>
                <w:iCs/>
                <w:sz w:val="22"/>
                <w:szCs w:val="22"/>
                <w:lang w:eastAsia="lt-LT"/>
              </w:rPr>
              <w:t>Encounter</w:t>
            </w:r>
            <w:proofErr w:type="spellEnd"/>
            <w:r w:rsidRPr="00FE7413">
              <w:rPr>
                <w:iCs/>
                <w:sz w:val="22"/>
                <w:szCs w:val="22"/>
                <w:lang w:eastAsia="lt-LT"/>
              </w:rPr>
              <w:t>) į įstaigą registracijos duomenys neteikiami į ESPBI IS</w:t>
            </w:r>
          </w:p>
        </w:tc>
      </w:tr>
      <w:tr w:rsidR="001C6EB2" w14:paraId="48C448E0" w14:textId="77777777" w:rsidTr="00560F80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DB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DC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DD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DE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DF" w14:textId="77777777" w:rsidR="001C6EB2" w:rsidRPr="00FE7413" w:rsidRDefault="001C6EB2">
            <w:pPr>
              <w:spacing w:line="256" w:lineRule="auto"/>
              <w:ind w:firstLine="15"/>
              <w:jc w:val="both"/>
              <w:rPr>
                <w:iCs/>
                <w:sz w:val="22"/>
                <w:szCs w:val="22"/>
                <w:lang w:eastAsia="lt-LT"/>
              </w:rPr>
            </w:pPr>
            <w:r w:rsidRPr="00FE7413">
              <w:rPr>
                <w:iCs/>
                <w:sz w:val="22"/>
                <w:szCs w:val="22"/>
                <w:lang w:eastAsia="lt-LT"/>
              </w:rPr>
              <w:t>Neįvykdytas Programos kriterijus „Kompensuojamųjų vaistų, išrašytų naudojant e. recepto paslaugą, dalis“.</w:t>
            </w:r>
          </w:p>
        </w:tc>
      </w:tr>
      <w:tr w:rsidR="001C6EB2" w14:paraId="48C448E6" w14:textId="77777777" w:rsidTr="00560F80">
        <w:trPr>
          <w:trHeight w:val="5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E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E2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E3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E4" w14:textId="77777777" w:rsidR="001C6EB2" w:rsidRDefault="001C6EB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E5" w14:textId="77777777" w:rsidR="001C6EB2" w:rsidRPr="00FE7413" w:rsidRDefault="001C6EB2">
            <w:pPr>
              <w:spacing w:line="256" w:lineRule="auto"/>
              <w:ind w:firstLine="15"/>
              <w:jc w:val="both"/>
              <w:rPr>
                <w:iCs/>
                <w:sz w:val="22"/>
                <w:szCs w:val="22"/>
                <w:lang w:eastAsia="lt-LT"/>
              </w:rPr>
            </w:pPr>
            <w:r w:rsidRPr="00FE7413">
              <w:rPr>
                <w:iCs/>
                <w:sz w:val="22"/>
                <w:szCs w:val="22"/>
                <w:lang w:eastAsia="lt-LT"/>
              </w:rPr>
              <w:t xml:space="preserve">Įstaiga per </w:t>
            </w:r>
            <w:r w:rsidRPr="00FE7413">
              <w:rPr>
                <w:color w:val="000000"/>
                <w:sz w:val="22"/>
                <w:szCs w:val="22"/>
                <w:bdr w:val="none" w:sz="0" w:space="0" w:color="auto" w:frame="1"/>
              </w:rPr>
              <w:t>ESPBI IS nesikeičia ar keičiasi duomenimis statistinių ir klinikinių duomenų rinkinių apraše nustatyta nepilna apimtimi</w:t>
            </w:r>
          </w:p>
        </w:tc>
      </w:tr>
      <w:tr w:rsidR="001C6EB2" w14:paraId="48C448ED" w14:textId="77777777" w:rsidTr="002774F6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E7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E8" w14:textId="77777777" w:rsidR="00BB0CD1" w:rsidRDefault="004D3BB3">
            <w:pPr>
              <w:spacing w:line="256" w:lineRule="auto"/>
              <w:rPr>
                <w:bCs/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lt-LT"/>
              </w:rPr>
              <w:t>Skaičiavimo metodika</w:t>
            </w:r>
            <w:r w:rsidR="00BB0CD1">
              <w:rPr>
                <w:b/>
                <w:bCs/>
                <w:i/>
                <w:iCs/>
                <w:sz w:val="22"/>
                <w:szCs w:val="22"/>
                <w:lang w:eastAsia="lt-LT"/>
              </w:rPr>
              <w:t>:</w:t>
            </w:r>
          </w:p>
          <w:p w14:paraId="48C448E9" w14:textId="77777777" w:rsidR="001C6EB2" w:rsidRPr="003D4EAF" w:rsidRDefault="001C6EB2">
            <w:pPr>
              <w:spacing w:line="256" w:lineRule="auto"/>
              <w:rPr>
                <w:b/>
                <w:sz w:val="22"/>
                <w:szCs w:val="22"/>
                <w:lang w:eastAsia="lt-LT"/>
              </w:rPr>
            </w:pPr>
            <w:r w:rsidRPr="003D4EAF">
              <w:rPr>
                <w:b/>
                <w:bCs/>
                <w:iCs/>
                <w:sz w:val="22"/>
                <w:szCs w:val="22"/>
                <w:lang w:eastAsia="lt-LT"/>
              </w:rPr>
              <w:t>9.1.Pacientų duomenų teikimo į ESPBI IS lygis pagal Programą (</w:t>
            </w:r>
            <w:r w:rsidRPr="003D4EAF">
              <w:rPr>
                <w:b/>
                <w:sz w:val="22"/>
                <w:szCs w:val="22"/>
                <w:lang w:eastAsia="lt-LT"/>
              </w:rPr>
              <w:t>bendra suma neturi viršyti 9 balų)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EA" w14:textId="77777777" w:rsidR="00BB0CD1" w:rsidRDefault="00BB0CD1">
            <w:pPr>
              <w:spacing w:line="256" w:lineRule="auto"/>
              <w:rPr>
                <w:sz w:val="22"/>
                <w:szCs w:val="22"/>
              </w:rPr>
            </w:pPr>
          </w:p>
          <w:p w14:paraId="48C448EB" w14:textId="77777777" w:rsidR="00BB0CD1" w:rsidRDefault="00BB0CD1">
            <w:pPr>
              <w:spacing w:line="256" w:lineRule="auto"/>
              <w:rPr>
                <w:sz w:val="22"/>
                <w:szCs w:val="22"/>
              </w:rPr>
            </w:pPr>
          </w:p>
          <w:p w14:paraId="48C448EC" w14:textId="77777777" w:rsidR="001C6EB2" w:rsidRDefault="001C6EB2">
            <w:pPr>
              <w:spacing w:line="256" w:lineRule="auto"/>
              <w:rPr>
                <w:bCs/>
                <w:iCs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Rodiklių lyginamasis svoris</w:t>
            </w:r>
            <w:r>
              <w:rPr>
                <w:bCs/>
                <w:iCs/>
                <w:sz w:val="22"/>
                <w:szCs w:val="22"/>
                <w:lang w:eastAsia="lt-LT"/>
              </w:rPr>
              <w:t xml:space="preserve"> </w:t>
            </w:r>
          </w:p>
        </w:tc>
      </w:tr>
      <w:tr w:rsidR="001C6EB2" w14:paraId="48C448F3" w14:textId="77777777" w:rsidTr="00560F80">
        <w:trPr>
          <w:trHeight w:val="3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EE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8EF" w14:textId="77777777" w:rsidR="001C6EB2" w:rsidRDefault="001C6EB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F0" w14:textId="77777777" w:rsidR="001C6EB2" w:rsidRDefault="001C6EB2">
            <w:pPr>
              <w:spacing w:line="256" w:lineRule="auto"/>
              <w:ind w:left="38" w:hanging="38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9.1.1. duomenų teikimas į ESPBI 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F1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F2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6EB2" w14:paraId="48C448F9" w14:textId="77777777" w:rsidTr="00560F80">
        <w:trPr>
          <w:trHeight w:val="4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F4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F5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F6" w14:textId="77777777" w:rsidR="001C6EB2" w:rsidRDefault="001C6EB2">
            <w:pPr>
              <w:spacing w:line="256" w:lineRule="auto"/>
              <w:ind w:left="38" w:hanging="38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9.1.2. pacientų atvykimo (</w:t>
            </w:r>
            <w:proofErr w:type="spellStart"/>
            <w:r>
              <w:rPr>
                <w:iCs/>
                <w:sz w:val="22"/>
                <w:szCs w:val="22"/>
                <w:lang w:eastAsia="lt-LT"/>
              </w:rPr>
              <w:t>Encounter</w:t>
            </w:r>
            <w:proofErr w:type="spellEnd"/>
            <w:r>
              <w:rPr>
                <w:iCs/>
                <w:sz w:val="22"/>
                <w:szCs w:val="22"/>
                <w:lang w:eastAsia="lt-LT"/>
              </w:rPr>
              <w:t>) į įstaigą registracijos duomenų teikimas į ESPBI 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F7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F8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C6EB2" w14:paraId="48C448FF" w14:textId="77777777" w:rsidTr="00560F80">
        <w:trPr>
          <w:trHeight w:val="4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FA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FB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8FC" w14:textId="77777777" w:rsidR="001C6EB2" w:rsidRDefault="001C6EB2">
            <w:pPr>
              <w:spacing w:line="256" w:lineRule="auto"/>
              <w:ind w:left="38" w:hanging="38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9.1.3. Kompensuojamųjų vaistų, naudojant e. recepto paslaugą, išrašymas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8FD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8FE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6EB2" w14:paraId="48C44905" w14:textId="77777777" w:rsidTr="00560F80">
        <w:trPr>
          <w:trHeight w:val="52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00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0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02" w14:textId="77777777" w:rsidR="001C6EB2" w:rsidRDefault="001C6EB2">
            <w:pPr>
              <w:spacing w:line="256" w:lineRule="auto"/>
              <w:ind w:left="38" w:hanging="38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9.1.4. per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ESPBI IS keitimasis duomenimis statistinių ir klinikinių duomenų rinkinių apraše nustatyta apimtimi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03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04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6EB2" w14:paraId="48C4490B" w14:textId="77777777" w:rsidTr="00560F80">
        <w:trPr>
          <w:trHeight w:val="7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06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07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08" w14:textId="77777777" w:rsidR="001C6EB2" w:rsidRDefault="001C6EB2">
            <w:pPr>
              <w:spacing w:line="256" w:lineRule="auto"/>
              <w:ind w:left="38" w:hanging="38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9.1.5. yra galimybė paslaugoms gauti įtaigoje registruotis per Išankstinės pacientų registracijos sistemą arba naudojamasi telemedicinos (</w:t>
            </w:r>
            <w:proofErr w:type="spellStart"/>
            <w:r>
              <w:rPr>
                <w:iCs/>
                <w:sz w:val="22"/>
                <w:szCs w:val="22"/>
                <w:lang w:eastAsia="lt-LT"/>
              </w:rPr>
              <w:t>telekardiologijos</w:t>
            </w:r>
            <w:proofErr w:type="spellEnd"/>
            <w:r>
              <w:rPr>
                <w:iCs/>
                <w:sz w:val="22"/>
                <w:szCs w:val="22"/>
                <w:lang w:eastAsia="lt-LT"/>
              </w:rPr>
              <w:t xml:space="preserve"> ar </w:t>
            </w:r>
            <w:proofErr w:type="spellStart"/>
            <w:r>
              <w:rPr>
                <w:iCs/>
                <w:sz w:val="22"/>
                <w:szCs w:val="22"/>
                <w:lang w:eastAsia="lt-LT"/>
              </w:rPr>
              <w:t>teleradiologijos</w:t>
            </w:r>
            <w:proofErr w:type="spellEnd"/>
            <w:r>
              <w:rPr>
                <w:iCs/>
                <w:sz w:val="22"/>
                <w:szCs w:val="22"/>
                <w:lang w:eastAsia="lt-LT"/>
              </w:rPr>
              <w:t>) sprendimais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09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0A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C6EB2" w14:paraId="48C4490F" w14:textId="77777777" w:rsidTr="002774F6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90C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0D" w14:textId="77777777" w:rsidR="001C6EB2" w:rsidRPr="00091095" w:rsidRDefault="001C6EB2">
            <w:pPr>
              <w:spacing w:line="256" w:lineRule="auto"/>
              <w:rPr>
                <w:b/>
                <w:sz w:val="22"/>
                <w:szCs w:val="22"/>
                <w:lang w:eastAsia="lt-LT"/>
              </w:rPr>
            </w:pPr>
            <w:r w:rsidRPr="00091095">
              <w:rPr>
                <w:b/>
                <w:bCs/>
                <w:iCs/>
                <w:sz w:val="22"/>
                <w:szCs w:val="22"/>
                <w:lang w:eastAsia="lt-LT"/>
              </w:rPr>
              <w:t>9.2. IT panaudojimas valdant įstaigą(</w:t>
            </w:r>
            <w:r w:rsidRPr="00091095">
              <w:rPr>
                <w:b/>
                <w:sz w:val="22"/>
                <w:szCs w:val="22"/>
                <w:lang w:eastAsia="lt-LT"/>
              </w:rPr>
              <w:t>bendra suma neturi viršyti 5 balų)</w:t>
            </w:r>
            <w:r w:rsidRPr="00091095">
              <w:rPr>
                <w:b/>
                <w:bCs/>
                <w:iCs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0E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Rodiklių lyginamasis svoris</w:t>
            </w:r>
            <w:r>
              <w:rPr>
                <w:bCs/>
                <w:iCs/>
                <w:sz w:val="22"/>
                <w:szCs w:val="22"/>
                <w:lang w:eastAsia="lt-LT"/>
              </w:rPr>
              <w:t xml:space="preserve"> </w:t>
            </w:r>
          </w:p>
        </w:tc>
      </w:tr>
      <w:tr w:rsidR="001C6EB2" w14:paraId="48C44915" w14:textId="77777777" w:rsidTr="00560F80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910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911" w14:textId="77777777" w:rsidR="001C6EB2" w:rsidRDefault="001C6EB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12" w14:textId="77777777" w:rsidR="001C6EB2" w:rsidRDefault="001C6EB2">
            <w:pPr>
              <w:spacing w:line="256" w:lineRule="auto"/>
              <w:ind w:left="38" w:hanging="38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9.2.1. įdiegta vaistų ir kitų medicinos priemonių panaudojimo apskaitos sistema susieta su pacientu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13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14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C6EB2" w14:paraId="48C4491B" w14:textId="77777777" w:rsidTr="00560F80">
        <w:trPr>
          <w:trHeight w:val="3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16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17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18" w14:textId="77777777" w:rsidR="001C6EB2" w:rsidRDefault="001C6EB2">
            <w:pPr>
              <w:spacing w:line="256" w:lineRule="auto"/>
              <w:ind w:left="38" w:hanging="38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9.2.2. įdiegta el. dokumentų valdymo sistema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19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1A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1C6EB2" w14:paraId="48C44921" w14:textId="77777777" w:rsidTr="00560F80">
        <w:trPr>
          <w:trHeight w:val="47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1C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1D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1E" w14:textId="77777777" w:rsidR="001C6EB2" w:rsidRDefault="001C6EB2">
            <w:pPr>
              <w:spacing w:line="256" w:lineRule="auto"/>
              <w:ind w:left="38" w:hanging="38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9.2.3. reguliariai atnaujinama įstaigos interneto svetainė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1F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20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1C6EB2" w14:paraId="48C44927" w14:textId="77777777" w:rsidTr="00560F80">
        <w:trPr>
          <w:trHeight w:val="56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22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23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24" w14:textId="77777777" w:rsidR="001C6EB2" w:rsidRDefault="001C6EB2">
            <w:pPr>
              <w:spacing w:line="256" w:lineRule="auto"/>
              <w:ind w:left="38" w:hanging="38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9.2.4. per praėjusius metus įdiegta suplanuota nauja ar modernizuota esama sistema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25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26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1C6EB2" w14:paraId="48C4492A" w14:textId="77777777" w:rsidTr="002774F6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928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29" w14:textId="77777777" w:rsidR="001C6EB2" w:rsidRPr="00581849" w:rsidRDefault="001C6EB2">
            <w:pPr>
              <w:spacing w:line="256" w:lineRule="auto"/>
              <w:rPr>
                <w:b/>
                <w:sz w:val="22"/>
                <w:szCs w:val="22"/>
              </w:rPr>
            </w:pPr>
            <w:r w:rsidRPr="00581849">
              <w:rPr>
                <w:b/>
                <w:bCs/>
                <w:iCs/>
                <w:sz w:val="22"/>
                <w:szCs w:val="22"/>
                <w:lang w:eastAsia="lt-LT"/>
              </w:rPr>
              <w:t>9.3. Papildomi IT rodikliai</w:t>
            </w:r>
          </w:p>
        </w:tc>
      </w:tr>
      <w:tr w:rsidR="001C6EB2" w14:paraId="48C44930" w14:textId="77777777" w:rsidTr="00560F8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92B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92C" w14:textId="77777777" w:rsidR="001C6EB2" w:rsidRDefault="001C6EB2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2D" w14:textId="77777777" w:rsidR="001C6EB2" w:rsidRDefault="001C6EB2">
            <w:pPr>
              <w:spacing w:line="256" w:lineRule="auto"/>
              <w:ind w:left="38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9.3. 1. Įstaigoje kompiuterizuotos visos darbo vietos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2E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2F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C6EB2" w14:paraId="48C44936" w14:textId="77777777" w:rsidTr="00560F80">
        <w:trPr>
          <w:trHeight w:val="5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3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32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33" w14:textId="77777777" w:rsidR="001C6EB2" w:rsidRDefault="001C6EB2">
            <w:pPr>
              <w:spacing w:line="256" w:lineRule="auto"/>
              <w:ind w:firstLine="24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 xml:space="preserve">9.3.2. Įstaigoje nereglamentuotas IS naudojimas, duomenų sauga ar neatliekami kiti privalomi </w:t>
            </w:r>
            <w:r>
              <w:rPr>
                <w:iCs/>
                <w:sz w:val="22"/>
                <w:szCs w:val="22"/>
                <w:lang w:eastAsia="lt-LT"/>
              </w:rPr>
              <w:lastRenderedPageBreak/>
              <w:t>IS valdymo ir tvarkytojo veiksmai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34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35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6EB2" w14:paraId="48C44938" w14:textId="77777777" w:rsidTr="002774F6">
        <w:trPr>
          <w:trHeight w:val="244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937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1C6EB2" w14:paraId="48C4493F" w14:textId="77777777" w:rsidTr="00560F80">
        <w:trPr>
          <w:trHeight w:val="17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39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3A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Užtikrinti realų ir veiksmingą korupcijos priemonių vykdymą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93B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Įstaigoje taikomų kovos su korupcija priemonių vykdymas</w:t>
            </w:r>
          </w:p>
          <w:p w14:paraId="48C4493C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3D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3E" w14:textId="77777777" w:rsidR="001C6EB2" w:rsidRDefault="001C6EB2">
            <w:pPr>
              <w:spacing w:line="256" w:lineRule="auto"/>
              <w:ind w:firstLine="33"/>
              <w:jc w:val="both"/>
              <w:rPr>
                <w:sz w:val="22"/>
                <w:szCs w:val="22"/>
                <w:lang w:eastAsia="lt-LT"/>
              </w:rPr>
            </w:pPr>
            <w:r w:rsidRPr="0030419A">
              <w:rPr>
                <w:sz w:val="22"/>
                <w:szCs w:val="22"/>
                <w:lang w:eastAsia="lt-LT"/>
              </w:rPr>
              <w:t xml:space="preserve">Rodiklis, </w:t>
            </w:r>
            <w:r w:rsidRPr="0030419A">
              <w:rPr>
                <w:sz w:val="22"/>
                <w:szCs w:val="22"/>
              </w:rPr>
              <w:t>nustatant asmens sveikatos priežiūros įstaigų skaidrios asmens sveikatos priežiūros įstaigos vardo atitiktis,</w:t>
            </w:r>
            <w:r w:rsidRPr="0030419A">
              <w:rPr>
                <w:sz w:val="22"/>
                <w:szCs w:val="22"/>
                <w:lang w:eastAsia="lt-LT"/>
              </w:rPr>
              <w:t xml:space="preserve"> nustatomas vadovaujantis </w:t>
            </w:r>
            <w:r w:rsidRPr="0030419A">
              <w:rPr>
                <w:sz w:val="22"/>
                <w:szCs w:val="22"/>
              </w:rPr>
              <w:t>Skaidrios asmens sveikatos priežiūros įstaigos vardo suteikimo tvarkos aprašu, patvirtintu</w:t>
            </w:r>
            <w:r w:rsidRPr="0030419A">
              <w:rPr>
                <w:sz w:val="22"/>
                <w:szCs w:val="22"/>
                <w:lang w:eastAsia="lt-LT"/>
              </w:rPr>
              <w:t xml:space="preserve"> Lietuvos Respublikos sveikatos apsaugos ministro 2015 m. sausio 26 d. įsakymu Nr. V-65 „Dėl Skaidrios asmens sveikatos priežiūros įstaigos vardo suteikimo tvarkos aprašo patvirtinimo“</w:t>
            </w:r>
            <w:r w:rsidR="00422C4D">
              <w:rPr>
                <w:sz w:val="22"/>
                <w:szCs w:val="22"/>
              </w:rPr>
              <w:t xml:space="preserve"> patvirtintos tvarkos aprašo 10.6 punktu</w:t>
            </w:r>
          </w:p>
        </w:tc>
      </w:tr>
      <w:tr w:rsidR="001C6EB2" w14:paraId="48C44945" w14:textId="77777777" w:rsidTr="00560F80">
        <w:trPr>
          <w:trHeight w:val="50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40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4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42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43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44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Įstaigai yra suteiktas skaidrios asmens sveikatos priežiūros įstaigos vardas</w:t>
            </w:r>
          </w:p>
        </w:tc>
      </w:tr>
      <w:tr w:rsidR="001C6EB2" w14:paraId="48C4494B" w14:textId="77777777" w:rsidTr="00560F80">
        <w:trPr>
          <w:trHeight w:val="5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46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47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48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49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4A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Įstaigai yra suteiktas kandidato į skaidrios asmens sveikatos priežiūros įstaigos vardą statusas</w:t>
            </w:r>
          </w:p>
        </w:tc>
      </w:tr>
      <w:tr w:rsidR="001C6EB2" w14:paraId="48C44951" w14:textId="77777777" w:rsidTr="00560F80">
        <w:trPr>
          <w:trHeight w:val="5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4C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4D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4E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4F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50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Įstaiga yra įrašyta į asmens sveikatos priežiūros įstaigų, turinčių korupcinio pobūdžio veikų pasireiškimo tikimybę, sąrašą</w:t>
            </w:r>
          </w:p>
        </w:tc>
      </w:tr>
      <w:tr w:rsidR="001C6EB2" w14:paraId="48C44953" w14:textId="77777777" w:rsidTr="002774F6">
        <w:trPr>
          <w:trHeight w:val="202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52" w14:textId="77777777" w:rsidR="001C6EB2" w:rsidRPr="006A6CD4" w:rsidRDefault="00422C4D">
            <w:pPr>
              <w:spacing w:line="256" w:lineRule="auto"/>
              <w:rPr>
                <w:b/>
                <w:sz w:val="22"/>
                <w:szCs w:val="22"/>
              </w:rPr>
            </w:pPr>
            <w:r w:rsidRPr="006A6CD4">
              <w:rPr>
                <w:b/>
                <w:sz w:val="22"/>
                <w:szCs w:val="22"/>
              </w:rPr>
              <w:t>VšĮ ,,Lazdijų savivaldybės pirminės sveikatos priežiūros centras</w:t>
            </w:r>
          </w:p>
        </w:tc>
      </w:tr>
      <w:tr w:rsidR="001C6EB2" w14:paraId="48C4495C" w14:textId="77777777" w:rsidTr="00560F80">
        <w:trPr>
          <w:trHeight w:val="5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54" w14:textId="77777777" w:rsidR="001C6EB2" w:rsidRDefault="001C6E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955" w14:textId="77777777" w:rsidR="001C6EB2" w:rsidRPr="006A6CD4" w:rsidRDefault="001C6EB2">
            <w:pPr>
              <w:spacing w:line="256" w:lineRule="auto"/>
              <w:rPr>
                <w:sz w:val="22"/>
                <w:szCs w:val="22"/>
              </w:rPr>
            </w:pPr>
          </w:p>
          <w:p w14:paraId="48C44956" w14:textId="77777777" w:rsidR="001C6EB2" w:rsidRPr="006A6CD4" w:rsidRDefault="001C6EB2">
            <w:pPr>
              <w:spacing w:line="256" w:lineRule="auto"/>
              <w:rPr>
                <w:sz w:val="22"/>
                <w:szCs w:val="22"/>
              </w:rPr>
            </w:pPr>
          </w:p>
          <w:p w14:paraId="48C44957" w14:textId="77777777" w:rsidR="001C6EB2" w:rsidRPr="006A6CD4" w:rsidRDefault="001C6EB2">
            <w:pPr>
              <w:spacing w:line="256" w:lineRule="auto"/>
              <w:rPr>
                <w:sz w:val="22"/>
                <w:szCs w:val="22"/>
              </w:rPr>
            </w:pPr>
            <w:r w:rsidRPr="006A6CD4">
              <w:rPr>
                <w:sz w:val="22"/>
                <w:szCs w:val="22"/>
              </w:rPr>
              <w:t>Siekti, kad įstaigoje didėtų pagal prevencines programas viešojoje įstaigoje suteiktų paslaugų skaičius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58" w14:textId="77777777" w:rsidR="001C6EB2" w:rsidRPr="006A6CD4" w:rsidRDefault="001C6EB2">
            <w:pPr>
              <w:spacing w:line="256" w:lineRule="auto"/>
              <w:rPr>
                <w:sz w:val="22"/>
                <w:szCs w:val="22"/>
              </w:rPr>
            </w:pPr>
            <w:r w:rsidRPr="006A6CD4">
              <w:rPr>
                <w:sz w:val="22"/>
                <w:szCs w:val="22"/>
              </w:rPr>
              <w:t>Dalyvavimo įgyvendinant Privalomojo sveikatos draudimo fondo biudžeto lėšomis finansuojamas atitinkamų ligų prevencijos priemonių, atrankinės patikros, ankstyvosios diagnostikos programas mastas.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959" w14:textId="77777777" w:rsidR="001D238E" w:rsidRPr="006A6CD4" w:rsidRDefault="001C6EB2" w:rsidP="00560F80">
            <w:pPr>
              <w:spacing w:line="256" w:lineRule="auto"/>
              <w:rPr>
                <w:b/>
                <w:sz w:val="22"/>
                <w:szCs w:val="22"/>
              </w:rPr>
            </w:pPr>
            <w:r w:rsidRPr="006A6CD4">
              <w:rPr>
                <w:b/>
                <w:sz w:val="22"/>
                <w:szCs w:val="22"/>
              </w:rPr>
              <w:t>Balai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5A" w14:textId="77777777" w:rsidR="001C6EB2" w:rsidRPr="006A6CD4" w:rsidRDefault="001C6EB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6A6CD4">
              <w:rPr>
                <w:sz w:val="22"/>
                <w:szCs w:val="22"/>
              </w:rPr>
              <w:t xml:space="preserve">Vertinant šį rodiklį, vadovaujamasi Lietuvos Respublikos sveikatos apsaugos ministro </w:t>
            </w:r>
            <w:smartTag w:uri="urn:schemas-microsoft-com:office:smarttags" w:element="metricconverter">
              <w:smartTagPr>
                <w:attr w:name="ProductID" w:val="2011 m"/>
              </w:smartTagPr>
              <w:r w:rsidRPr="006A6CD4">
                <w:rPr>
                  <w:sz w:val="22"/>
                  <w:szCs w:val="22"/>
                </w:rPr>
                <w:t>2011 m</w:t>
              </w:r>
            </w:smartTag>
            <w:r w:rsidRPr="006A6CD4">
              <w:rPr>
                <w:sz w:val="22"/>
                <w:szCs w:val="22"/>
              </w:rPr>
              <w:t>. gruodžio 1 d. įsakymu Nr. V-1019 „Dėl Lietuvos nacionalinės sveikatos sistemos viešųjų įstaigų veiklos finansinių rezultatų vertinimo kiekybinių ir kokybinių rodiklių ir vadovaujančių darbuotojų mėnesinės algos kintamosios dalies nustatymo tvarkos aprašo patvirtinim</w:t>
            </w:r>
            <w:r w:rsidR="00422C4D" w:rsidRPr="006A6CD4">
              <w:rPr>
                <w:sz w:val="22"/>
                <w:szCs w:val="22"/>
              </w:rPr>
              <w:t>o“ patvirtinto tvarkos aprašo 10.7.</w:t>
            </w:r>
            <w:r w:rsidR="00CA38B6" w:rsidRPr="006A6CD4">
              <w:rPr>
                <w:sz w:val="22"/>
                <w:szCs w:val="22"/>
              </w:rPr>
              <w:t xml:space="preserve"> punktu. ,, Išvestinis balas už rodiklio įvykdymą apskaičiuojant balų, gautų už visas programas, sumą dalijant iš 6“.</w:t>
            </w:r>
          </w:p>
          <w:p w14:paraId="48C4495B" w14:textId="77777777" w:rsidR="001C6EB2" w:rsidRPr="006A6CD4" w:rsidRDefault="001C6EB2">
            <w:pPr>
              <w:spacing w:line="256" w:lineRule="auto"/>
              <w:rPr>
                <w:sz w:val="22"/>
                <w:szCs w:val="22"/>
              </w:rPr>
            </w:pPr>
            <w:r w:rsidRPr="006A6CD4">
              <w:rPr>
                <w:sz w:val="22"/>
                <w:szCs w:val="22"/>
              </w:rPr>
              <w:t>Vertinamas pagal atskirą įstaigoje vykdomą prevencinę programą pasiektas rezultatas ir apskaičiuojamas surinktų balų vidurkis.</w:t>
            </w:r>
          </w:p>
        </w:tc>
      </w:tr>
      <w:tr w:rsidR="001C6EB2" w14:paraId="48C44962" w14:textId="77777777" w:rsidTr="00560F80">
        <w:trPr>
          <w:trHeight w:val="40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5D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5E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5F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960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61" w14:textId="77777777" w:rsidR="001C6EB2" w:rsidRDefault="001C6EB2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Jei viešoji įstaiga viršija šalies vidurkį 50 % ir daugiau</w:t>
            </w:r>
          </w:p>
        </w:tc>
      </w:tr>
      <w:tr w:rsidR="001C6EB2" w14:paraId="48C44968" w14:textId="77777777" w:rsidTr="00560F80">
        <w:trPr>
          <w:trHeight w:val="4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63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64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65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966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67" w14:textId="32CE2263" w:rsidR="001C6EB2" w:rsidRDefault="001C6EB2" w:rsidP="001B274B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Jei viešoji įstaiga viršija šalies vidurkį nuo 36</w:t>
            </w:r>
            <w:r w:rsidR="001B274B">
              <w:rPr>
                <w:sz w:val="22"/>
                <w:szCs w:val="22"/>
              </w:rPr>
              <w:t xml:space="preserve"> iki </w:t>
            </w:r>
            <w:r>
              <w:rPr>
                <w:sz w:val="22"/>
                <w:szCs w:val="22"/>
              </w:rPr>
              <w:t>49 %</w:t>
            </w:r>
          </w:p>
        </w:tc>
      </w:tr>
      <w:tr w:rsidR="001C6EB2" w14:paraId="48C4496E" w14:textId="77777777" w:rsidTr="00560F80">
        <w:trPr>
          <w:trHeight w:val="41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69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6A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6B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96C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6D" w14:textId="6B9162F6" w:rsidR="001C6EB2" w:rsidRDefault="001C6EB2" w:rsidP="001B274B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Jei viešoji įstaiga viršija šalies vidurkį nuo 21</w:t>
            </w:r>
            <w:r w:rsidR="001B274B">
              <w:rPr>
                <w:sz w:val="22"/>
                <w:szCs w:val="22"/>
              </w:rPr>
              <w:t xml:space="preserve">  iki </w:t>
            </w:r>
            <w:r>
              <w:rPr>
                <w:sz w:val="22"/>
                <w:szCs w:val="22"/>
              </w:rPr>
              <w:t>35 %</w:t>
            </w:r>
          </w:p>
        </w:tc>
      </w:tr>
      <w:tr w:rsidR="001C6EB2" w14:paraId="48C44974" w14:textId="77777777" w:rsidTr="00560F80">
        <w:trPr>
          <w:trHeight w:val="4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6F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70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7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972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73" w14:textId="096697A7" w:rsidR="001C6EB2" w:rsidRDefault="001C6EB2" w:rsidP="001B274B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Jei viešoji įstaiga viršija šalies vidurkį nuo 11</w:t>
            </w:r>
            <w:r w:rsidR="001B274B">
              <w:rPr>
                <w:sz w:val="22"/>
                <w:szCs w:val="22"/>
              </w:rPr>
              <w:t xml:space="preserve"> iki </w:t>
            </w:r>
            <w:r>
              <w:rPr>
                <w:sz w:val="22"/>
                <w:szCs w:val="22"/>
              </w:rPr>
              <w:t>20 %</w:t>
            </w:r>
          </w:p>
        </w:tc>
      </w:tr>
      <w:tr w:rsidR="001C6EB2" w14:paraId="48C4497A" w14:textId="77777777" w:rsidTr="00560F80">
        <w:trPr>
          <w:trHeight w:val="3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75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76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77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978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79" w14:textId="77777777" w:rsidR="001C6EB2" w:rsidRDefault="001C6EB2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Jei viešoji įstaiga viršija šalies vidurkį nuo 1 iki 10 %</w:t>
            </w:r>
          </w:p>
        </w:tc>
      </w:tr>
      <w:tr w:rsidR="00CA38B6" w14:paraId="48C44980" w14:textId="77777777" w:rsidTr="00560F80">
        <w:trPr>
          <w:trHeight w:val="39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97B" w14:textId="77777777" w:rsidR="00CA38B6" w:rsidRDefault="00CA38B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97C" w14:textId="77777777" w:rsidR="00CA38B6" w:rsidRDefault="00CA38B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4497D" w14:textId="77777777" w:rsidR="00CA38B6" w:rsidRDefault="00CA38B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97E" w14:textId="77777777" w:rsidR="00CA38B6" w:rsidRDefault="00CA38B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497F" w14:textId="77777777" w:rsidR="00CA38B6" w:rsidRDefault="00CA38B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Jeigu prevencinėje programoje dalyvavusių asmenų dalis</w:t>
            </w:r>
            <w:r w:rsidR="001523FB">
              <w:rPr>
                <w:sz w:val="22"/>
                <w:szCs w:val="22"/>
              </w:rPr>
              <w:t xml:space="preserve"> (proc.)</w:t>
            </w:r>
            <w:r>
              <w:rPr>
                <w:sz w:val="22"/>
                <w:szCs w:val="22"/>
              </w:rPr>
              <w:t>, priklausanti tikslinei populiacijai, yra lygi programoje dalyvavusių asmenų daliai metų, buvusių prieš vertinamuosius metus, šalies vidurkiui</w:t>
            </w:r>
          </w:p>
        </w:tc>
      </w:tr>
      <w:tr w:rsidR="001C6EB2" w14:paraId="48C44986" w14:textId="77777777" w:rsidTr="00560F80">
        <w:trPr>
          <w:trHeight w:val="5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81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82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4983" w14:textId="77777777" w:rsidR="001C6EB2" w:rsidRDefault="001C6EB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984" w14:textId="77777777" w:rsidR="001C6EB2" w:rsidRDefault="001C6EB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44985" w14:textId="77777777" w:rsidR="001C6EB2" w:rsidRDefault="001C6EB2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Jeigu </w:t>
            </w:r>
            <w:r w:rsidR="00CA38B6">
              <w:rPr>
                <w:sz w:val="22"/>
                <w:szCs w:val="22"/>
              </w:rPr>
              <w:t xml:space="preserve">prevencinėje </w:t>
            </w:r>
            <w:r>
              <w:rPr>
                <w:sz w:val="22"/>
                <w:szCs w:val="22"/>
              </w:rPr>
              <w:t>programoje dalyvavusių asmenų dalis (%) yra mažesnė nei šalies vidurkis</w:t>
            </w:r>
          </w:p>
        </w:tc>
      </w:tr>
    </w:tbl>
    <w:p w14:paraId="48C44987" w14:textId="77777777" w:rsidR="001C6EB2" w:rsidRDefault="001C6EB2" w:rsidP="001C6EB2">
      <w:pPr>
        <w:jc w:val="both"/>
        <w:rPr>
          <w:i/>
          <w:sz w:val="22"/>
          <w:szCs w:val="22"/>
        </w:rPr>
      </w:pPr>
    </w:p>
    <w:sectPr w:rsidR="001C6EB2" w:rsidSect="00077E96">
      <w:pgSz w:w="16838" w:h="11906" w:orient="landscape" w:code="9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B2"/>
    <w:rsid w:val="00063DB6"/>
    <w:rsid w:val="00074635"/>
    <w:rsid w:val="00077E96"/>
    <w:rsid w:val="00091095"/>
    <w:rsid w:val="000E0C52"/>
    <w:rsid w:val="000E485E"/>
    <w:rsid w:val="001011A7"/>
    <w:rsid w:val="00117E83"/>
    <w:rsid w:val="001523FB"/>
    <w:rsid w:val="001677C4"/>
    <w:rsid w:val="00174D50"/>
    <w:rsid w:val="0019403D"/>
    <w:rsid w:val="001B274B"/>
    <w:rsid w:val="001C13F7"/>
    <w:rsid w:val="001C6EB2"/>
    <w:rsid w:val="001D238E"/>
    <w:rsid w:val="001E7700"/>
    <w:rsid w:val="00233B7F"/>
    <w:rsid w:val="00236BD8"/>
    <w:rsid w:val="002576BE"/>
    <w:rsid w:val="002774F6"/>
    <w:rsid w:val="002A60A8"/>
    <w:rsid w:val="002F22A2"/>
    <w:rsid w:val="0030419A"/>
    <w:rsid w:val="00333DDD"/>
    <w:rsid w:val="003B2AB3"/>
    <w:rsid w:val="003D4EAF"/>
    <w:rsid w:val="00405CCE"/>
    <w:rsid w:val="00422C4D"/>
    <w:rsid w:val="00424B73"/>
    <w:rsid w:val="00452AE2"/>
    <w:rsid w:val="00464DE6"/>
    <w:rsid w:val="004B2292"/>
    <w:rsid w:val="004C0C79"/>
    <w:rsid w:val="004D3BB3"/>
    <w:rsid w:val="00532008"/>
    <w:rsid w:val="00560F80"/>
    <w:rsid w:val="00581849"/>
    <w:rsid w:val="005A05DF"/>
    <w:rsid w:val="005A74CB"/>
    <w:rsid w:val="005B261A"/>
    <w:rsid w:val="005D5C1C"/>
    <w:rsid w:val="005F7828"/>
    <w:rsid w:val="00635B40"/>
    <w:rsid w:val="006634B4"/>
    <w:rsid w:val="0066557E"/>
    <w:rsid w:val="006807C1"/>
    <w:rsid w:val="006934B8"/>
    <w:rsid w:val="006A617F"/>
    <w:rsid w:val="006A6CD4"/>
    <w:rsid w:val="006C10C5"/>
    <w:rsid w:val="006E4EFB"/>
    <w:rsid w:val="00780C40"/>
    <w:rsid w:val="00784E4E"/>
    <w:rsid w:val="007B31BE"/>
    <w:rsid w:val="0088093A"/>
    <w:rsid w:val="00883685"/>
    <w:rsid w:val="008D2CB7"/>
    <w:rsid w:val="0092515A"/>
    <w:rsid w:val="00942750"/>
    <w:rsid w:val="00976B8B"/>
    <w:rsid w:val="009929A5"/>
    <w:rsid w:val="009F5DA5"/>
    <w:rsid w:val="00A13B3E"/>
    <w:rsid w:val="00A419A7"/>
    <w:rsid w:val="00A62CD4"/>
    <w:rsid w:val="00A84099"/>
    <w:rsid w:val="00A8703F"/>
    <w:rsid w:val="00A871F0"/>
    <w:rsid w:val="00AB799A"/>
    <w:rsid w:val="00AC31B1"/>
    <w:rsid w:val="00AE5714"/>
    <w:rsid w:val="00B00787"/>
    <w:rsid w:val="00B02F4A"/>
    <w:rsid w:val="00B07656"/>
    <w:rsid w:val="00BA1DE9"/>
    <w:rsid w:val="00BA3F89"/>
    <w:rsid w:val="00BB0CD1"/>
    <w:rsid w:val="00BD63E3"/>
    <w:rsid w:val="00BE486E"/>
    <w:rsid w:val="00C134E8"/>
    <w:rsid w:val="00C74A82"/>
    <w:rsid w:val="00C97D0E"/>
    <w:rsid w:val="00CA38B6"/>
    <w:rsid w:val="00CE34F8"/>
    <w:rsid w:val="00CF1894"/>
    <w:rsid w:val="00D17957"/>
    <w:rsid w:val="00D3158E"/>
    <w:rsid w:val="00D4654E"/>
    <w:rsid w:val="00D52F90"/>
    <w:rsid w:val="00D64522"/>
    <w:rsid w:val="00E04CBA"/>
    <w:rsid w:val="00E14E61"/>
    <w:rsid w:val="00E26726"/>
    <w:rsid w:val="00E414FE"/>
    <w:rsid w:val="00E557C8"/>
    <w:rsid w:val="00EF324A"/>
    <w:rsid w:val="00F12285"/>
    <w:rsid w:val="00F2666E"/>
    <w:rsid w:val="00F41802"/>
    <w:rsid w:val="00F47CAA"/>
    <w:rsid w:val="00F50CDE"/>
    <w:rsid w:val="00FA0D49"/>
    <w:rsid w:val="00FC176B"/>
    <w:rsid w:val="00FE4904"/>
    <w:rsid w:val="00FE7413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44786"/>
  <w15:chartTrackingRefBased/>
  <w15:docId w15:val="{F6DF2F85-66BB-4727-AAE3-926FE7D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6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C6EB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2576BE"/>
    <w:rPr>
      <w:rFonts w:eastAsiaTheme="minorHAnsi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77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77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7095</Words>
  <Characters>4045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Dziaukstiene</dc:creator>
  <cp:keywords/>
  <dc:description/>
  <cp:lastModifiedBy>Laima Jauniskiene</cp:lastModifiedBy>
  <cp:revision>2</cp:revision>
  <cp:lastPrinted>2018-04-17T07:41:00Z</cp:lastPrinted>
  <dcterms:created xsi:type="dcterms:W3CDTF">2018-04-19T08:16:00Z</dcterms:created>
  <dcterms:modified xsi:type="dcterms:W3CDTF">2018-04-19T08:16:00Z</dcterms:modified>
</cp:coreProperties>
</file>