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94" w:rsidRPr="00380794" w:rsidRDefault="00380794" w:rsidP="00380794">
      <w:pPr>
        <w:pStyle w:val="Pagrindinistekstas"/>
        <w:jc w:val="right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</w:t>
      </w:r>
      <w:r w:rsidRPr="00380794">
        <w:rPr>
          <w:b/>
          <w:sz w:val="24"/>
          <w:szCs w:val="24"/>
          <w:lang w:val="lt-LT"/>
        </w:rPr>
        <w:t>rojektas</w:t>
      </w:r>
    </w:p>
    <w:p w:rsidR="00896CCE" w:rsidRPr="00ED2F15" w:rsidRDefault="00896CCE" w:rsidP="00896CCE">
      <w:pPr>
        <w:pStyle w:val="Pagrindinistekstas"/>
        <w:jc w:val="center"/>
        <w:rPr>
          <w:lang w:val="lt-LT"/>
        </w:rPr>
      </w:pPr>
      <w:r w:rsidRPr="00ED2F15">
        <w:rPr>
          <w:lang w:val="lt-LT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25pt" o:ole="" filled="t">
            <v:fill color2="black" type="frame"/>
            <v:imagedata r:id="rId5" o:title=""/>
          </v:shape>
          <o:OLEObject Type="Embed" ProgID="OutPlace" ShapeID="_x0000_i1025" DrawAspect="Content" ObjectID="_1664265279" r:id="rId6"/>
        </w:object>
      </w:r>
    </w:p>
    <w:p w:rsidR="00896CCE" w:rsidRPr="00ED2F15" w:rsidRDefault="00896CCE" w:rsidP="00896CCE">
      <w:pPr>
        <w:pStyle w:val="Antrinispavadinimas"/>
        <w:rPr>
          <w:szCs w:val="24"/>
        </w:rPr>
      </w:pPr>
      <w:r w:rsidRPr="00ED2F15">
        <w:rPr>
          <w:szCs w:val="24"/>
        </w:rPr>
        <w:t>KĖDAINIŲ RAJONO SAVIVALDYBĖS TARYBA</w:t>
      </w:r>
    </w:p>
    <w:p w:rsidR="00896CCE" w:rsidRPr="00ED2F15" w:rsidRDefault="00896CCE" w:rsidP="00896CCE">
      <w:pPr>
        <w:jc w:val="center"/>
        <w:rPr>
          <w:b/>
          <w:sz w:val="24"/>
          <w:szCs w:val="24"/>
          <w:lang w:val="lt-LT"/>
        </w:rPr>
      </w:pPr>
    </w:p>
    <w:p w:rsidR="00896CCE" w:rsidRPr="00ED2F15" w:rsidRDefault="00896CCE" w:rsidP="00896CCE">
      <w:pPr>
        <w:jc w:val="center"/>
        <w:rPr>
          <w:b/>
          <w:sz w:val="24"/>
          <w:szCs w:val="24"/>
          <w:lang w:val="lt-LT"/>
        </w:rPr>
      </w:pPr>
      <w:r w:rsidRPr="00ED2F15">
        <w:rPr>
          <w:b/>
          <w:sz w:val="24"/>
          <w:szCs w:val="24"/>
          <w:lang w:val="lt-LT"/>
        </w:rPr>
        <w:t>SPRENDIMAS</w:t>
      </w:r>
    </w:p>
    <w:p w:rsidR="00896CCE" w:rsidRPr="00ED2F15" w:rsidRDefault="00380794" w:rsidP="00896CC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KĖDAINIŲ RAJONO SAVIVALDYBĖS TARYBOS 2019 M. GEGUŽĖS 3 D. SPRENDIMO NR. TS-71 „</w:t>
      </w:r>
      <w:r w:rsidR="00896CCE" w:rsidRPr="00ED2F15">
        <w:rPr>
          <w:b/>
          <w:sz w:val="24"/>
          <w:szCs w:val="24"/>
          <w:lang w:val="lt-LT"/>
        </w:rPr>
        <w:t>DĖL KĖDAINIŲ RAJONO SAVIVALDYBĖS TARYBOS KOMITETŲ SUDARYMO</w:t>
      </w:r>
      <w:r>
        <w:rPr>
          <w:b/>
          <w:sz w:val="24"/>
          <w:szCs w:val="24"/>
          <w:lang w:val="lt-LT"/>
        </w:rPr>
        <w:t>“ PAKEITIMO</w:t>
      </w:r>
    </w:p>
    <w:p w:rsidR="00896CCE" w:rsidRPr="00ED2F15" w:rsidRDefault="00896CCE" w:rsidP="00896CCE">
      <w:pPr>
        <w:jc w:val="center"/>
        <w:rPr>
          <w:b/>
          <w:sz w:val="24"/>
          <w:szCs w:val="24"/>
          <w:lang w:val="lt-LT"/>
        </w:rPr>
      </w:pPr>
    </w:p>
    <w:p w:rsidR="00896CCE" w:rsidRPr="00ED2F15" w:rsidRDefault="00896CCE" w:rsidP="00896CCE">
      <w:pPr>
        <w:jc w:val="center"/>
        <w:rPr>
          <w:sz w:val="24"/>
          <w:szCs w:val="24"/>
          <w:lang w:val="lt-LT"/>
        </w:rPr>
      </w:pPr>
      <w:r w:rsidRPr="00ED2F15">
        <w:rPr>
          <w:sz w:val="24"/>
          <w:szCs w:val="24"/>
          <w:lang w:val="lt-LT"/>
        </w:rPr>
        <w:t>20</w:t>
      </w:r>
      <w:r w:rsidR="00693C7A">
        <w:rPr>
          <w:sz w:val="24"/>
          <w:szCs w:val="24"/>
          <w:lang w:val="lt-LT"/>
        </w:rPr>
        <w:t>20</w:t>
      </w:r>
      <w:r w:rsidRPr="00ED2F15">
        <w:rPr>
          <w:sz w:val="24"/>
          <w:szCs w:val="24"/>
          <w:lang w:val="lt-LT"/>
        </w:rPr>
        <w:t xml:space="preserve"> m. </w:t>
      </w:r>
      <w:r w:rsidR="00206CF1">
        <w:rPr>
          <w:sz w:val="24"/>
          <w:szCs w:val="24"/>
          <w:lang w:val="lt-LT"/>
        </w:rPr>
        <w:t xml:space="preserve">spalio </w:t>
      </w:r>
      <w:r w:rsidR="007C16C6">
        <w:rPr>
          <w:sz w:val="24"/>
          <w:szCs w:val="24"/>
          <w:lang w:val="lt-LT"/>
        </w:rPr>
        <w:t>1</w:t>
      </w:r>
      <w:r w:rsidR="00787546">
        <w:rPr>
          <w:sz w:val="24"/>
          <w:szCs w:val="24"/>
          <w:lang w:val="lt-LT"/>
        </w:rPr>
        <w:t>4</w:t>
      </w:r>
      <w:r w:rsidR="00D13AF2">
        <w:rPr>
          <w:sz w:val="24"/>
          <w:szCs w:val="24"/>
          <w:lang w:val="lt-LT"/>
        </w:rPr>
        <w:t xml:space="preserve"> d. Nr. SP-</w:t>
      </w:r>
      <w:r w:rsidR="007C16C6">
        <w:rPr>
          <w:sz w:val="24"/>
          <w:szCs w:val="24"/>
          <w:lang w:val="lt-LT"/>
        </w:rPr>
        <w:t>274</w:t>
      </w:r>
    </w:p>
    <w:p w:rsidR="00896CCE" w:rsidRPr="00ED2F15" w:rsidRDefault="00896CCE" w:rsidP="00896CCE">
      <w:pPr>
        <w:jc w:val="center"/>
        <w:rPr>
          <w:sz w:val="24"/>
          <w:szCs w:val="24"/>
          <w:lang w:val="lt-LT"/>
        </w:rPr>
      </w:pPr>
      <w:r w:rsidRPr="00ED2F15">
        <w:rPr>
          <w:sz w:val="24"/>
          <w:szCs w:val="24"/>
          <w:lang w:val="lt-LT"/>
        </w:rPr>
        <w:t>Kėdainiai</w:t>
      </w:r>
    </w:p>
    <w:p w:rsidR="00896CCE" w:rsidRPr="00ED2F15" w:rsidRDefault="00896CCE" w:rsidP="00896CCE">
      <w:pPr>
        <w:jc w:val="center"/>
        <w:rPr>
          <w:b/>
          <w:sz w:val="24"/>
          <w:szCs w:val="24"/>
          <w:lang w:val="lt-LT"/>
        </w:rPr>
      </w:pPr>
    </w:p>
    <w:p w:rsidR="00896CCE" w:rsidRDefault="00896CCE" w:rsidP="00896CCE">
      <w:pPr>
        <w:ind w:firstLine="680"/>
        <w:jc w:val="both"/>
        <w:rPr>
          <w:sz w:val="24"/>
          <w:szCs w:val="24"/>
          <w:lang w:val="lt-LT"/>
        </w:rPr>
      </w:pPr>
      <w:r w:rsidRPr="00ED2F15">
        <w:rPr>
          <w:sz w:val="24"/>
          <w:szCs w:val="24"/>
          <w:lang w:val="lt-LT"/>
        </w:rPr>
        <w:t xml:space="preserve">Vadovaudamasi </w:t>
      </w:r>
      <w:r w:rsidRPr="00ED2F15">
        <w:rPr>
          <w:rFonts w:eastAsia="Lucida Sans Unicode"/>
          <w:kern w:val="2"/>
          <w:sz w:val="24"/>
          <w:szCs w:val="24"/>
          <w:lang w:val="lt-LT"/>
        </w:rPr>
        <w:t xml:space="preserve">Lietuvos Respublikos vietos savivaldos įstatymo </w:t>
      </w:r>
      <w:r w:rsidR="00380794">
        <w:rPr>
          <w:rFonts w:eastAsia="Lucida Sans Unicode"/>
          <w:kern w:val="2"/>
          <w:sz w:val="24"/>
          <w:szCs w:val="24"/>
          <w:lang w:val="lt-LT"/>
        </w:rPr>
        <w:t>18 straipsnio 1 dalimi</w:t>
      </w:r>
      <w:r w:rsidRPr="00ED2F15">
        <w:rPr>
          <w:sz w:val="24"/>
          <w:szCs w:val="24"/>
          <w:lang w:val="lt-LT"/>
        </w:rPr>
        <w:t>, Kėdainių rajono savivaldybės taryba n u s p r e n d ž i a:</w:t>
      </w:r>
    </w:p>
    <w:p w:rsidR="004256F0" w:rsidRDefault="004256F0" w:rsidP="00896CCE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80794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keisti</w:t>
      </w:r>
      <w:r w:rsidR="00693C7A">
        <w:rPr>
          <w:sz w:val="24"/>
          <w:szCs w:val="24"/>
          <w:lang w:val="lt-LT"/>
        </w:rPr>
        <w:t xml:space="preserve"> </w:t>
      </w:r>
      <w:r w:rsidR="00380794" w:rsidRPr="00380794">
        <w:rPr>
          <w:sz w:val="24"/>
          <w:szCs w:val="24"/>
          <w:lang w:val="lt-LT"/>
        </w:rPr>
        <w:t>Kėdainių rajono savivaldybės tarybo</w:t>
      </w:r>
      <w:r>
        <w:rPr>
          <w:sz w:val="24"/>
          <w:szCs w:val="24"/>
          <w:lang w:val="lt-LT"/>
        </w:rPr>
        <w:t>s 2019 m. gegužės 3 d. sprendimą</w:t>
      </w:r>
      <w:r w:rsidR="00380794" w:rsidRPr="00380794">
        <w:rPr>
          <w:sz w:val="24"/>
          <w:szCs w:val="24"/>
          <w:lang w:val="lt-LT"/>
        </w:rPr>
        <w:t xml:space="preserve"> Nr.</w:t>
      </w:r>
      <w:r w:rsidR="00380794">
        <w:rPr>
          <w:sz w:val="24"/>
          <w:szCs w:val="24"/>
          <w:lang w:val="lt-LT"/>
        </w:rPr>
        <w:t xml:space="preserve"> TS-71 „D</w:t>
      </w:r>
      <w:r w:rsidR="00380794" w:rsidRPr="00380794">
        <w:rPr>
          <w:sz w:val="24"/>
          <w:szCs w:val="24"/>
          <w:lang w:val="lt-LT"/>
        </w:rPr>
        <w:t>ėl Kėdainių rajono savivaldybės tarybos komitetų sudarymo“</w:t>
      </w:r>
      <w:r>
        <w:rPr>
          <w:sz w:val="24"/>
          <w:szCs w:val="24"/>
          <w:lang w:val="lt-LT"/>
        </w:rPr>
        <w:t>:</w:t>
      </w:r>
    </w:p>
    <w:p w:rsidR="004256F0" w:rsidRDefault="004256F0" w:rsidP="004256F0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 Išdėstyti 1.1 papunktį taip:</w:t>
      </w:r>
    </w:p>
    <w:p w:rsidR="004256F0" w:rsidRPr="001049C8" w:rsidRDefault="004256F0" w:rsidP="004256F0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„1.1 Ekonomikos ir biudžeto:</w:t>
      </w:r>
    </w:p>
    <w:p w:rsidR="004256F0" w:rsidRPr="005F6122" w:rsidRDefault="00B30346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>Paulius Aukštikalnis</w:t>
      </w:r>
      <w:r w:rsidR="004256F0" w:rsidRPr="005F6122">
        <w:rPr>
          <w:bCs/>
          <w:sz w:val="24"/>
          <w:szCs w:val="24"/>
          <w:lang w:val="lt-LT" w:eastAsia="lt-LT"/>
        </w:rPr>
        <w:t>,</w:t>
      </w:r>
    </w:p>
    <w:p w:rsidR="001049C8" w:rsidRPr="005F6122" w:rsidRDefault="00B30346" w:rsidP="001049C8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>Romualdas Gailiūnas</w:t>
      </w:r>
      <w:r w:rsidR="001049C8" w:rsidRPr="005F6122">
        <w:rPr>
          <w:bCs/>
          <w:sz w:val="24"/>
          <w:szCs w:val="24"/>
          <w:lang w:val="lt-LT" w:eastAsia="lt-LT"/>
        </w:rPr>
        <w:t>,</w:t>
      </w:r>
    </w:p>
    <w:p w:rsidR="001049C8" w:rsidRPr="005F6122" w:rsidRDefault="00B30346" w:rsidP="001049C8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>Dangiras Kačinskas</w:t>
      </w:r>
      <w:r w:rsidR="001049C8" w:rsidRPr="005F6122">
        <w:rPr>
          <w:bCs/>
          <w:sz w:val="24"/>
          <w:szCs w:val="24"/>
          <w:lang w:val="lt-LT" w:eastAsia="lt-LT"/>
        </w:rPr>
        <w:t>,</w:t>
      </w:r>
    </w:p>
    <w:p w:rsidR="00027E8F" w:rsidRDefault="00B30346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 xml:space="preserve">Karolina </w:t>
      </w:r>
      <w:proofErr w:type="spellStart"/>
      <w:r w:rsidRPr="005F6122">
        <w:rPr>
          <w:bCs/>
          <w:sz w:val="24"/>
          <w:szCs w:val="24"/>
          <w:lang w:val="lt-LT" w:eastAsia="lt-LT"/>
        </w:rPr>
        <w:t>Štelmokaitė</w:t>
      </w:r>
      <w:proofErr w:type="spellEnd"/>
      <w:r w:rsidR="001049C8" w:rsidRPr="005F6122">
        <w:rPr>
          <w:bCs/>
          <w:sz w:val="24"/>
          <w:szCs w:val="24"/>
          <w:lang w:val="lt-LT" w:eastAsia="lt-LT"/>
        </w:rPr>
        <w:t>.</w:t>
      </w:r>
    </w:p>
    <w:p w:rsidR="00027E8F" w:rsidRDefault="00027E8F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u w:val="single"/>
          <w:lang w:val="lt-LT" w:eastAsia="lt-LT"/>
        </w:rPr>
        <w:t>__________________</w:t>
      </w:r>
      <w:r w:rsidRPr="005F6122">
        <w:rPr>
          <w:bCs/>
          <w:sz w:val="24"/>
          <w:szCs w:val="24"/>
          <w:lang w:val="lt-LT" w:eastAsia="lt-LT"/>
        </w:rPr>
        <w:t>,</w:t>
      </w:r>
    </w:p>
    <w:p w:rsidR="004256F0" w:rsidRPr="005F6122" w:rsidRDefault="00027E8F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u w:val="single"/>
          <w:lang w:val="lt-LT" w:eastAsia="lt-LT"/>
        </w:rPr>
        <w:t>__________________</w:t>
      </w:r>
      <w:r>
        <w:rPr>
          <w:bCs/>
          <w:sz w:val="24"/>
          <w:szCs w:val="24"/>
          <w:lang w:val="lt-LT" w:eastAsia="lt-LT"/>
        </w:rPr>
        <w:t>.</w:t>
      </w:r>
      <w:bookmarkStart w:id="0" w:name="_GoBack"/>
      <w:bookmarkEnd w:id="0"/>
      <w:r w:rsidR="004256F0" w:rsidRPr="005F6122">
        <w:rPr>
          <w:bCs/>
          <w:sz w:val="24"/>
          <w:szCs w:val="24"/>
          <w:lang w:val="lt-LT" w:eastAsia="lt-LT"/>
        </w:rPr>
        <w:t>“</w:t>
      </w:r>
    </w:p>
    <w:p w:rsidR="00E53E74" w:rsidRPr="001049C8" w:rsidRDefault="00E53E74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</w:p>
    <w:p w:rsidR="004256F0" w:rsidRPr="001049C8" w:rsidRDefault="004256F0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>1.2 Išdėstyti 1.2 papunktį taip:</w:t>
      </w:r>
    </w:p>
    <w:p w:rsidR="004256F0" w:rsidRPr="001049C8" w:rsidRDefault="004256F0" w:rsidP="004256F0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bCs/>
          <w:sz w:val="24"/>
          <w:szCs w:val="24"/>
          <w:lang w:val="lt-LT" w:eastAsia="lt-LT"/>
        </w:rPr>
        <w:t>„</w:t>
      </w:r>
      <w:r w:rsidRPr="001049C8">
        <w:rPr>
          <w:sz w:val="24"/>
          <w:szCs w:val="24"/>
          <w:lang w:val="lt-LT"/>
        </w:rPr>
        <w:t>1.2. Verslo ir ūkio:</w:t>
      </w:r>
    </w:p>
    <w:p w:rsidR="004256F0" w:rsidRPr="001049C8" w:rsidRDefault="004256F0" w:rsidP="004256F0">
      <w:pPr>
        <w:ind w:firstLine="709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Alvydas Ardavičius,</w:t>
      </w:r>
    </w:p>
    <w:p w:rsidR="004256F0" w:rsidRPr="001049C8" w:rsidRDefault="004256F0" w:rsidP="004256F0">
      <w:pPr>
        <w:ind w:firstLine="709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Rimantas Diliūnas,</w:t>
      </w:r>
    </w:p>
    <w:p w:rsidR="004256F0" w:rsidRPr="001049C8" w:rsidRDefault="004256F0" w:rsidP="004256F0">
      <w:pPr>
        <w:ind w:firstLine="709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Indrė Fiodorova,</w:t>
      </w:r>
    </w:p>
    <w:p w:rsidR="004256F0" w:rsidRPr="001049C8" w:rsidRDefault="004256F0" w:rsidP="004256F0">
      <w:pPr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 xml:space="preserve">            Virmantas Pikelis,</w:t>
      </w:r>
    </w:p>
    <w:p w:rsidR="001049C8" w:rsidRPr="001049C8" w:rsidRDefault="001049C8" w:rsidP="004256F0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Adelė Štelmokienė,</w:t>
      </w:r>
    </w:p>
    <w:p w:rsidR="004256F0" w:rsidRPr="001049C8" w:rsidRDefault="001049C8" w:rsidP="004256F0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u w:val="single"/>
          <w:lang w:val="lt-LT" w:eastAsia="lt-LT"/>
        </w:rPr>
        <w:t>__________________</w:t>
      </w:r>
      <w:r w:rsidRPr="001049C8">
        <w:rPr>
          <w:bCs/>
          <w:sz w:val="24"/>
          <w:szCs w:val="24"/>
          <w:lang w:val="lt-LT" w:eastAsia="lt-LT"/>
        </w:rPr>
        <w:t>.</w:t>
      </w:r>
      <w:r w:rsidR="004256F0" w:rsidRPr="001049C8">
        <w:rPr>
          <w:sz w:val="24"/>
          <w:szCs w:val="24"/>
          <w:lang w:val="lt-LT"/>
        </w:rPr>
        <w:t>“</w:t>
      </w:r>
    </w:p>
    <w:p w:rsidR="00E53E74" w:rsidRPr="001049C8" w:rsidRDefault="00E53E74" w:rsidP="004256F0">
      <w:pPr>
        <w:ind w:firstLine="680"/>
        <w:jc w:val="both"/>
        <w:rPr>
          <w:sz w:val="24"/>
          <w:szCs w:val="24"/>
          <w:lang w:val="lt-LT"/>
        </w:rPr>
      </w:pPr>
    </w:p>
    <w:p w:rsidR="00E53E74" w:rsidRPr="001049C8" w:rsidRDefault="00E53E74" w:rsidP="004256F0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bCs/>
          <w:sz w:val="24"/>
          <w:szCs w:val="24"/>
          <w:lang w:val="lt-LT" w:eastAsia="lt-LT"/>
        </w:rPr>
        <w:t>1.3 Išdėstyti 1.3 papunktį taip: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„1.3. Kaimo reikalų ir aplinkosaugos:</w:t>
      </w:r>
    </w:p>
    <w:p w:rsidR="00E53E74" w:rsidRPr="001049C8" w:rsidRDefault="00E53E74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 xml:space="preserve">Algimantas Kižauskas, </w:t>
      </w:r>
    </w:p>
    <w:p w:rsidR="00E53E74" w:rsidRPr="001049C8" w:rsidRDefault="00E53E74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>Saulius Sinickis,</w:t>
      </w:r>
    </w:p>
    <w:p w:rsidR="00E53E74" w:rsidRPr="001049C8" w:rsidRDefault="00E53E74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>Kęstutis Valionis,</w:t>
      </w:r>
    </w:p>
    <w:p w:rsidR="001049C8" w:rsidRPr="001049C8" w:rsidRDefault="001049C8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>Vygantas Vanagas,</w:t>
      </w:r>
    </w:p>
    <w:p w:rsidR="00E53E74" w:rsidRPr="001049C8" w:rsidRDefault="001049C8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u w:val="single"/>
          <w:lang w:val="lt-LT" w:eastAsia="lt-LT"/>
        </w:rPr>
        <w:t>__________________</w:t>
      </w:r>
      <w:r w:rsidRPr="001049C8">
        <w:rPr>
          <w:bCs/>
          <w:sz w:val="24"/>
          <w:szCs w:val="24"/>
          <w:lang w:val="lt-LT" w:eastAsia="lt-LT"/>
        </w:rPr>
        <w:t>.</w:t>
      </w:r>
      <w:r w:rsidR="00E53E74" w:rsidRPr="001049C8">
        <w:rPr>
          <w:bCs/>
          <w:sz w:val="24"/>
          <w:szCs w:val="24"/>
          <w:lang w:val="lt-LT" w:eastAsia="lt-LT"/>
        </w:rPr>
        <w:t>“</w:t>
      </w:r>
    </w:p>
    <w:p w:rsidR="00E53E74" w:rsidRPr="001049C8" w:rsidRDefault="00E53E74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</w:p>
    <w:p w:rsidR="00E53E74" w:rsidRPr="001049C8" w:rsidRDefault="00E53E74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lang w:val="lt-LT" w:eastAsia="lt-LT"/>
        </w:rPr>
        <w:t>1.4 Išdėstyti 1.4 papunktį taip: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„1.4. Švietimo ir kultūros: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Tomas Bičiūnas,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Gitana Kaupienė,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Nijolė Naujokienė,</w:t>
      </w:r>
    </w:p>
    <w:p w:rsidR="001049C8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Steponas Navajauskas</w:t>
      </w:r>
      <w:r w:rsidR="001049C8" w:rsidRPr="001049C8">
        <w:rPr>
          <w:sz w:val="24"/>
          <w:szCs w:val="24"/>
          <w:lang w:val="lt-LT"/>
        </w:rPr>
        <w:t>,</w:t>
      </w:r>
    </w:p>
    <w:p w:rsidR="005F6122" w:rsidRPr="005F6122" w:rsidRDefault="00B30346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>Aušra Nesterovienė</w:t>
      </w:r>
      <w:r w:rsidR="005F6122" w:rsidRPr="005F6122">
        <w:rPr>
          <w:bCs/>
          <w:sz w:val="24"/>
          <w:szCs w:val="24"/>
          <w:lang w:val="lt-LT" w:eastAsia="lt-LT"/>
        </w:rPr>
        <w:t>,</w:t>
      </w:r>
    </w:p>
    <w:p w:rsidR="005F6122" w:rsidRPr="001049C8" w:rsidRDefault="005F6122" w:rsidP="005F6122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u w:val="single"/>
          <w:lang w:val="lt-LT" w:eastAsia="lt-LT"/>
        </w:rPr>
        <w:lastRenderedPageBreak/>
        <w:t>__________________</w:t>
      </w:r>
      <w:r w:rsidRPr="001049C8">
        <w:rPr>
          <w:bCs/>
          <w:sz w:val="24"/>
          <w:szCs w:val="24"/>
          <w:lang w:val="lt-LT" w:eastAsia="lt-LT"/>
        </w:rPr>
        <w:t>.“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bCs/>
          <w:sz w:val="24"/>
          <w:szCs w:val="24"/>
          <w:lang w:val="lt-LT" w:eastAsia="lt-LT"/>
        </w:rPr>
        <w:t>1.5 Išdėstyti 1.5 papunktį taip: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„1.5. Sveikatos ir socialinės apsaugos: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Alfredas Hofmanas,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 xml:space="preserve">Jūratė Judickienė, </w:t>
      </w:r>
    </w:p>
    <w:p w:rsidR="00E53E74" w:rsidRPr="001049C8" w:rsidRDefault="00E53E74" w:rsidP="00E53E74">
      <w:pPr>
        <w:ind w:firstLine="680"/>
        <w:jc w:val="both"/>
        <w:rPr>
          <w:sz w:val="24"/>
          <w:szCs w:val="24"/>
          <w:lang w:val="lt-LT"/>
        </w:rPr>
      </w:pPr>
      <w:r w:rsidRPr="001049C8">
        <w:rPr>
          <w:sz w:val="24"/>
          <w:szCs w:val="24"/>
          <w:lang w:val="lt-LT"/>
        </w:rPr>
        <w:t>Aušrelė Kaminskienė,</w:t>
      </w:r>
    </w:p>
    <w:p w:rsidR="001049C8" w:rsidRPr="005F6122" w:rsidRDefault="001049C8" w:rsidP="00E53E74">
      <w:pPr>
        <w:ind w:firstLine="680"/>
        <w:jc w:val="both"/>
        <w:rPr>
          <w:sz w:val="24"/>
          <w:szCs w:val="24"/>
          <w:lang w:val="lt-LT"/>
        </w:rPr>
      </w:pPr>
      <w:r w:rsidRPr="005F6122">
        <w:rPr>
          <w:sz w:val="24"/>
          <w:szCs w:val="24"/>
          <w:lang w:val="lt-LT"/>
        </w:rPr>
        <w:t>Vilma Šnurevičiūtė,</w:t>
      </w:r>
    </w:p>
    <w:p w:rsidR="005F6122" w:rsidRPr="005F6122" w:rsidRDefault="00B30346" w:rsidP="00E53E74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5F6122">
        <w:rPr>
          <w:bCs/>
          <w:sz w:val="24"/>
          <w:szCs w:val="24"/>
          <w:lang w:val="lt-LT" w:eastAsia="lt-LT"/>
        </w:rPr>
        <w:t xml:space="preserve">Edita </w:t>
      </w:r>
      <w:proofErr w:type="spellStart"/>
      <w:r w:rsidRPr="005F6122">
        <w:rPr>
          <w:bCs/>
          <w:sz w:val="24"/>
          <w:szCs w:val="24"/>
          <w:lang w:val="lt-LT" w:eastAsia="lt-LT"/>
        </w:rPr>
        <w:t>Bodendorfė</w:t>
      </w:r>
      <w:proofErr w:type="spellEnd"/>
      <w:r w:rsidR="005F6122" w:rsidRPr="005F6122">
        <w:rPr>
          <w:bCs/>
          <w:sz w:val="24"/>
          <w:szCs w:val="24"/>
          <w:lang w:val="lt-LT" w:eastAsia="lt-LT"/>
        </w:rPr>
        <w:t>,</w:t>
      </w:r>
    </w:p>
    <w:p w:rsidR="005F6122" w:rsidRPr="001049C8" w:rsidRDefault="005F6122" w:rsidP="005F6122">
      <w:pPr>
        <w:ind w:firstLine="680"/>
        <w:jc w:val="both"/>
        <w:rPr>
          <w:bCs/>
          <w:sz w:val="24"/>
          <w:szCs w:val="24"/>
          <w:lang w:val="lt-LT" w:eastAsia="lt-LT"/>
        </w:rPr>
      </w:pPr>
      <w:r w:rsidRPr="001049C8">
        <w:rPr>
          <w:bCs/>
          <w:sz w:val="24"/>
          <w:szCs w:val="24"/>
          <w:u w:val="single"/>
          <w:lang w:val="lt-LT" w:eastAsia="lt-LT"/>
        </w:rPr>
        <w:t>__________________</w:t>
      </w:r>
      <w:r w:rsidRPr="001049C8">
        <w:rPr>
          <w:bCs/>
          <w:sz w:val="24"/>
          <w:szCs w:val="24"/>
          <w:lang w:val="lt-LT" w:eastAsia="lt-LT"/>
        </w:rPr>
        <w:t>.“</w:t>
      </w:r>
    </w:p>
    <w:p w:rsidR="00E53E74" w:rsidRPr="00B30346" w:rsidRDefault="00E53E74" w:rsidP="00E53E74">
      <w:pPr>
        <w:ind w:firstLine="680"/>
        <w:jc w:val="both"/>
        <w:rPr>
          <w:bCs/>
          <w:color w:val="FF0000"/>
          <w:sz w:val="24"/>
          <w:szCs w:val="24"/>
          <w:lang w:val="lt-LT" w:eastAsia="lt-LT"/>
        </w:rPr>
      </w:pPr>
    </w:p>
    <w:p w:rsidR="005A3E5D" w:rsidRPr="005A3E5D" w:rsidRDefault="005A3E5D" w:rsidP="005A3E5D">
      <w:pPr>
        <w:ind w:firstLine="709"/>
        <w:contextualSpacing/>
        <w:jc w:val="both"/>
        <w:rPr>
          <w:color w:val="000000"/>
          <w:sz w:val="24"/>
          <w:szCs w:val="24"/>
          <w:lang w:val="lt-LT"/>
        </w:rPr>
      </w:pPr>
      <w:bookmarkStart w:id="1" w:name="_Hlk6572325"/>
      <w:r w:rsidRPr="005A3E5D">
        <w:rPr>
          <w:color w:val="000000"/>
          <w:sz w:val="24"/>
          <w:szCs w:val="24"/>
          <w:lang w:val="lt-LT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bookmarkEnd w:id="1"/>
    <w:p w:rsidR="00EC71B8" w:rsidRPr="00ED2F15" w:rsidRDefault="00EC71B8" w:rsidP="00675686">
      <w:pPr>
        <w:ind w:firstLine="680"/>
        <w:jc w:val="both"/>
        <w:rPr>
          <w:sz w:val="24"/>
          <w:szCs w:val="24"/>
          <w:lang w:val="lt-LT"/>
        </w:rPr>
      </w:pPr>
    </w:p>
    <w:p w:rsidR="00D61093" w:rsidRPr="00ED2F15" w:rsidRDefault="00D61093" w:rsidP="00675686">
      <w:pPr>
        <w:ind w:firstLine="680"/>
        <w:jc w:val="both"/>
        <w:rPr>
          <w:sz w:val="24"/>
          <w:szCs w:val="24"/>
          <w:lang w:val="lt-LT"/>
        </w:rPr>
      </w:pPr>
    </w:p>
    <w:p w:rsidR="001E2717" w:rsidRPr="00ED2F15" w:rsidRDefault="001E2717" w:rsidP="00675686">
      <w:pPr>
        <w:ind w:firstLine="680"/>
        <w:jc w:val="both"/>
        <w:rPr>
          <w:sz w:val="24"/>
          <w:szCs w:val="24"/>
          <w:lang w:val="lt-LT"/>
        </w:rPr>
      </w:pPr>
    </w:p>
    <w:p w:rsidR="00380794" w:rsidRPr="00AF6274" w:rsidRDefault="00380794" w:rsidP="00380794">
      <w:pPr>
        <w:jc w:val="both"/>
        <w:rPr>
          <w:sz w:val="24"/>
          <w:szCs w:val="24"/>
          <w:lang w:val="lt-LT" w:eastAsia="lt-LT"/>
        </w:rPr>
      </w:pPr>
      <w:r w:rsidRPr="00AF6274">
        <w:rPr>
          <w:kern w:val="2"/>
          <w:sz w:val="24"/>
          <w:szCs w:val="24"/>
          <w:lang w:val="lt-LT" w:eastAsia="lt-LT"/>
        </w:rPr>
        <w:t>Savivaldybės meras</w:t>
      </w:r>
      <w:r w:rsidRPr="00AF6274">
        <w:rPr>
          <w:kern w:val="2"/>
          <w:sz w:val="24"/>
          <w:szCs w:val="24"/>
          <w:lang w:val="lt-LT" w:eastAsia="lt-LT"/>
        </w:rPr>
        <w:tab/>
      </w:r>
      <w:r w:rsidRPr="00AF6274">
        <w:rPr>
          <w:kern w:val="2"/>
          <w:sz w:val="24"/>
          <w:szCs w:val="24"/>
          <w:lang w:val="lt-LT" w:eastAsia="lt-LT"/>
        </w:rPr>
        <w:tab/>
      </w:r>
      <w:r w:rsidRPr="00AF6274">
        <w:rPr>
          <w:kern w:val="2"/>
          <w:sz w:val="24"/>
          <w:szCs w:val="24"/>
          <w:lang w:val="lt-LT" w:eastAsia="lt-LT"/>
        </w:rPr>
        <w:tab/>
      </w:r>
      <w:r w:rsidRPr="00AF6274">
        <w:rPr>
          <w:kern w:val="2"/>
          <w:sz w:val="24"/>
          <w:szCs w:val="24"/>
          <w:lang w:val="lt-LT" w:eastAsia="lt-LT"/>
        </w:rPr>
        <w:tab/>
      </w:r>
    </w:p>
    <w:p w:rsidR="00BC1CF1" w:rsidRDefault="00BC1CF1" w:rsidP="00380794">
      <w:pPr>
        <w:jc w:val="both"/>
        <w:rPr>
          <w:rFonts w:eastAsia="SimSun"/>
          <w:sz w:val="24"/>
          <w:szCs w:val="24"/>
          <w:lang w:val="lt-LT" w:eastAsia="lo-LA" w:bidi="lo-LA"/>
        </w:rPr>
      </w:pPr>
    </w:p>
    <w:p w:rsidR="00BC1CF1" w:rsidRPr="00AF6274" w:rsidRDefault="00BC1CF1" w:rsidP="00380794">
      <w:pPr>
        <w:jc w:val="both"/>
        <w:rPr>
          <w:rFonts w:eastAsia="SimSun"/>
          <w:sz w:val="24"/>
          <w:szCs w:val="24"/>
          <w:lang w:val="lt-LT" w:eastAsia="lo-LA" w:bidi="lo-LA"/>
        </w:rPr>
      </w:pPr>
    </w:p>
    <w:p w:rsidR="00380794" w:rsidRPr="00AF6274" w:rsidRDefault="00380794" w:rsidP="00380794">
      <w:pPr>
        <w:jc w:val="both"/>
        <w:rPr>
          <w:rFonts w:eastAsia="SimSun"/>
          <w:sz w:val="24"/>
          <w:szCs w:val="24"/>
          <w:lang w:val="lt-LT" w:eastAsia="lo-LA" w:bidi="lo-LA"/>
        </w:rPr>
      </w:pPr>
    </w:p>
    <w:p w:rsidR="00380794" w:rsidRPr="00AF6274" w:rsidRDefault="00380794" w:rsidP="00380794">
      <w:pPr>
        <w:jc w:val="both"/>
        <w:rPr>
          <w:rFonts w:eastAsia="SimSun"/>
          <w:sz w:val="24"/>
          <w:szCs w:val="24"/>
          <w:lang w:val="lt-LT" w:eastAsia="lo-LA" w:bidi="lo-LA"/>
        </w:rPr>
      </w:pPr>
    </w:p>
    <w:p w:rsidR="00380794" w:rsidRPr="00AF6274" w:rsidRDefault="00380794" w:rsidP="00380794">
      <w:pPr>
        <w:jc w:val="both"/>
        <w:rPr>
          <w:rFonts w:eastAsia="SimSun"/>
          <w:sz w:val="24"/>
          <w:szCs w:val="24"/>
          <w:lang w:val="lt-LT" w:eastAsia="lo-LA" w:bidi="lo-LA"/>
        </w:rPr>
      </w:pPr>
    </w:p>
    <w:p w:rsidR="00380794" w:rsidRDefault="00380794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E85936" w:rsidRDefault="00E85936" w:rsidP="00380794">
      <w:pPr>
        <w:rPr>
          <w:sz w:val="24"/>
          <w:szCs w:val="24"/>
          <w:lang w:val="lt-LT" w:eastAsia="lt-LT"/>
        </w:rPr>
      </w:pPr>
    </w:p>
    <w:p w:rsidR="005F6122" w:rsidRDefault="005F6122" w:rsidP="00380794">
      <w:pPr>
        <w:rPr>
          <w:sz w:val="24"/>
          <w:szCs w:val="24"/>
          <w:lang w:val="lt-LT" w:eastAsia="lt-LT"/>
        </w:rPr>
      </w:pPr>
    </w:p>
    <w:p w:rsidR="00380794" w:rsidRPr="00AF6274" w:rsidRDefault="00693C7A" w:rsidP="00380794">
      <w:pPr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Laura Rimdžiūtė</w:t>
      </w:r>
      <w:r w:rsidR="001A3F54">
        <w:rPr>
          <w:sz w:val="24"/>
          <w:szCs w:val="24"/>
          <w:lang w:val="lt-LT" w:eastAsia="lt-LT"/>
        </w:rPr>
        <w:tab/>
      </w:r>
      <w:r w:rsidR="005F4F51">
        <w:rPr>
          <w:sz w:val="24"/>
          <w:szCs w:val="24"/>
          <w:lang w:val="lt-LT" w:eastAsia="lt-LT"/>
        </w:rPr>
        <w:t xml:space="preserve">Arūnas Kacevičius </w:t>
      </w:r>
      <w:r w:rsidR="005F4F51">
        <w:rPr>
          <w:sz w:val="24"/>
          <w:szCs w:val="24"/>
          <w:lang w:val="lt-LT" w:eastAsia="lt-LT"/>
        </w:rPr>
        <w:tab/>
      </w:r>
      <w:r w:rsidR="00380794">
        <w:rPr>
          <w:sz w:val="24"/>
          <w:szCs w:val="24"/>
          <w:lang w:val="lt-LT" w:eastAsia="lt-LT"/>
        </w:rPr>
        <w:t>Dalius Ramonas</w:t>
      </w:r>
      <w:r w:rsidR="00380794">
        <w:rPr>
          <w:sz w:val="24"/>
          <w:szCs w:val="24"/>
          <w:lang w:val="lt-LT" w:eastAsia="lt-LT"/>
        </w:rPr>
        <w:tab/>
      </w:r>
      <w:r w:rsidR="00380794" w:rsidRPr="00AF6274">
        <w:rPr>
          <w:sz w:val="24"/>
          <w:szCs w:val="24"/>
          <w:lang w:val="lt-LT" w:eastAsia="lt-LT"/>
        </w:rPr>
        <w:t>Rūta Švedienė</w:t>
      </w:r>
    </w:p>
    <w:p w:rsidR="00380794" w:rsidRPr="00AF6274" w:rsidRDefault="00D13AF2" w:rsidP="00380794">
      <w:pPr>
        <w:tabs>
          <w:tab w:val="left" w:pos="1296"/>
          <w:tab w:val="left" w:pos="2592"/>
          <w:tab w:val="left" w:pos="3888"/>
          <w:tab w:val="left" w:pos="5280"/>
          <w:tab w:val="left" w:pos="7845"/>
        </w:tabs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20</w:t>
      </w:r>
      <w:r w:rsidR="00693C7A">
        <w:rPr>
          <w:sz w:val="24"/>
          <w:szCs w:val="24"/>
          <w:lang w:val="lt-LT" w:eastAsia="lt-LT"/>
        </w:rPr>
        <w:t>20</w:t>
      </w:r>
      <w:r w:rsidR="00E85936">
        <w:rPr>
          <w:sz w:val="24"/>
          <w:szCs w:val="24"/>
          <w:lang w:val="lt-LT" w:eastAsia="lt-LT"/>
        </w:rPr>
        <w:t>-10</w:t>
      </w:r>
      <w:r>
        <w:rPr>
          <w:sz w:val="24"/>
          <w:szCs w:val="24"/>
          <w:lang w:val="lt-LT" w:eastAsia="lt-LT"/>
        </w:rPr>
        <w:t>-</w:t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  <w:t>20</w:t>
      </w:r>
      <w:r w:rsidR="00693C7A">
        <w:rPr>
          <w:sz w:val="24"/>
          <w:szCs w:val="24"/>
          <w:lang w:val="lt-LT" w:eastAsia="lt-LT"/>
        </w:rPr>
        <w:t>20</w:t>
      </w:r>
      <w:r w:rsidR="00E85936">
        <w:rPr>
          <w:sz w:val="24"/>
          <w:szCs w:val="24"/>
          <w:lang w:val="lt-LT" w:eastAsia="lt-LT"/>
        </w:rPr>
        <w:t>-10</w:t>
      </w:r>
      <w:r>
        <w:rPr>
          <w:sz w:val="24"/>
          <w:szCs w:val="24"/>
          <w:lang w:val="lt-LT" w:eastAsia="lt-LT"/>
        </w:rPr>
        <w:t>-</w:t>
      </w:r>
      <w:r w:rsidR="00380794">
        <w:rPr>
          <w:sz w:val="24"/>
          <w:szCs w:val="24"/>
          <w:lang w:val="lt-LT" w:eastAsia="lt-LT"/>
        </w:rPr>
        <w:tab/>
      </w:r>
      <w:r w:rsidR="00380794">
        <w:rPr>
          <w:sz w:val="24"/>
          <w:szCs w:val="24"/>
          <w:lang w:val="lt-LT" w:eastAsia="lt-LT"/>
        </w:rPr>
        <w:tab/>
      </w:r>
      <w:r w:rsidR="00380794" w:rsidRPr="00AF6274">
        <w:rPr>
          <w:sz w:val="24"/>
          <w:szCs w:val="24"/>
          <w:lang w:val="lt-LT" w:eastAsia="lt-LT"/>
        </w:rPr>
        <w:t>20</w:t>
      </w:r>
      <w:r w:rsidR="00693C7A">
        <w:rPr>
          <w:sz w:val="24"/>
          <w:szCs w:val="24"/>
          <w:lang w:val="lt-LT" w:eastAsia="lt-LT"/>
        </w:rPr>
        <w:t>20</w:t>
      </w:r>
      <w:r w:rsidR="00E85936">
        <w:rPr>
          <w:sz w:val="24"/>
          <w:szCs w:val="24"/>
          <w:lang w:val="lt-LT" w:eastAsia="lt-LT"/>
        </w:rPr>
        <w:t>-10-</w:t>
      </w:r>
      <w:r w:rsidR="00380794">
        <w:rPr>
          <w:sz w:val="24"/>
          <w:szCs w:val="24"/>
          <w:lang w:val="lt-LT" w:eastAsia="lt-LT"/>
        </w:rPr>
        <w:tab/>
      </w:r>
      <w:r w:rsidR="00E85936">
        <w:rPr>
          <w:sz w:val="24"/>
          <w:szCs w:val="24"/>
          <w:lang w:val="lt-LT" w:eastAsia="lt-LT"/>
        </w:rPr>
        <w:t>2020-10-</w:t>
      </w:r>
    </w:p>
    <w:p w:rsidR="00380794" w:rsidRPr="00AF6274" w:rsidRDefault="00380794" w:rsidP="00380794">
      <w:pPr>
        <w:jc w:val="both"/>
        <w:rPr>
          <w:sz w:val="24"/>
          <w:szCs w:val="24"/>
          <w:lang w:val="lt-LT" w:eastAsia="lt-LT"/>
        </w:rPr>
      </w:pPr>
      <w:r w:rsidRPr="00AF6274">
        <w:rPr>
          <w:sz w:val="24"/>
          <w:szCs w:val="24"/>
          <w:lang w:val="lt-LT" w:eastAsia="lt-LT"/>
        </w:rPr>
        <w:t>Kėdainių rajono savivaldybės tarybai</w:t>
      </w:r>
    </w:p>
    <w:p w:rsidR="00380794" w:rsidRPr="00AF6274" w:rsidRDefault="00380794" w:rsidP="00380794">
      <w:pPr>
        <w:jc w:val="both"/>
        <w:rPr>
          <w:sz w:val="24"/>
          <w:szCs w:val="24"/>
          <w:lang w:val="lt-LT" w:eastAsia="lt-LT"/>
        </w:rPr>
      </w:pPr>
    </w:p>
    <w:p w:rsidR="00380794" w:rsidRPr="00AF6274" w:rsidRDefault="00380794" w:rsidP="00380794">
      <w:pPr>
        <w:jc w:val="both"/>
        <w:rPr>
          <w:sz w:val="24"/>
          <w:szCs w:val="24"/>
          <w:lang w:val="lt-LT" w:eastAsia="lt-LT"/>
        </w:rPr>
      </w:pPr>
    </w:p>
    <w:p w:rsidR="00380794" w:rsidRPr="00AF6274" w:rsidRDefault="00380794" w:rsidP="00380794">
      <w:pPr>
        <w:ind w:firstLine="680"/>
        <w:jc w:val="center"/>
        <w:rPr>
          <w:b/>
          <w:sz w:val="24"/>
          <w:szCs w:val="24"/>
          <w:lang w:val="lt-LT" w:eastAsia="lt-LT"/>
        </w:rPr>
      </w:pPr>
      <w:r w:rsidRPr="00AF6274">
        <w:rPr>
          <w:b/>
          <w:sz w:val="24"/>
          <w:szCs w:val="24"/>
          <w:lang w:val="lt-LT" w:eastAsia="lt-LT"/>
        </w:rPr>
        <w:t>AIŠKINAMASIS RAŠTAS</w:t>
      </w:r>
    </w:p>
    <w:p w:rsidR="00380794" w:rsidRPr="00AF6274" w:rsidRDefault="00D13AF2" w:rsidP="00380794">
      <w:pPr>
        <w:jc w:val="center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/>
        </w:rPr>
        <w:t>DĖL KĖDAINIŲ RAJONO SAVIVALDYBĖS TARYBOS 2019 M. GEGUŽĖS 3 D. SPRENDIMO NR. TS-71 „</w:t>
      </w:r>
      <w:r w:rsidRPr="00ED2F15">
        <w:rPr>
          <w:b/>
          <w:sz w:val="24"/>
          <w:szCs w:val="24"/>
          <w:lang w:val="lt-LT"/>
        </w:rPr>
        <w:t>DĖL KĖDAINIŲ RAJONO SAVIVALDYBĖS TARYBOS KOMITETŲ SUDARYMO</w:t>
      </w:r>
      <w:r>
        <w:rPr>
          <w:b/>
          <w:sz w:val="24"/>
          <w:szCs w:val="24"/>
          <w:lang w:val="lt-LT"/>
        </w:rPr>
        <w:t>“ PAKEITIMO</w:t>
      </w:r>
    </w:p>
    <w:p w:rsidR="00380794" w:rsidRPr="00AF6274" w:rsidRDefault="00380794" w:rsidP="00380794">
      <w:pPr>
        <w:ind w:firstLine="680"/>
        <w:jc w:val="center"/>
        <w:rPr>
          <w:sz w:val="24"/>
          <w:szCs w:val="24"/>
          <w:lang w:val="lt-LT" w:eastAsia="lt-LT"/>
        </w:rPr>
      </w:pPr>
    </w:p>
    <w:p w:rsidR="00380794" w:rsidRPr="00AF6274" w:rsidRDefault="00BC1CF1" w:rsidP="00380794">
      <w:pPr>
        <w:ind w:firstLine="680"/>
        <w:jc w:val="center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20</w:t>
      </w:r>
      <w:r w:rsidR="00693C7A">
        <w:rPr>
          <w:sz w:val="24"/>
          <w:szCs w:val="24"/>
          <w:lang w:val="lt-LT" w:eastAsia="lt-LT"/>
        </w:rPr>
        <w:t>20</w:t>
      </w:r>
      <w:r>
        <w:rPr>
          <w:sz w:val="24"/>
          <w:szCs w:val="24"/>
          <w:lang w:val="lt-LT" w:eastAsia="lt-LT"/>
        </w:rPr>
        <w:t xml:space="preserve"> m. </w:t>
      </w:r>
      <w:r w:rsidR="00E85936">
        <w:rPr>
          <w:sz w:val="24"/>
          <w:szCs w:val="24"/>
          <w:lang w:val="lt-LT" w:eastAsia="lt-LT"/>
        </w:rPr>
        <w:t>spalio 12</w:t>
      </w:r>
      <w:r w:rsidR="00380794" w:rsidRPr="00AF6274">
        <w:rPr>
          <w:sz w:val="24"/>
          <w:szCs w:val="24"/>
          <w:lang w:val="lt-LT" w:eastAsia="lt-LT"/>
        </w:rPr>
        <w:t xml:space="preserve"> d.</w:t>
      </w:r>
    </w:p>
    <w:p w:rsidR="00380794" w:rsidRPr="00AF6274" w:rsidRDefault="00380794" w:rsidP="00380794">
      <w:pPr>
        <w:ind w:firstLine="680"/>
        <w:jc w:val="center"/>
        <w:rPr>
          <w:sz w:val="24"/>
          <w:szCs w:val="24"/>
          <w:lang w:val="lt-LT" w:eastAsia="lt-LT"/>
        </w:rPr>
      </w:pPr>
      <w:r w:rsidRPr="00AF6274">
        <w:rPr>
          <w:sz w:val="24"/>
          <w:szCs w:val="24"/>
          <w:lang w:val="lt-LT" w:eastAsia="lt-LT"/>
        </w:rPr>
        <w:t>Kėdainiai</w:t>
      </w:r>
    </w:p>
    <w:p w:rsidR="00380794" w:rsidRPr="00AF6274" w:rsidRDefault="00380794" w:rsidP="00380794">
      <w:pPr>
        <w:ind w:firstLine="709"/>
        <w:rPr>
          <w:sz w:val="24"/>
          <w:szCs w:val="24"/>
          <w:lang w:val="lt-LT" w:eastAsia="lt-LT"/>
        </w:rPr>
      </w:pPr>
    </w:p>
    <w:p w:rsidR="00380794" w:rsidRPr="00AF6274" w:rsidRDefault="00380794" w:rsidP="00380794">
      <w:pPr>
        <w:ind w:firstLine="680"/>
        <w:jc w:val="both"/>
        <w:rPr>
          <w:b/>
          <w:sz w:val="24"/>
          <w:szCs w:val="24"/>
          <w:lang w:val="lt-LT" w:eastAsia="lt-LT"/>
        </w:rPr>
      </w:pPr>
      <w:r w:rsidRPr="00AF6274">
        <w:rPr>
          <w:b/>
          <w:sz w:val="24"/>
          <w:szCs w:val="24"/>
          <w:lang w:val="lt-LT" w:eastAsia="lt-LT"/>
        </w:rPr>
        <w:t>Parengto sprendimo projekto tikslai</w:t>
      </w:r>
    </w:p>
    <w:p w:rsidR="00E53E74" w:rsidRDefault="00380794" w:rsidP="00380794">
      <w:pPr>
        <w:ind w:firstLine="680"/>
        <w:jc w:val="both"/>
        <w:rPr>
          <w:bCs/>
          <w:sz w:val="24"/>
          <w:szCs w:val="24"/>
          <w:lang w:val="lt-LT"/>
        </w:rPr>
      </w:pPr>
      <w:r w:rsidRPr="00AF6274">
        <w:rPr>
          <w:sz w:val="24"/>
          <w:szCs w:val="24"/>
          <w:lang w:val="lt-LT" w:eastAsia="lt-LT"/>
        </w:rPr>
        <w:t xml:space="preserve">Pakeisti Kėdainių rajono savivaldybės tarybos </w:t>
      </w:r>
      <w:r w:rsidR="00E53E74">
        <w:rPr>
          <w:sz w:val="24"/>
          <w:szCs w:val="24"/>
          <w:lang w:val="lt-LT"/>
        </w:rPr>
        <w:t>Ekonomikos ir biudžeto</w:t>
      </w:r>
      <w:r w:rsidR="00C67A21">
        <w:rPr>
          <w:sz w:val="24"/>
          <w:szCs w:val="24"/>
          <w:lang w:val="lt-LT"/>
        </w:rPr>
        <w:t xml:space="preserve"> komiteto</w:t>
      </w:r>
      <w:r w:rsidRPr="00AF6274">
        <w:rPr>
          <w:sz w:val="24"/>
          <w:szCs w:val="24"/>
          <w:lang w:val="lt-LT" w:eastAsia="lt-LT"/>
        </w:rPr>
        <w:t xml:space="preserve"> sudėtį</w:t>
      </w:r>
      <w:r w:rsidR="001D16DB">
        <w:rPr>
          <w:sz w:val="24"/>
          <w:szCs w:val="24"/>
          <w:lang w:val="lt-LT" w:eastAsia="lt-LT"/>
        </w:rPr>
        <w:t xml:space="preserve">, </w:t>
      </w:r>
      <w:r w:rsidR="00E53E74">
        <w:rPr>
          <w:sz w:val="24"/>
          <w:szCs w:val="24"/>
          <w:lang w:val="lt-LT" w:eastAsia="lt-LT"/>
        </w:rPr>
        <w:t xml:space="preserve">kad atitiktų </w:t>
      </w:r>
      <w:r w:rsidR="00E53E74" w:rsidRPr="00E53E74">
        <w:rPr>
          <w:bCs/>
          <w:sz w:val="24"/>
          <w:szCs w:val="24"/>
          <w:lang w:val="lt-LT"/>
        </w:rPr>
        <w:t xml:space="preserve">Kėdainių rajono savivaldybės taryba 2020 m. liepos 3 </w:t>
      </w:r>
      <w:r w:rsidR="00E53E74">
        <w:rPr>
          <w:bCs/>
          <w:sz w:val="24"/>
          <w:szCs w:val="24"/>
          <w:lang w:val="lt-LT"/>
        </w:rPr>
        <w:t>d.</w:t>
      </w:r>
      <w:r w:rsidR="00E53E74" w:rsidRPr="00E53E74">
        <w:rPr>
          <w:bCs/>
          <w:sz w:val="24"/>
          <w:szCs w:val="24"/>
          <w:lang w:val="lt-LT"/>
        </w:rPr>
        <w:t xml:space="preserve"> </w:t>
      </w:r>
      <w:r w:rsidR="00E53E74">
        <w:rPr>
          <w:bCs/>
          <w:sz w:val="24"/>
          <w:szCs w:val="24"/>
          <w:lang w:val="lt-LT"/>
        </w:rPr>
        <w:t>sprendimo</w:t>
      </w:r>
      <w:r w:rsidR="00E53E74" w:rsidRPr="00E53E74">
        <w:rPr>
          <w:bCs/>
          <w:sz w:val="24"/>
          <w:szCs w:val="24"/>
          <w:lang w:val="lt-LT"/>
        </w:rPr>
        <w:t xml:space="preserve"> Nr. TS-184 „</w:t>
      </w:r>
      <w:r w:rsidR="00E53E74" w:rsidRPr="00E53E74">
        <w:rPr>
          <w:bCs/>
          <w:sz w:val="24"/>
          <w:szCs w:val="24"/>
          <w:lang w:val="lt-LT" w:eastAsia="lt-LT"/>
        </w:rPr>
        <w:t>Dėl Kėdainių rajono savivaldybės tarybos 2011 m. gegužės 13 d. sprendimo Nr. TS-145 „Dėl Kėdainių rajono savivaldybės tarybos veiklos reglamento tvirtinimo“ pakeitimo“</w:t>
      </w:r>
      <w:r w:rsidR="00E53E74" w:rsidRPr="00E53E74">
        <w:rPr>
          <w:bCs/>
          <w:sz w:val="24"/>
          <w:szCs w:val="24"/>
          <w:lang w:val="lt-LT"/>
        </w:rPr>
        <w:t xml:space="preserve"> </w:t>
      </w:r>
      <w:r w:rsidR="00E53E74">
        <w:rPr>
          <w:bCs/>
          <w:sz w:val="24"/>
          <w:szCs w:val="24"/>
          <w:lang w:val="lt-LT"/>
        </w:rPr>
        <w:t>101 punktą.</w:t>
      </w:r>
    </w:p>
    <w:p w:rsidR="00380794" w:rsidRPr="00AF6274" w:rsidRDefault="00E53E74" w:rsidP="00380794">
      <w:pPr>
        <w:ind w:firstLine="680"/>
        <w:jc w:val="both"/>
        <w:rPr>
          <w:b/>
          <w:sz w:val="24"/>
          <w:szCs w:val="24"/>
          <w:lang w:val="lt-LT" w:eastAsia="lt-LT"/>
        </w:rPr>
      </w:pPr>
      <w:r w:rsidRPr="00AF6274">
        <w:rPr>
          <w:b/>
          <w:sz w:val="24"/>
          <w:szCs w:val="24"/>
          <w:lang w:val="lt-LT" w:eastAsia="lt-LT"/>
        </w:rPr>
        <w:t xml:space="preserve"> </w:t>
      </w:r>
      <w:r w:rsidR="00380794" w:rsidRPr="00AF6274">
        <w:rPr>
          <w:b/>
          <w:sz w:val="24"/>
          <w:szCs w:val="24"/>
          <w:lang w:val="lt-LT" w:eastAsia="lt-LT"/>
        </w:rPr>
        <w:t>Sprendimo projekto esmė, rengimo priežastys ir motyvai:</w:t>
      </w:r>
    </w:p>
    <w:p w:rsidR="00E53E74" w:rsidRPr="00E53E74" w:rsidRDefault="00E53E74" w:rsidP="00E53E74">
      <w:pPr>
        <w:jc w:val="both"/>
        <w:rPr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/>
        </w:rPr>
        <w:tab/>
      </w:r>
      <w:r w:rsidRPr="00E53E74">
        <w:rPr>
          <w:bCs/>
          <w:sz w:val="24"/>
          <w:szCs w:val="24"/>
          <w:lang w:val="lt-LT"/>
        </w:rPr>
        <w:t>Kėdainių rajono savivaldybės taryba 2020 m. liepos 3 d. vykusiame posėdyje sprendimu Nr. TS-184 „</w:t>
      </w:r>
      <w:r w:rsidRPr="00E53E74">
        <w:rPr>
          <w:bCs/>
          <w:sz w:val="24"/>
          <w:szCs w:val="24"/>
          <w:lang w:val="lt-LT" w:eastAsia="lt-LT"/>
        </w:rPr>
        <w:t>Dėl Kėdainių rajono savivaldybės tarybos 2011 m. gegužės 13 d. sprendimo Nr. TS-145 „Dėl Kėdainių rajono savivaldybės tarybos veiklos reglamento tvirtinimo“ pakeitimo“</w:t>
      </w:r>
      <w:r w:rsidRPr="00E53E74">
        <w:rPr>
          <w:bCs/>
          <w:sz w:val="24"/>
          <w:szCs w:val="24"/>
          <w:lang w:val="lt-LT"/>
        </w:rPr>
        <w:t xml:space="preserve"> pakeitė Kėdainių rajono savivaldybės tarybos reglamento 101 punktą: </w:t>
      </w:r>
      <w:r w:rsidRPr="00E53E74">
        <w:rPr>
          <w:sz w:val="24"/>
          <w:szCs w:val="24"/>
          <w:lang w:val="lt-LT" w:eastAsia="lt-LT"/>
        </w:rPr>
        <w:t xml:space="preserve">„Kiekvienas tarybos narys privalo būti vieno komiteto (išskyrus Kontrolės komitetą) nariu. Tarybos komitetai sudaromi ne mažiau kaip iš 3 ir ne daugiau nei iš 6 tarybos narių. Tarybos komiteto narių skaičius nustatomas tarybos sprendimu. </w:t>
      </w:r>
      <w:r w:rsidRPr="00E53E74">
        <w:rPr>
          <w:bCs/>
          <w:sz w:val="24"/>
          <w:szCs w:val="24"/>
          <w:lang w:val="lt-LT" w:eastAsia="lt-LT"/>
        </w:rPr>
        <w:t>Kandidatus į komitetų narius siūlo partijos, frakcijos bei koalicijos.</w:t>
      </w:r>
      <w:r w:rsidRPr="00E53E74">
        <w:rPr>
          <w:sz w:val="24"/>
          <w:szCs w:val="24"/>
          <w:lang w:val="lt-LT" w:eastAsia="lt-LT"/>
        </w:rPr>
        <w:t xml:space="preserve"> Tvirtinant komitetų sudėtį</w:t>
      </w:r>
      <w:r w:rsidRPr="00E53E74">
        <w:rPr>
          <w:bCs/>
          <w:sz w:val="24"/>
          <w:szCs w:val="24"/>
          <w:lang w:val="lt-LT" w:eastAsia="lt-LT"/>
        </w:rPr>
        <w:t>, laikomasi proporcinio daugumos ir mažumos atstovavimo principo</w:t>
      </w:r>
      <w:r w:rsidRPr="00E53E74">
        <w:rPr>
          <w:sz w:val="24"/>
          <w:szCs w:val="24"/>
          <w:lang w:val="lt-LT" w:eastAsia="lt-LT"/>
        </w:rPr>
        <w:t xml:space="preserve">.“ </w:t>
      </w:r>
    </w:p>
    <w:p w:rsidR="00E53E74" w:rsidRPr="00E53E74" w:rsidRDefault="00E53E74" w:rsidP="00E53E74">
      <w:pPr>
        <w:ind w:firstLine="709"/>
        <w:rPr>
          <w:iCs/>
          <w:sz w:val="24"/>
          <w:szCs w:val="24"/>
          <w:lang w:val="lt-LT"/>
        </w:rPr>
      </w:pPr>
      <w:r w:rsidRPr="00E53E74">
        <w:rPr>
          <w:iCs/>
          <w:sz w:val="24"/>
          <w:szCs w:val="24"/>
          <w:lang w:val="lt-LT"/>
        </w:rPr>
        <w:tab/>
        <w:t xml:space="preserve">Vadovaujantis šiomis nuostatomis </w:t>
      </w:r>
      <w:bookmarkStart w:id="2" w:name="_Hlk52806593"/>
      <w:r w:rsidRPr="00E53E74">
        <w:rPr>
          <w:iCs/>
          <w:sz w:val="24"/>
          <w:szCs w:val="24"/>
          <w:lang w:val="lt-LT"/>
        </w:rPr>
        <w:t>Ekonomikos ir biudžeto komitetas</w:t>
      </w:r>
      <w:bookmarkEnd w:id="2"/>
      <w:r w:rsidRPr="00E53E74">
        <w:rPr>
          <w:iCs/>
          <w:sz w:val="24"/>
          <w:szCs w:val="24"/>
          <w:lang w:val="lt-LT"/>
        </w:rPr>
        <w:t xml:space="preserve">, kuriame yra 9 nariai, </w:t>
      </w:r>
      <w:r w:rsidR="00E85936">
        <w:rPr>
          <w:iCs/>
          <w:sz w:val="24"/>
          <w:szCs w:val="24"/>
          <w:lang w:val="lt-LT"/>
        </w:rPr>
        <w:t xml:space="preserve">iki š. m. lapkričio 1 dienos </w:t>
      </w:r>
      <w:r w:rsidRPr="00E53E74">
        <w:rPr>
          <w:iCs/>
          <w:sz w:val="24"/>
          <w:szCs w:val="24"/>
          <w:lang w:val="lt-LT"/>
        </w:rPr>
        <w:t>turi būti pak</w:t>
      </w:r>
      <w:r w:rsidR="00E85936">
        <w:rPr>
          <w:iCs/>
          <w:sz w:val="24"/>
          <w:szCs w:val="24"/>
          <w:lang w:val="lt-LT"/>
        </w:rPr>
        <w:t>eistas ir  sudarytas ne daugiau</w:t>
      </w:r>
      <w:r w:rsidRPr="00E53E74">
        <w:rPr>
          <w:iCs/>
          <w:sz w:val="24"/>
          <w:szCs w:val="24"/>
          <w:lang w:val="lt-LT"/>
        </w:rPr>
        <w:t xml:space="preserve"> kaip iš 6 narių.</w:t>
      </w:r>
    </w:p>
    <w:p w:rsidR="00380794" w:rsidRPr="00AF6274" w:rsidRDefault="00380794" w:rsidP="00E53E74">
      <w:pPr>
        <w:ind w:firstLine="709"/>
        <w:rPr>
          <w:b/>
          <w:sz w:val="24"/>
          <w:szCs w:val="24"/>
          <w:lang w:val="lt-LT" w:eastAsia="lt-LT"/>
        </w:rPr>
      </w:pPr>
      <w:r w:rsidRPr="00AF6274">
        <w:rPr>
          <w:b/>
          <w:sz w:val="24"/>
          <w:szCs w:val="24"/>
          <w:lang w:val="lt-LT" w:eastAsia="lt-LT"/>
        </w:rPr>
        <w:t>Lėšų poreikis (jeigu sprendimui įgyvendinti reikalingos lėšos):</w:t>
      </w:r>
    </w:p>
    <w:p w:rsidR="00380794" w:rsidRPr="00AF6274" w:rsidRDefault="00380794" w:rsidP="00380794">
      <w:pPr>
        <w:ind w:firstLine="709"/>
        <w:rPr>
          <w:sz w:val="24"/>
          <w:szCs w:val="24"/>
          <w:lang w:val="lt-LT" w:eastAsia="lt-LT"/>
        </w:rPr>
      </w:pPr>
      <w:r w:rsidRPr="00AF6274">
        <w:rPr>
          <w:sz w:val="24"/>
          <w:szCs w:val="24"/>
          <w:lang w:val="lt-LT" w:eastAsia="lt-LT"/>
        </w:rPr>
        <w:t>Nėra.</w:t>
      </w:r>
    </w:p>
    <w:p w:rsidR="00380794" w:rsidRPr="00AF6274" w:rsidRDefault="00380794" w:rsidP="00380794">
      <w:pPr>
        <w:ind w:firstLine="680"/>
        <w:jc w:val="both"/>
        <w:rPr>
          <w:b/>
          <w:sz w:val="24"/>
          <w:szCs w:val="24"/>
          <w:lang w:val="lt-LT" w:eastAsia="lt-LT"/>
        </w:rPr>
      </w:pPr>
      <w:r w:rsidRPr="00AF6274">
        <w:rPr>
          <w:b/>
          <w:sz w:val="24"/>
          <w:szCs w:val="24"/>
          <w:lang w:val="lt-LT" w:eastAsia="lt-LT"/>
        </w:rPr>
        <w:t>Laukiami rezultatai</w:t>
      </w:r>
    </w:p>
    <w:p w:rsidR="00380794" w:rsidRPr="00AF6274" w:rsidRDefault="00380794" w:rsidP="00380794">
      <w:pPr>
        <w:ind w:firstLine="680"/>
        <w:jc w:val="both"/>
        <w:rPr>
          <w:b/>
          <w:sz w:val="24"/>
          <w:szCs w:val="24"/>
          <w:lang w:val="lt-LT" w:eastAsia="lt-LT"/>
        </w:rPr>
      </w:pPr>
      <w:r w:rsidRPr="00AF6274">
        <w:rPr>
          <w:sz w:val="24"/>
          <w:szCs w:val="24"/>
          <w:lang w:val="lt-LT" w:eastAsia="lt-LT"/>
        </w:rPr>
        <w:t xml:space="preserve">Bus pakeista </w:t>
      </w:r>
      <w:r w:rsidR="00C67A21" w:rsidRPr="00AF6274">
        <w:rPr>
          <w:sz w:val="24"/>
          <w:szCs w:val="24"/>
          <w:lang w:val="lt-LT" w:eastAsia="lt-LT"/>
        </w:rPr>
        <w:t xml:space="preserve">Kėdainių rajono savivaldybės tarybos </w:t>
      </w:r>
      <w:r w:rsidR="00E53E74">
        <w:rPr>
          <w:sz w:val="24"/>
          <w:szCs w:val="24"/>
          <w:lang w:val="lt-LT"/>
        </w:rPr>
        <w:t xml:space="preserve">Ekonomikos ir biudžeto </w:t>
      </w:r>
      <w:r w:rsidR="00C67A21">
        <w:rPr>
          <w:sz w:val="24"/>
          <w:szCs w:val="24"/>
          <w:lang w:val="lt-LT"/>
        </w:rPr>
        <w:t>komiteto</w:t>
      </w:r>
      <w:r w:rsidR="00C67A21">
        <w:rPr>
          <w:sz w:val="24"/>
          <w:szCs w:val="24"/>
          <w:lang w:val="lt-LT" w:eastAsia="lt-LT"/>
        </w:rPr>
        <w:t xml:space="preserve"> sudėtis</w:t>
      </w:r>
      <w:r w:rsidRPr="00AF6274">
        <w:rPr>
          <w:sz w:val="24"/>
          <w:szCs w:val="24"/>
          <w:lang w:val="lt-LT" w:eastAsia="lt-LT"/>
        </w:rPr>
        <w:t>.</w:t>
      </w:r>
    </w:p>
    <w:p w:rsidR="00380794" w:rsidRPr="00AF6274" w:rsidRDefault="00380794" w:rsidP="00380794">
      <w:pPr>
        <w:ind w:firstLine="680"/>
        <w:rPr>
          <w:b/>
          <w:bCs/>
          <w:sz w:val="24"/>
          <w:szCs w:val="24"/>
          <w:lang w:val="lt-LT" w:eastAsia="lt-LT"/>
        </w:rPr>
      </w:pPr>
      <w:r w:rsidRPr="00AF6274">
        <w:rPr>
          <w:b/>
          <w:bCs/>
          <w:sz w:val="24"/>
          <w:szCs w:val="24"/>
          <w:lang w:val="lt-LT"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80794" w:rsidRPr="001D16DB" w:rsidTr="00BC1CF1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94" w:rsidRPr="001D16DB" w:rsidRDefault="00380794" w:rsidP="00BC1CF1">
            <w:pPr>
              <w:rPr>
                <w:b/>
                <w:lang w:val="lt-LT" w:bidi="lo-LA"/>
              </w:rPr>
            </w:pPr>
            <w:r w:rsidRPr="001D16DB">
              <w:rPr>
                <w:b/>
                <w:lang w:val="lt-LT"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jc w:val="center"/>
              <w:rPr>
                <w:b/>
                <w:bCs/>
                <w:lang w:val="lt-LT" w:eastAsia="lt-LT"/>
              </w:rPr>
            </w:pPr>
            <w:r w:rsidRPr="001D16DB">
              <w:rPr>
                <w:b/>
                <w:bCs/>
                <w:lang w:val="lt-LT" w:eastAsia="lt-LT"/>
              </w:rPr>
              <w:t>Numatomo teisinio reguliavimo poveikio vertinimo rezultatai</w:t>
            </w:r>
          </w:p>
        </w:tc>
      </w:tr>
      <w:tr w:rsidR="00380794" w:rsidRPr="001D16DB" w:rsidTr="00BC1CF1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94" w:rsidRPr="001D16DB" w:rsidRDefault="00380794" w:rsidP="00BC1CF1">
            <w:pPr>
              <w:rPr>
                <w:b/>
                <w:lang w:val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94" w:rsidRPr="001D16DB" w:rsidRDefault="00380794" w:rsidP="00BC1CF1">
            <w:pPr>
              <w:jc w:val="center"/>
              <w:rPr>
                <w:b/>
                <w:lang w:val="lt-LT" w:eastAsia="lt-LT"/>
              </w:rPr>
            </w:pPr>
            <w:r w:rsidRPr="001D16DB">
              <w:rPr>
                <w:b/>
                <w:lang w:val="lt-LT"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94" w:rsidRPr="001D16DB" w:rsidRDefault="00380794" w:rsidP="00BC1CF1">
            <w:pPr>
              <w:jc w:val="center"/>
              <w:rPr>
                <w:rFonts w:eastAsia="Calibri"/>
                <w:b/>
                <w:lang w:val="lt-LT" w:bidi="lo-LA"/>
              </w:rPr>
            </w:pPr>
            <w:r w:rsidRPr="001D16DB">
              <w:rPr>
                <w:b/>
                <w:lang w:val="lt-LT" w:eastAsia="lt-LT"/>
              </w:rPr>
              <w:t>Neigiamas poveikis</w:t>
            </w: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  <w:tr w:rsidR="00380794" w:rsidRPr="001D16DB" w:rsidTr="00BC1CF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  <w:r w:rsidRPr="001D16DB">
              <w:rPr>
                <w:i/>
                <w:lang w:val="lt-LT"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94" w:rsidRPr="001D16DB" w:rsidRDefault="00380794" w:rsidP="00BC1CF1">
            <w:pPr>
              <w:rPr>
                <w:i/>
                <w:lang w:val="lt-LT" w:bidi="lo-LA"/>
              </w:rPr>
            </w:pPr>
          </w:p>
        </w:tc>
      </w:tr>
    </w:tbl>
    <w:p w:rsidR="00380794" w:rsidRPr="001D16DB" w:rsidRDefault="00380794" w:rsidP="00380794">
      <w:pPr>
        <w:jc w:val="both"/>
        <w:rPr>
          <w:lang w:val="lt-LT" w:bidi="lo-LA"/>
        </w:rPr>
      </w:pPr>
    </w:p>
    <w:p w:rsidR="001D16DB" w:rsidRPr="001D16DB" w:rsidRDefault="00380794" w:rsidP="00380794">
      <w:pPr>
        <w:jc w:val="both"/>
        <w:rPr>
          <w:lang w:val="lt-LT" w:eastAsia="lt-LT"/>
        </w:rPr>
      </w:pPr>
      <w:r w:rsidRPr="001D16DB">
        <w:rPr>
          <w:b/>
          <w:lang w:val="lt-LT" w:bidi="lo-LA"/>
        </w:rPr>
        <w:t>*</w:t>
      </w:r>
      <w:r w:rsidRPr="001D16DB">
        <w:rPr>
          <w:bCs/>
          <w:lang w:val="lt-LT" w:eastAsia="lt-LT"/>
        </w:rPr>
        <w:t xml:space="preserve"> Numatomo teisinio reguliavimo poveikio vertinimas atliekamas r</w:t>
      </w:r>
      <w:r w:rsidRPr="001D16DB">
        <w:rPr>
          <w:lang w:val="lt-LT" w:eastAsia="lt-LT"/>
        </w:rPr>
        <w:t>engiant teisės akto, kuriuo numatoma reglamentuoti iki tol nereglamentuotus santykius, taip pat kuriuo iš esmės keičiamas teisinis reguliavimas, projektą.</w:t>
      </w:r>
      <w:r w:rsidRPr="001D16DB">
        <w:rPr>
          <w:lang w:val="lt-LT" w:bidi="lo-LA"/>
        </w:rPr>
        <w:t xml:space="preserve"> </w:t>
      </w:r>
      <w:r w:rsidRPr="001D16DB">
        <w:rPr>
          <w:lang w:val="lt-LT"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1A3F54" w:rsidRPr="00AF6274" w:rsidRDefault="001A3F54" w:rsidP="00380794">
      <w:pPr>
        <w:jc w:val="both"/>
        <w:rPr>
          <w:sz w:val="24"/>
          <w:szCs w:val="24"/>
          <w:lang w:val="lt-LT" w:eastAsia="lt-LT"/>
        </w:rPr>
      </w:pPr>
    </w:p>
    <w:p w:rsidR="005A3E5D" w:rsidRPr="00C67A21" w:rsidRDefault="00693C7A" w:rsidP="00C67A2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Tarybos sekretorė</w:t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 w:rsidR="001A3F54">
        <w:rPr>
          <w:sz w:val="24"/>
          <w:szCs w:val="24"/>
          <w:lang w:val="lt-LT" w:eastAsia="lt-LT"/>
        </w:rPr>
        <w:tab/>
      </w:r>
      <w:r w:rsidR="001A3F54">
        <w:rPr>
          <w:sz w:val="24"/>
          <w:szCs w:val="24"/>
          <w:lang w:val="lt-LT" w:eastAsia="lt-LT"/>
        </w:rPr>
        <w:tab/>
      </w:r>
      <w:r w:rsidR="001A3F54">
        <w:rPr>
          <w:sz w:val="24"/>
          <w:szCs w:val="24"/>
          <w:lang w:val="lt-LT" w:eastAsia="lt-LT"/>
        </w:rPr>
        <w:tab/>
        <w:t xml:space="preserve">    </w:t>
      </w:r>
      <w:r>
        <w:rPr>
          <w:sz w:val="24"/>
          <w:szCs w:val="24"/>
          <w:lang w:val="lt-LT" w:eastAsia="lt-LT"/>
        </w:rPr>
        <w:t>Laura Rimdžiūtė</w:t>
      </w:r>
      <w:r w:rsidR="00380794" w:rsidRPr="00AF6274">
        <w:rPr>
          <w:sz w:val="24"/>
          <w:szCs w:val="24"/>
          <w:lang w:val="lt-LT" w:eastAsia="lt-LT"/>
        </w:rPr>
        <w:tab/>
      </w:r>
      <w:r w:rsidR="00380794" w:rsidRPr="00AF6274">
        <w:rPr>
          <w:sz w:val="24"/>
          <w:szCs w:val="24"/>
          <w:lang w:val="lt-LT" w:eastAsia="lt-LT"/>
        </w:rPr>
        <w:tab/>
      </w:r>
    </w:p>
    <w:sectPr w:rsidR="005A3E5D" w:rsidRPr="00C67A21" w:rsidSect="00896CC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A30"/>
    <w:multiLevelType w:val="multilevel"/>
    <w:tmpl w:val="5412D15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765565A7"/>
    <w:multiLevelType w:val="hybridMultilevel"/>
    <w:tmpl w:val="548C0EEC"/>
    <w:lvl w:ilvl="0" w:tplc="102CD8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E"/>
    <w:rsid w:val="00027E8F"/>
    <w:rsid w:val="00043966"/>
    <w:rsid w:val="00046BFB"/>
    <w:rsid w:val="000C2FDD"/>
    <w:rsid w:val="000C3D23"/>
    <w:rsid w:val="000D1D92"/>
    <w:rsid w:val="001040B1"/>
    <w:rsid w:val="001049C8"/>
    <w:rsid w:val="001668DB"/>
    <w:rsid w:val="00174B9A"/>
    <w:rsid w:val="001A3F54"/>
    <w:rsid w:val="001B740E"/>
    <w:rsid w:val="001D16DB"/>
    <w:rsid w:val="001E2717"/>
    <w:rsid w:val="00206CF1"/>
    <w:rsid w:val="00227606"/>
    <w:rsid w:val="00267B91"/>
    <w:rsid w:val="002B4609"/>
    <w:rsid w:val="00380794"/>
    <w:rsid w:val="003E5CAE"/>
    <w:rsid w:val="003F6189"/>
    <w:rsid w:val="004256F0"/>
    <w:rsid w:val="004C2B18"/>
    <w:rsid w:val="00515955"/>
    <w:rsid w:val="005673DF"/>
    <w:rsid w:val="005A3E5D"/>
    <w:rsid w:val="005B0FBD"/>
    <w:rsid w:val="005E70BF"/>
    <w:rsid w:val="005F4F51"/>
    <w:rsid w:val="005F6122"/>
    <w:rsid w:val="006148A0"/>
    <w:rsid w:val="00622BC6"/>
    <w:rsid w:val="006579C6"/>
    <w:rsid w:val="00675686"/>
    <w:rsid w:val="00693C7A"/>
    <w:rsid w:val="00703622"/>
    <w:rsid w:val="00752391"/>
    <w:rsid w:val="00760C0C"/>
    <w:rsid w:val="007645CB"/>
    <w:rsid w:val="00787546"/>
    <w:rsid w:val="007928D8"/>
    <w:rsid w:val="007B1861"/>
    <w:rsid w:val="007C16C6"/>
    <w:rsid w:val="007D43FC"/>
    <w:rsid w:val="0080112C"/>
    <w:rsid w:val="00813E0C"/>
    <w:rsid w:val="00846D40"/>
    <w:rsid w:val="00866FD8"/>
    <w:rsid w:val="00896CCE"/>
    <w:rsid w:val="008A45FD"/>
    <w:rsid w:val="008A657D"/>
    <w:rsid w:val="008D465B"/>
    <w:rsid w:val="009367A9"/>
    <w:rsid w:val="00962612"/>
    <w:rsid w:val="009F20C9"/>
    <w:rsid w:val="00A4384B"/>
    <w:rsid w:val="00A45673"/>
    <w:rsid w:val="00A54FB2"/>
    <w:rsid w:val="00AC4E05"/>
    <w:rsid w:val="00AC58AA"/>
    <w:rsid w:val="00B30346"/>
    <w:rsid w:val="00B535C2"/>
    <w:rsid w:val="00B85D03"/>
    <w:rsid w:val="00B864AD"/>
    <w:rsid w:val="00BC1CF1"/>
    <w:rsid w:val="00BF50F2"/>
    <w:rsid w:val="00C46DF9"/>
    <w:rsid w:val="00C67A21"/>
    <w:rsid w:val="00C8671D"/>
    <w:rsid w:val="00CA54C6"/>
    <w:rsid w:val="00D13AF2"/>
    <w:rsid w:val="00D34E2C"/>
    <w:rsid w:val="00D4183E"/>
    <w:rsid w:val="00D61093"/>
    <w:rsid w:val="00DA1CCE"/>
    <w:rsid w:val="00E26FE6"/>
    <w:rsid w:val="00E53E74"/>
    <w:rsid w:val="00E56558"/>
    <w:rsid w:val="00E85936"/>
    <w:rsid w:val="00EC71B8"/>
    <w:rsid w:val="00ED2F15"/>
    <w:rsid w:val="00F3204D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B241B-3676-4A35-9E65-CE76BBA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6CCE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96CCE"/>
    <w:pPr>
      <w:spacing w:after="120"/>
    </w:pPr>
  </w:style>
  <w:style w:type="character" w:customStyle="1" w:styleId="PagrindinistekstasDiagrama">
    <w:name w:val="Pagrindinis tekstas Diagrama"/>
    <w:link w:val="Pagrindinistekstas"/>
    <w:rsid w:val="00896CCE"/>
    <w:rPr>
      <w:rFonts w:ascii="Times New Roman" w:eastAsia="Times New Roman" w:hAnsi="Times New Roman" w:cs="Times New Roman"/>
      <w:sz w:val="20"/>
      <w:szCs w:val="20"/>
      <w:lang w:val="en-US" w:eastAsia="ar-SA" w:bidi="ar-SA"/>
    </w:rPr>
  </w:style>
  <w:style w:type="paragraph" w:customStyle="1" w:styleId="Antrinispavadinimas">
    <w:name w:val="Antrinis pavadinimas"/>
    <w:aliases w:val="Char,Char Char Char Char Char Char Char Char, Char,Char Char Char,Char Char Char Char Char, Char Diagrama1 Diagrama,Char Diagrama Diagrama Diagrama Diagrama Char Char Char"/>
    <w:basedOn w:val="prastasis"/>
    <w:next w:val="Pagrindinistekstas"/>
    <w:link w:val="AntrinispavadinimasDiagrama"/>
    <w:qFormat/>
    <w:rsid w:val="00896CCE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aliases w:val="Char Diagrama,Char Char Char Char Char Char Char Char Diagrama, Char Diagrama,Char Char Char Diagrama,Char Char Char Char Char Diagrama, Char Diagrama1 Diagrama Diagrama"/>
    <w:link w:val="Antrinispavadinimas"/>
    <w:rsid w:val="00896CCE"/>
    <w:rPr>
      <w:rFonts w:ascii="Times New Roman" w:eastAsia="Times New Roman" w:hAnsi="Times New Roman" w:cs="Times New Roman"/>
      <w:b/>
      <w:sz w:val="24"/>
      <w:szCs w:val="20"/>
      <w:lang w:eastAsia="ar-SA" w:bidi="ar-SA"/>
    </w:rPr>
  </w:style>
  <w:style w:type="character" w:styleId="Hipersaitas">
    <w:name w:val="Hyperlink"/>
    <w:uiPriority w:val="99"/>
    <w:unhideWhenUsed/>
    <w:rsid w:val="00896CC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579C6"/>
    <w:rPr>
      <w:rFonts w:ascii="Courier New" w:hAnsi="Courier New" w:cs="Courier New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6579C6"/>
    <w:rPr>
      <w:rFonts w:ascii="Courier New" w:eastAsia="Times New Roman" w:hAnsi="Courier New" w:cs="Courier New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D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46DF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D.Apanaviciene</dc:creator>
  <cp:keywords/>
  <cp:lastModifiedBy>Vartotoja</cp:lastModifiedBy>
  <cp:revision>7</cp:revision>
  <cp:lastPrinted>2020-10-15T08:01:00Z</cp:lastPrinted>
  <dcterms:created xsi:type="dcterms:W3CDTF">2020-10-14T13:14:00Z</dcterms:created>
  <dcterms:modified xsi:type="dcterms:W3CDTF">2020-10-15T08:08:00Z</dcterms:modified>
</cp:coreProperties>
</file>