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32" w:rsidRPr="00780E0B" w:rsidRDefault="00B46832" w:rsidP="00B46832">
      <w:pPr>
        <w:tabs>
          <w:tab w:val="left" w:pos="180"/>
        </w:tabs>
        <w:ind w:right="-82"/>
        <w:jc w:val="center"/>
        <w:rPr>
          <w:b/>
        </w:rPr>
      </w:pPr>
      <w:r>
        <w:t xml:space="preserve">                                             </w:t>
      </w:r>
      <w:r>
        <w:tab/>
      </w:r>
      <w:r w:rsidRPr="00780E0B">
        <w:rPr>
          <w:b/>
        </w:rPr>
        <w:tab/>
      </w:r>
      <w:r>
        <w:rPr>
          <w:b/>
        </w:rPr>
        <w:t xml:space="preserve">                                                 </w:t>
      </w:r>
      <w:r w:rsidRPr="00780E0B">
        <w:rPr>
          <w:b/>
        </w:rPr>
        <w:t xml:space="preserve">  Projektas</w:t>
      </w:r>
    </w:p>
    <w:p w:rsidR="00B46832" w:rsidRDefault="00B46832" w:rsidP="00B46832">
      <w:pPr>
        <w:tabs>
          <w:tab w:val="left" w:pos="180"/>
        </w:tabs>
        <w:ind w:right="-82"/>
        <w:jc w:val="center"/>
      </w:pPr>
      <w:r>
        <w:object w:dxaOrig="1372" w:dyaOrig="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/>
            <v:imagedata r:id="rId5" o:title=""/>
          </v:shape>
          <o:OLEObject Type="Embed" ProgID="OutPlace" ShapeID="_x0000_i1025" DrawAspect="Content" ObjectID="_1575359271" r:id="rId6"/>
        </w:object>
      </w:r>
    </w:p>
    <w:p w:rsidR="00B46832" w:rsidRDefault="00B46832" w:rsidP="00B46832">
      <w:pPr>
        <w:tabs>
          <w:tab w:val="left" w:pos="180"/>
        </w:tabs>
        <w:ind w:right="-82"/>
        <w:jc w:val="center"/>
        <w:rPr>
          <w:rFonts w:eastAsia="Times New Roman"/>
          <w:b/>
          <w:bCs/>
          <w:sz w:val="22"/>
          <w:szCs w:val="22"/>
        </w:rPr>
      </w:pPr>
    </w:p>
    <w:p w:rsidR="00B46832" w:rsidRDefault="00B46832" w:rsidP="00B46832">
      <w:pPr>
        <w:spacing w:line="200" w:lineRule="atLeast"/>
        <w:jc w:val="center"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/>
          <w:bCs/>
          <w:caps/>
          <w:lang w:eastAsia="ar-SA"/>
        </w:rPr>
        <w:t>kėdainių rajono savivaldybėS TARYBA</w:t>
      </w:r>
    </w:p>
    <w:p w:rsidR="00B46832" w:rsidRDefault="00B46832" w:rsidP="004A0867">
      <w:pPr>
        <w:spacing w:line="200" w:lineRule="atLeast"/>
        <w:ind w:firstLineChars="720" w:firstLine="1735"/>
        <w:rPr>
          <w:rFonts w:eastAsia="Times New Roman"/>
          <w:b/>
          <w:bCs/>
          <w:caps/>
          <w:lang w:eastAsia="ar-SA"/>
        </w:rPr>
      </w:pPr>
    </w:p>
    <w:p w:rsidR="00B46832" w:rsidRDefault="00B46832" w:rsidP="00B46832">
      <w:pPr>
        <w:spacing w:line="200" w:lineRule="atLeast"/>
        <w:jc w:val="center"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/>
          <w:bCs/>
          <w:caps/>
          <w:lang w:eastAsia="ar-SA"/>
        </w:rPr>
        <w:t>SPRENDIMAS</w:t>
      </w:r>
    </w:p>
    <w:p w:rsidR="001254E2" w:rsidRDefault="007730A7" w:rsidP="00B46832">
      <w:pPr>
        <w:pStyle w:val="Pagrindinistekstas"/>
        <w:spacing w:after="0"/>
        <w:jc w:val="center"/>
        <w:rPr>
          <w:b/>
        </w:rPr>
      </w:pPr>
      <w:r w:rsidRPr="009B3768">
        <w:rPr>
          <w:b/>
        </w:rPr>
        <w:t xml:space="preserve">DĖL KĖDAINIŲ RAJONO SAVIVALDYBĖS 2015 M. LIEPOS 3 D. NR. TS-140 SPRENDIMO  „DĖL KĖDAINIŲ RAJONO SAVIVALDYBĖS VISUOMENINĖS ADMINISTRACINIŲ  GINČŲ KOMISIJOS SUDARYMO“ PRIPAŽINIMO </w:t>
      </w:r>
    </w:p>
    <w:p w:rsidR="00B46832" w:rsidRPr="009F5BEB" w:rsidRDefault="007730A7" w:rsidP="00B46832">
      <w:pPr>
        <w:pStyle w:val="Pagrindinistekstas"/>
        <w:spacing w:after="0"/>
        <w:jc w:val="center"/>
        <w:rPr>
          <w:b/>
        </w:rPr>
      </w:pPr>
      <w:r w:rsidRPr="009B3768">
        <w:rPr>
          <w:b/>
        </w:rPr>
        <w:t>NETEKUSIU GALIOS</w:t>
      </w:r>
      <w:r w:rsidR="009B3768" w:rsidRPr="009B3768">
        <w:rPr>
          <w:b/>
        </w:rPr>
        <w:t xml:space="preserve"> </w:t>
      </w:r>
    </w:p>
    <w:p w:rsidR="00B46832" w:rsidRDefault="00B46832" w:rsidP="00B46832">
      <w:pPr>
        <w:rPr>
          <w:b/>
        </w:rPr>
      </w:pPr>
    </w:p>
    <w:p w:rsidR="00B46832" w:rsidRDefault="00B46832" w:rsidP="00B46832">
      <w:pPr>
        <w:ind w:right="-540" w:firstLineChars="720" w:firstLine="1728"/>
        <w:rPr>
          <w:bCs/>
        </w:rPr>
      </w:pPr>
      <w:r>
        <w:rPr>
          <w:bCs/>
        </w:rPr>
        <w:t xml:space="preserve">                               201</w:t>
      </w:r>
      <w:r w:rsidR="006C760B">
        <w:rPr>
          <w:bCs/>
        </w:rPr>
        <w:t>7</w:t>
      </w:r>
      <w:r>
        <w:rPr>
          <w:bCs/>
        </w:rPr>
        <w:t xml:space="preserve"> m. </w:t>
      </w:r>
      <w:r w:rsidR="00233CD0">
        <w:rPr>
          <w:bCs/>
        </w:rPr>
        <w:t>gruodžio</w:t>
      </w:r>
      <w:r w:rsidR="002456CC">
        <w:rPr>
          <w:bCs/>
        </w:rPr>
        <w:t xml:space="preserve"> </w:t>
      </w:r>
      <w:r w:rsidR="00233CD0">
        <w:rPr>
          <w:bCs/>
        </w:rPr>
        <w:t>21</w:t>
      </w:r>
      <w:r>
        <w:rPr>
          <w:bCs/>
        </w:rPr>
        <w:t xml:space="preserve"> d.  Nr. </w:t>
      </w:r>
      <w:r w:rsidR="008F1976">
        <w:rPr>
          <w:bCs/>
        </w:rPr>
        <w:t>SP-</w:t>
      </w:r>
      <w:r w:rsidR="00233CD0">
        <w:rPr>
          <w:bCs/>
        </w:rPr>
        <w:t>264</w:t>
      </w:r>
    </w:p>
    <w:p w:rsidR="00B46832" w:rsidRDefault="00B46832" w:rsidP="00B46832">
      <w:pPr>
        <w:ind w:firstLineChars="720" w:firstLine="1728"/>
        <w:rPr>
          <w:bCs/>
        </w:rPr>
      </w:pPr>
      <w:r>
        <w:rPr>
          <w:bCs/>
        </w:rPr>
        <w:t xml:space="preserve">                                             Kėdainiai</w:t>
      </w:r>
    </w:p>
    <w:p w:rsidR="00B46832" w:rsidRDefault="00B46832" w:rsidP="00B46832">
      <w:pPr>
        <w:ind w:firstLineChars="720" w:firstLine="1728"/>
        <w:jc w:val="center"/>
        <w:rPr>
          <w:bCs/>
        </w:rPr>
      </w:pPr>
    </w:p>
    <w:p w:rsidR="00B46832" w:rsidRDefault="00B46832" w:rsidP="00B468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</w:rPr>
      </w:pPr>
      <w:r>
        <w:rPr>
          <w:rFonts w:eastAsia="Times New Roman"/>
          <w:bCs/>
          <w:lang w:eastAsia="ar-SA"/>
        </w:rPr>
        <w:t>Vadovau</w:t>
      </w:r>
      <w:r w:rsidR="008B7F76">
        <w:rPr>
          <w:rFonts w:eastAsia="Times New Roman"/>
          <w:bCs/>
          <w:lang w:eastAsia="ar-SA"/>
        </w:rPr>
        <w:t xml:space="preserve">damasi </w:t>
      </w:r>
      <w:r>
        <w:rPr>
          <w:rFonts w:eastAsia="Times New Roman"/>
          <w:bCs/>
          <w:lang w:eastAsia="ar-SA"/>
        </w:rPr>
        <w:t>Lietuvos Respublikos vietos savivaldos įstatymo 18 straipsnio 1 dalimi, Kėdainių   rajono savivaldybės taryba n u s p r e n d ž i a:</w:t>
      </w:r>
    </w:p>
    <w:p w:rsidR="007730A7" w:rsidRPr="00AE4476" w:rsidRDefault="00B46832" w:rsidP="00AE4476">
      <w:pPr>
        <w:pStyle w:val="Sraopastraipa"/>
        <w:widowControl/>
        <w:numPr>
          <w:ilvl w:val="0"/>
          <w:numId w:val="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eastAsia="Times New Roman"/>
          <w:bCs/>
          <w:lang w:eastAsia="ar-SA"/>
        </w:rPr>
      </w:pPr>
      <w:bookmarkStart w:id="0" w:name="_Hlk501375627"/>
      <w:r w:rsidRPr="00AE4476">
        <w:rPr>
          <w:rFonts w:eastAsia="Times New Roman"/>
          <w:bCs/>
          <w:lang w:eastAsia="ar-SA"/>
        </w:rPr>
        <w:t xml:space="preserve">Pripažinti netekusiu galios </w:t>
      </w:r>
      <w:r w:rsidR="007730A7" w:rsidRPr="00AE4476">
        <w:rPr>
          <w:rFonts w:eastAsia="Times New Roman"/>
          <w:bCs/>
          <w:lang w:eastAsia="ar-SA"/>
        </w:rPr>
        <w:t>Kėdainių rajono savivaldybės 2015 m. liepos 3 d. Nr. TS-140 sprendimą „Dėl</w:t>
      </w:r>
      <w:r w:rsidR="007730A7" w:rsidRPr="00AE4476">
        <w:rPr>
          <w:rFonts w:eastAsia="Times New Roman"/>
          <w:b/>
          <w:bCs/>
          <w:lang w:eastAsia="ar-SA"/>
        </w:rPr>
        <w:t xml:space="preserve"> </w:t>
      </w:r>
      <w:r w:rsidR="007730A7" w:rsidRPr="00AE4476">
        <w:rPr>
          <w:rFonts w:eastAsia="Times New Roman"/>
          <w:bCs/>
          <w:lang w:eastAsia="ar-SA"/>
        </w:rPr>
        <w:t>Kėdainių rajono savivaldybės visuomeninės administracinių ginčų komisijos sudarymo“</w:t>
      </w:r>
      <w:bookmarkEnd w:id="0"/>
      <w:r w:rsidR="007730A7" w:rsidRPr="00AE4476">
        <w:rPr>
          <w:rFonts w:eastAsia="Times New Roman"/>
          <w:bCs/>
          <w:lang w:eastAsia="ar-SA"/>
        </w:rPr>
        <w:t xml:space="preserve">. </w:t>
      </w:r>
    </w:p>
    <w:p w:rsidR="00AE4476" w:rsidRPr="00AE4476" w:rsidRDefault="00AE4476" w:rsidP="00AE4476">
      <w:pPr>
        <w:pStyle w:val="Sraopastraipa"/>
        <w:widowControl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  <w:r w:rsidRPr="00AE4476">
        <w:rPr>
          <w:rFonts w:eastAsia="Times New Roman"/>
          <w:bCs/>
          <w:lang w:eastAsia="ar-SA"/>
        </w:rPr>
        <w:t>Nustatyti, kad šis sprendimas įsigalioja 2018 m. sausio 1 d.</w:t>
      </w:r>
    </w:p>
    <w:p w:rsidR="007730A7" w:rsidRPr="00120627" w:rsidRDefault="007730A7" w:rsidP="007730A7">
      <w:pPr>
        <w:tabs>
          <w:tab w:val="left" w:pos="709"/>
        </w:tabs>
        <w:jc w:val="both"/>
        <w:rPr>
          <w:lang w:eastAsia="en-GB"/>
        </w:rPr>
      </w:pPr>
      <w:r>
        <w:rPr>
          <w:szCs w:val="20"/>
          <w:lang w:eastAsia="lt-LT"/>
        </w:rPr>
        <w:tab/>
      </w: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7730A7" w:rsidRDefault="007730A7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tabs>
          <w:tab w:val="left" w:pos="7322"/>
        </w:tabs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Savivaldybės meras</w:t>
      </w:r>
      <w:r>
        <w:rPr>
          <w:rFonts w:eastAsia="Times New Roman"/>
          <w:bCs/>
          <w:lang w:eastAsia="ar-SA"/>
        </w:rPr>
        <w:tab/>
        <w:t xml:space="preserve">     </w:t>
      </w: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1254E2" w:rsidRDefault="001254E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1254E2" w:rsidRDefault="001254E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1254E2" w:rsidRDefault="001254E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D87D2C" w:rsidRDefault="00D87D2C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7730A7" w:rsidRDefault="007730A7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7730A7" w:rsidRDefault="007730A7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7730A7" w:rsidRDefault="007730A7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1254E2" w:rsidRDefault="001254E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Dalius Ramonas                                     Ovidijus Kačiulis                      </w:t>
      </w:r>
    </w:p>
    <w:p w:rsidR="00B46832" w:rsidRDefault="00B46832" w:rsidP="00B46832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201</w:t>
      </w:r>
      <w:r w:rsidR="007730A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2456CC">
        <w:rPr>
          <w:rFonts w:eastAsia="Times New Roman"/>
          <w:bCs/>
          <w:lang w:eastAsia="ar-SA"/>
        </w:rPr>
        <w:t>12</w:t>
      </w:r>
      <w:r>
        <w:rPr>
          <w:rFonts w:eastAsia="Times New Roman"/>
          <w:bCs/>
          <w:lang w:eastAsia="ar-SA"/>
        </w:rPr>
        <w:t>-                                                 201</w:t>
      </w:r>
      <w:r w:rsidR="007730A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2456CC">
        <w:rPr>
          <w:rFonts w:eastAsia="Times New Roman"/>
          <w:bCs/>
          <w:lang w:eastAsia="ar-SA"/>
        </w:rPr>
        <w:t>12</w:t>
      </w:r>
      <w:r>
        <w:rPr>
          <w:rFonts w:eastAsia="Times New Roman"/>
          <w:bCs/>
          <w:lang w:eastAsia="ar-SA"/>
        </w:rPr>
        <w:t xml:space="preserve">-                           </w:t>
      </w:r>
    </w:p>
    <w:p w:rsidR="00AE4476" w:rsidRDefault="00AE4476" w:rsidP="004A0867"/>
    <w:p w:rsidR="004A0867" w:rsidRPr="001254E2" w:rsidRDefault="004A0867" w:rsidP="004A0867">
      <w:pPr>
        <w:rPr>
          <w:sz w:val="23"/>
          <w:szCs w:val="23"/>
        </w:rPr>
      </w:pPr>
      <w:r w:rsidRPr="001254E2">
        <w:rPr>
          <w:sz w:val="23"/>
          <w:szCs w:val="23"/>
        </w:rPr>
        <w:lastRenderedPageBreak/>
        <w:t>Kėdainių rajono savivaldybės tarybai</w:t>
      </w:r>
    </w:p>
    <w:p w:rsidR="004A0867" w:rsidRPr="001254E2" w:rsidRDefault="004A0867" w:rsidP="004A0867">
      <w:pPr>
        <w:rPr>
          <w:sz w:val="23"/>
          <w:szCs w:val="23"/>
        </w:rPr>
      </w:pPr>
    </w:p>
    <w:p w:rsidR="004A0867" w:rsidRPr="001254E2" w:rsidRDefault="004A0867" w:rsidP="004A0867">
      <w:pPr>
        <w:jc w:val="center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AIŠKINAMASIS RAŠTAS</w:t>
      </w:r>
    </w:p>
    <w:p w:rsidR="001254E2" w:rsidRPr="001254E2" w:rsidRDefault="00AE4476" w:rsidP="00AE4476">
      <w:pPr>
        <w:pStyle w:val="Pagrindinistekstas"/>
        <w:spacing w:after="0"/>
        <w:jc w:val="center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 xml:space="preserve">DĖL KĖDAINIŲ RAJONO SAVIVALDYBĖS 2015 M. LIEPOS 3 D. NR. TS-140 SPRENDIMO  „DĖL KĖDAINIŲ RAJONO SAVIVALDYBĖS VISUOMENINĖS ADMINISTRACINIŲ  GINČŲ KOMISIJOS SUDARYMO“ PRIPAŽINIMO </w:t>
      </w:r>
    </w:p>
    <w:p w:rsidR="00AE4476" w:rsidRPr="001254E2" w:rsidRDefault="00AE4476" w:rsidP="00AE4476">
      <w:pPr>
        <w:pStyle w:val="Pagrindinistekstas"/>
        <w:spacing w:after="0"/>
        <w:jc w:val="center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 xml:space="preserve">NETEKUSIU GALIOS </w:t>
      </w:r>
    </w:p>
    <w:p w:rsidR="004A0867" w:rsidRPr="001254E2" w:rsidRDefault="004A0867" w:rsidP="004A0867">
      <w:pPr>
        <w:jc w:val="center"/>
        <w:rPr>
          <w:sz w:val="23"/>
          <w:szCs w:val="23"/>
        </w:rPr>
      </w:pPr>
      <w:r w:rsidRPr="001254E2">
        <w:rPr>
          <w:sz w:val="23"/>
          <w:szCs w:val="23"/>
        </w:rPr>
        <w:t>201</w:t>
      </w:r>
      <w:r w:rsidR="00AE4476" w:rsidRPr="001254E2">
        <w:rPr>
          <w:sz w:val="23"/>
          <w:szCs w:val="23"/>
        </w:rPr>
        <w:t>7</w:t>
      </w:r>
      <w:r w:rsidRPr="001254E2">
        <w:rPr>
          <w:sz w:val="23"/>
          <w:szCs w:val="23"/>
        </w:rPr>
        <w:t xml:space="preserve"> m. </w:t>
      </w:r>
      <w:r w:rsidR="002456CC" w:rsidRPr="001254E2">
        <w:rPr>
          <w:sz w:val="23"/>
          <w:szCs w:val="23"/>
        </w:rPr>
        <w:t xml:space="preserve">gruodžio </w:t>
      </w:r>
      <w:r w:rsidRPr="001254E2">
        <w:rPr>
          <w:sz w:val="23"/>
          <w:szCs w:val="23"/>
        </w:rPr>
        <w:t xml:space="preserve">  </w:t>
      </w:r>
      <w:r w:rsidR="00BC4391">
        <w:rPr>
          <w:sz w:val="23"/>
          <w:szCs w:val="23"/>
        </w:rPr>
        <w:t>21</w:t>
      </w:r>
      <w:bookmarkStart w:id="1" w:name="_GoBack"/>
      <w:bookmarkEnd w:id="1"/>
      <w:r w:rsidRPr="001254E2">
        <w:rPr>
          <w:sz w:val="23"/>
          <w:szCs w:val="23"/>
        </w:rPr>
        <w:t xml:space="preserve">   d.      </w:t>
      </w:r>
    </w:p>
    <w:p w:rsidR="004A0867" w:rsidRPr="001254E2" w:rsidRDefault="004A0867" w:rsidP="004A0867">
      <w:pPr>
        <w:jc w:val="center"/>
        <w:rPr>
          <w:sz w:val="23"/>
          <w:szCs w:val="23"/>
        </w:rPr>
      </w:pPr>
      <w:r w:rsidRPr="001254E2">
        <w:rPr>
          <w:sz w:val="23"/>
          <w:szCs w:val="23"/>
        </w:rPr>
        <w:t>Kėdainiai</w:t>
      </w:r>
    </w:p>
    <w:p w:rsidR="004A0867" w:rsidRPr="001254E2" w:rsidRDefault="004A0867" w:rsidP="004A0867">
      <w:pPr>
        <w:rPr>
          <w:sz w:val="23"/>
          <w:szCs w:val="23"/>
        </w:rPr>
      </w:pPr>
    </w:p>
    <w:p w:rsidR="004A0867" w:rsidRPr="001254E2" w:rsidRDefault="004A0867" w:rsidP="004A0867">
      <w:pPr>
        <w:ind w:firstLine="709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Parengto sprendimo projekto tikslai:</w:t>
      </w:r>
    </w:p>
    <w:p w:rsidR="004A0867" w:rsidRPr="001254E2" w:rsidRDefault="00AE4476" w:rsidP="004A08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NewRoman" w:eastAsia="Times New Roman" w:hAnsi="TimesNewRoman" w:cs="TimesNewRoman"/>
          <w:sz w:val="23"/>
          <w:szCs w:val="23"/>
        </w:rPr>
      </w:pPr>
      <w:r w:rsidRPr="001254E2">
        <w:rPr>
          <w:rFonts w:eastAsia="Times New Roman"/>
          <w:bCs/>
          <w:sz w:val="23"/>
          <w:szCs w:val="23"/>
          <w:lang w:eastAsia="ar-SA"/>
        </w:rPr>
        <w:t>Pripažinti netekusiu galios Kėdainių rajono savivaldybės 2015 m. liepos 3 d. Nr. TS-140 sprendimą „Dėl</w:t>
      </w:r>
      <w:r w:rsidRPr="001254E2">
        <w:rPr>
          <w:rFonts w:eastAsia="Times New Roman"/>
          <w:b/>
          <w:bCs/>
          <w:sz w:val="23"/>
          <w:szCs w:val="23"/>
          <w:lang w:eastAsia="ar-SA"/>
        </w:rPr>
        <w:t xml:space="preserve"> </w:t>
      </w:r>
      <w:r w:rsidRPr="001254E2">
        <w:rPr>
          <w:rFonts w:eastAsia="Times New Roman"/>
          <w:bCs/>
          <w:sz w:val="23"/>
          <w:szCs w:val="23"/>
          <w:lang w:eastAsia="ar-SA"/>
        </w:rPr>
        <w:t>Kėdainių rajono savivaldybės visuomeninės administracinių ginčų komisijos sudarymo“</w:t>
      </w:r>
      <w:r w:rsidR="004A0867" w:rsidRPr="001254E2">
        <w:rPr>
          <w:rFonts w:eastAsia="Times New Roman"/>
          <w:bCs/>
          <w:sz w:val="23"/>
          <w:szCs w:val="23"/>
          <w:lang w:eastAsia="ar-SA"/>
        </w:rPr>
        <w:t>.</w:t>
      </w:r>
    </w:p>
    <w:p w:rsidR="004A0867" w:rsidRPr="001254E2" w:rsidRDefault="004A0867" w:rsidP="004A0867">
      <w:pPr>
        <w:ind w:firstLine="709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Sprendimo projekto esmė</w:t>
      </w:r>
      <w:r w:rsidRPr="001254E2">
        <w:rPr>
          <w:sz w:val="23"/>
          <w:szCs w:val="23"/>
        </w:rPr>
        <w:t xml:space="preserve">, </w:t>
      </w:r>
      <w:r w:rsidRPr="001254E2">
        <w:rPr>
          <w:b/>
          <w:sz w:val="23"/>
          <w:szCs w:val="23"/>
        </w:rPr>
        <w:t xml:space="preserve">rengimo priežastys ir motyvai: </w:t>
      </w:r>
    </w:p>
    <w:p w:rsidR="004A0867" w:rsidRPr="001254E2" w:rsidRDefault="004A0867" w:rsidP="001254E2">
      <w:pPr>
        <w:ind w:firstLine="709"/>
        <w:jc w:val="both"/>
        <w:rPr>
          <w:sz w:val="23"/>
          <w:szCs w:val="23"/>
        </w:rPr>
      </w:pPr>
      <w:r w:rsidRPr="001254E2">
        <w:rPr>
          <w:sz w:val="23"/>
          <w:szCs w:val="23"/>
        </w:rPr>
        <w:t xml:space="preserve">Lietuvos Respublikos administracinių </w:t>
      </w:r>
      <w:r w:rsidR="004D7D14" w:rsidRPr="001254E2">
        <w:rPr>
          <w:sz w:val="23"/>
          <w:szCs w:val="23"/>
        </w:rPr>
        <w:t>ginčų komisijų įstatymo Nr. VIII-1031 pakeitimo įstatymu</w:t>
      </w:r>
      <w:r w:rsidRPr="001254E2">
        <w:rPr>
          <w:sz w:val="23"/>
          <w:szCs w:val="23"/>
        </w:rPr>
        <w:t xml:space="preserve"> XII</w:t>
      </w:r>
      <w:r w:rsidR="004D7D14" w:rsidRPr="001254E2">
        <w:rPr>
          <w:sz w:val="23"/>
          <w:szCs w:val="23"/>
        </w:rPr>
        <w:t>I</w:t>
      </w:r>
      <w:r w:rsidRPr="001254E2">
        <w:rPr>
          <w:sz w:val="23"/>
          <w:szCs w:val="23"/>
        </w:rPr>
        <w:t>-</w:t>
      </w:r>
      <w:r w:rsidR="004D7D14" w:rsidRPr="001254E2">
        <w:rPr>
          <w:sz w:val="23"/>
          <w:szCs w:val="23"/>
        </w:rPr>
        <w:t>2400</w:t>
      </w:r>
      <w:r w:rsidRPr="001254E2">
        <w:rPr>
          <w:sz w:val="23"/>
          <w:szCs w:val="23"/>
        </w:rPr>
        <w:t xml:space="preserve">, </w:t>
      </w:r>
      <w:r w:rsidR="004D7D14" w:rsidRPr="001254E2">
        <w:rPr>
          <w:sz w:val="23"/>
          <w:szCs w:val="23"/>
        </w:rPr>
        <w:t xml:space="preserve">2018 m. sausio 1 d. </w:t>
      </w:r>
      <w:r w:rsidR="00354464" w:rsidRPr="001254E2">
        <w:rPr>
          <w:sz w:val="23"/>
          <w:szCs w:val="23"/>
        </w:rPr>
        <w:t>į</w:t>
      </w:r>
      <w:r w:rsidR="004D7D14" w:rsidRPr="001254E2">
        <w:rPr>
          <w:sz w:val="23"/>
          <w:szCs w:val="23"/>
        </w:rPr>
        <w:t>siga</w:t>
      </w:r>
      <w:r w:rsidR="00354464" w:rsidRPr="001254E2">
        <w:rPr>
          <w:sz w:val="23"/>
          <w:szCs w:val="23"/>
        </w:rPr>
        <w:t>l</w:t>
      </w:r>
      <w:r w:rsidR="004D7D14" w:rsidRPr="001254E2">
        <w:rPr>
          <w:sz w:val="23"/>
          <w:szCs w:val="23"/>
        </w:rPr>
        <w:t xml:space="preserve">ios </w:t>
      </w:r>
      <w:r w:rsidR="00354464" w:rsidRPr="001254E2">
        <w:rPr>
          <w:sz w:val="23"/>
          <w:szCs w:val="23"/>
        </w:rPr>
        <w:t xml:space="preserve">naujas Lietuvos Respublikos </w:t>
      </w:r>
      <w:bookmarkStart w:id="2" w:name="_Hlk501378772"/>
      <w:r w:rsidR="00354464" w:rsidRPr="001254E2">
        <w:rPr>
          <w:sz w:val="23"/>
          <w:szCs w:val="23"/>
        </w:rPr>
        <w:t>ikiteisminio administracinių ginčų nagrinėjimo tvarkos įstatymas</w:t>
      </w:r>
      <w:bookmarkEnd w:id="2"/>
      <w:r w:rsidR="00354464" w:rsidRPr="001254E2">
        <w:rPr>
          <w:sz w:val="23"/>
          <w:szCs w:val="23"/>
        </w:rPr>
        <w:t xml:space="preserve">, </w:t>
      </w:r>
      <w:r w:rsidRPr="001254E2">
        <w:rPr>
          <w:sz w:val="23"/>
          <w:szCs w:val="23"/>
        </w:rPr>
        <w:t xml:space="preserve">kuriuo </w:t>
      </w:r>
      <w:r w:rsidR="00354464" w:rsidRPr="001254E2">
        <w:rPr>
          <w:sz w:val="23"/>
          <w:szCs w:val="23"/>
        </w:rPr>
        <w:t xml:space="preserve">nėra numatyta savivaldybėms sudaryti visuomenines administracinių ginčų komisijas, kaip buvo iki šiol. </w:t>
      </w:r>
      <w:r w:rsidRPr="001254E2">
        <w:rPr>
          <w:sz w:val="23"/>
          <w:szCs w:val="23"/>
        </w:rPr>
        <w:t xml:space="preserve">Įsigaliojus </w:t>
      </w:r>
      <w:r w:rsidR="00354464" w:rsidRPr="001254E2">
        <w:rPr>
          <w:sz w:val="23"/>
          <w:szCs w:val="23"/>
        </w:rPr>
        <w:t>Ikiteisminio administracinių ginčų nagrinėjimo tvarkos įstatymui</w:t>
      </w:r>
      <w:r w:rsidRPr="001254E2">
        <w:rPr>
          <w:sz w:val="23"/>
          <w:szCs w:val="23"/>
        </w:rPr>
        <w:t xml:space="preserve">, neteks galios </w:t>
      </w:r>
      <w:r w:rsidR="00354464" w:rsidRPr="001254E2">
        <w:rPr>
          <w:sz w:val="23"/>
          <w:szCs w:val="23"/>
        </w:rPr>
        <w:t xml:space="preserve">Lietuvos Respublikos administracinių ginčų komisijų įstatymas </w:t>
      </w:r>
      <w:r w:rsidRPr="001254E2">
        <w:rPr>
          <w:sz w:val="23"/>
          <w:szCs w:val="23"/>
        </w:rPr>
        <w:t>su visais pakeitimais ir papildymais. Administracini</w:t>
      </w:r>
      <w:r w:rsidR="00354464" w:rsidRPr="001254E2">
        <w:rPr>
          <w:sz w:val="23"/>
          <w:szCs w:val="23"/>
        </w:rPr>
        <w:t>us ginčus nagrinės</w:t>
      </w:r>
      <w:r w:rsidR="001254E2" w:rsidRPr="001254E2">
        <w:rPr>
          <w:sz w:val="23"/>
          <w:szCs w:val="23"/>
        </w:rPr>
        <w:t xml:space="preserve"> Lietuvos </w:t>
      </w:r>
      <w:r w:rsidR="004D3202" w:rsidRPr="001254E2">
        <w:rPr>
          <w:sz w:val="23"/>
          <w:szCs w:val="23"/>
        </w:rPr>
        <w:t xml:space="preserve">Respublikos Vyriausybės </w:t>
      </w:r>
      <w:r w:rsidR="001254E2" w:rsidRPr="001254E2">
        <w:rPr>
          <w:sz w:val="23"/>
          <w:szCs w:val="23"/>
        </w:rPr>
        <w:t>sudaryta Lietuvos administracinių ginčų komisija ir jos teritoriniai padaliniai: Kauno apygardos skyrius, Klaipėdos apygardos skyrius, Panevėžio apygardos skyrius ir Šiaulių apygardos skyrius</w:t>
      </w:r>
      <w:r w:rsidRPr="001254E2">
        <w:rPr>
          <w:sz w:val="23"/>
          <w:szCs w:val="23"/>
        </w:rPr>
        <w:t xml:space="preserve">, todėl  savivaldybės Tarybos sprendimas, kuriuo buvo sudaryta </w:t>
      </w:r>
      <w:r w:rsidR="001254E2" w:rsidRPr="001254E2">
        <w:rPr>
          <w:sz w:val="23"/>
          <w:szCs w:val="23"/>
        </w:rPr>
        <w:t xml:space="preserve">Kėdainių rajono savivaldybės </w:t>
      </w:r>
      <w:r w:rsidR="001254E2" w:rsidRPr="001254E2">
        <w:rPr>
          <w:rFonts w:eastAsia="Times New Roman"/>
          <w:bCs/>
          <w:sz w:val="23"/>
          <w:szCs w:val="23"/>
          <w:lang w:eastAsia="ar-SA"/>
        </w:rPr>
        <w:t>visuomeninė administracinių ginčų komisija</w:t>
      </w:r>
      <w:r w:rsidRPr="001254E2">
        <w:rPr>
          <w:rFonts w:eastAsia="Times New Roman"/>
          <w:bCs/>
          <w:sz w:val="23"/>
          <w:szCs w:val="23"/>
          <w:lang w:eastAsia="ar-SA"/>
        </w:rPr>
        <w:t>, turėtų būti pripažintas netekusiu galios</w:t>
      </w:r>
      <w:r w:rsidRPr="001254E2">
        <w:rPr>
          <w:sz w:val="23"/>
          <w:szCs w:val="23"/>
        </w:rPr>
        <w:t>.</w:t>
      </w:r>
    </w:p>
    <w:p w:rsidR="004A0867" w:rsidRPr="001254E2" w:rsidRDefault="004A0867" w:rsidP="004A0867">
      <w:pPr>
        <w:ind w:firstLine="709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Lėšų poreikis (jeigu sprendimui įgyvendinti reikalingos lėšos):</w:t>
      </w:r>
    </w:p>
    <w:p w:rsidR="004A0867" w:rsidRPr="001254E2" w:rsidRDefault="004A0867" w:rsidP="004A0867">
      <w:pPr>
        <w:ind w:firstLine="709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-</w:t>
      </w:r>
    </w:p>
    <w:p w:rsidR="004A0867" w:rsidRPr="001254E2" w:rsidRDefault="004A0867" w:rsidP="004A0867">
      <w:pPr>
        <w:ind w:firstLine="709"/>
        <w:rPr>
          <w:b/>
          <w:sz w:val="23"/>
          <w:szCs w:val="23"/>
        </w:rPr>
      </w:pPr>
      <w:r w:rsidRPr="001254E2">
        <w:rPr>
          <w:b/>
          <w:sz w:val="23"/>
          <w:szCs w:val="23"/>
        </w:rPr>
        <w:t>Laukiami rezultatai:</w:t>
      </w:r>
    </w:p>
    <w:p w:rsidR="004A0867" w:rsidRPr="001254E2" w:rsidRDefault="004A0867" w:rsidP="004A0867">
      <w:pPr>
        <w:ind w:firstLine="709"/>
        <w:jc w:val="both"/>
        <w:rPr>
          <w:rFonts w:eastAsia="Calibri"/>
          <w:sz w:val="23"/>
          <w:szCs w:val="23"/>
        </w:rPr>
      </w:pPr>
      <w:r w:rsidRPr="001254E2">
        <w:rPr>
          <w:rFonts w:eastAsia="Calibri"/>
          <w:sz w:val="23"/>
          <w:szCs w:val="23"/>
        </w:rPr>
        <w:t xml:space="preserve">Priėmus sprendimą bus pripažintas netekusiu galios </w:t>
      </w:r>
      <w:r w:rsidR="00AE4476" w:rsidRPr="001254E2">
        <w:rPr>
          <w:rFonts w:eastAsia="Times New Roman"/>
          <w:bCs/>
          <w:sz w:val="23"/>
          <w:szCs w:val="23"/>
          <w:lang w:eastAsia="ar-SA"/>
        </w:rPr>
        <w:t>Kėdainių rajono savivaldybės 2015 m. liepos 3 d. Nr. TS-140 sprendimą „Dėl</w:t>
      </w:r>
      <w:r w:rsidR="00AE4476" w:rsidRPr="001254E2">
        <w:rPr>
          <w:rFonts w:eastAsia="Times New Roman"/>
          <w:b/>
          <w:bCs/>
          <w:sz w:val="23"/>
          <w:szCs w:val="23"/>
          <w:lang w:eastAsia="ar-SA"/>
        </w:rPr>
        <w:t xml:space="preserve"> </w:t>
      </w:r>
      <w:r w:rsidR="00AE4476" w:rsidRPr="001254E2">
        <w:rPr>
          <w:rFonts w:eastAsia="Times New Roman"/>
          <w:bCs/>
          <w:sz w:val="23"/>
          <w:szCs w:val="23"/>
          <w:lang w:eastAsia="ar-SA"/>
        </w:rPr>
        <w:t xml:space="preserve">Kėdainių rajono savivaldybės visuomeninės administracinių ginčų komisijos sudarymo“. </w:t>
      </w:r>
    </w:p>
    <w:p w:rsidR="004A0867" w:rsidRPr="001254E2" w:rsidRDefault="004A0867" w:rsidP="004A0867">
      <w:pPr>
        <w:ind w:firstLine="709"/>
        <w:rPr>
          <w:rFonts w:eastAsia="Calibri"/>
          <w:b/>
          <w:sz w:val="23"/>
          <w:szCs w:val="23"/>
        </w:rPr>
      </w:pPr>
      <w:r w:rsidRPr="001254E2">
        <w:rPr>
          <w:b/>
          <w:bCs/>
          <w:sz w:val="23"/>
          <w:szCs w:val="23"/>
        </w:rPr>
        <w:t xml:space="preserve">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4A0867" w:rsidRPr="001254E2" w:rsidTr="004A086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b/>
                <w:kern w:val="2"/>
                <w:sz w:val="23"/>
                <w:szCs w:val="23"/>
                <w:lang w:bidi="lo-LA"/>
              </w:rPr>
            </w:pPr>
            <w:r w:rsidRPr="001254E2">
              <w:rPr>
                <w:b/>
                <w:sz w:val="23"/>
                <w:szCs w:val="23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b/>
                <w:bCs/>
                <w:kern w:val="2"/>
                <w:sz w:val="23"/>
                <w:szCs w:val="23"/>
              </w:rPr>
            </w:pPr>
            <w:r w:rsidRPr="001254E2">
              <w:rPr>
                <w:b/>
                <w:bCs/>
                <w:sz w:val="23"/>
                <w:szCs w:val="23"/>
              </w:rPr>
              <w:t>Numatomo teisinio reguliavimo poveikio vertinimo rezultatai</w:t>
            </w:r>
          </w:p>
        </w:tc>
      </w:tr>
      <w:tr w:rsidR="004A0867" w:rsidRPr="001254E2" w:rsidTr="004A086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67" w:rsidRPr="001254E2" w:rsidRDefault="004A0867">
            <w:pPr>
              <w:widowControl/>
              <w:suppressAutoHyphens w:val="0"/>
              <w:rPr>
                <w:b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b/>
                <w:kern w:val="2"/>
                <w:sz w:val="23"/>
                <w:szCs w:val="23"/>
              </w:rPr>
            </w:pPr>
            <w:r w:rsidRPr="001254E2">
              <w:rPr>
                <w:b/>
                <w:sz w:val="23"/>
                <w:szCs w:val="23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rFonts w:eastAsia="Calibri"/>
                <w:b/>
                <w:kern w:val="2"/>
                <w:sz w:val="23"/>
                <w:szCs w:val="23"/>
                <w:lang w:bidi="lo-LA"/>
              </w:rPr>
            </w:pPr>
            <w:r w:rsidRPr="001254E2">
              <w:rPr>
                <w:b/>
                <w:sz w:val="23"/>
                <w:szCs w:val="23"/>
              </w:rPr>
              <w:t>Neigiamas poveikis</w:t>
            </w:r>
          </w:p>
          <w:p w:rsidR="004A0867" w:rsidRPr="001254E2" w:rsidRDefault="004A0867">
            <w:pPr>
              <w:spacing w:line="256" w:lineRule="auto"/>
              <w:rPr>
                <w:b/>
                <w:i/>
                <w:kern w:val="2"/>
                <w:sz w:val="23"/>
                <w:szCs w:val="23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  <w:tr w:rsidR="004A0867" w:rsidRPr="001254E2" w:rsidTr="004A08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  <w:r w:rsidRPr="001254E2">
              <w:rPr>
                <w:i/>
                <w:sz w:val="23"/>
                <w:szCs w:val="23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jc w:val="center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67" w:rsidRPr="001254E2" w:rsidRDefault="004A0867">
            <w:pPr>
              <w:spacing w:line="256" w:lineRule="auto"/>
              <w:rPr>
                <w:i/>
                <w:kern w:val="2"/>
                <w:sz w:val="23"/>
                <w:szCs w:val="23"/>
                <w:lang w:bidi="lo-LA"/>
              </w:rPr>
            </w:pPr>
          </w:p>
        </w:tc>
      </w:tr>
    </w:tbl>
    <w:p w:rsidR="004A0867" w:rsidRPr="001254E2" w:rsidRDefault="004A0867" w:rsidP="004A0867">
      <w:pPr>
        <w:jc w:val="both"/>
        <w:rPr>
          <w:rFonts w:eastAsia="Calibri"/>
          <w:kern w:val="2"/>
          <w:sz w:val="23"/>
          <w:szCs w:val="23"/>
          <w:lang w:bidi="lo-LA"/>
        </w:rPr>
      </w:pPr>
      <w:r w:rsidRPr="001254E2">
        <w:rPr>
          <w:b/>
          <w:sz w:val="23"/>
          <w:szCs w:val="23"/>
          <w:lang w:bidi="lo-LA"/>
        </w:rPr>
        <w:t>*</w:t>
      </w:r>
      <w:r w:rsidRPr="001254E2">
        <w:rPr>
          <w:bCs/>
          <w:sz w:val="23"/>
          <w:szCs w:val="23"/>
        </w:rPr>
        <w:t xml:space="preserve"> Numatomo teisinio reguliavimo poveikio vertinimas atliekamas r</w:t>
      </w:r>
      <w:r w:rsidRPr="001254E2">
        <w:rPr>
          <w:sz w:val="23"/>
          <w:szCs w:val="23"/>
        </w:rPr>
        <w:t>engiant teisės akto, kuriuo numatoma reglamentuoti iki tol nereglamentuotus santykius, taip pat kuriuo iš esmės keičiamas teisinis reguliavimas, projektą.</w:t>
      </w:r>
      <w:r w:rsidRPr="001254E2">
        <w:rPr>
          <w:sz w:val="23"/>
          <w:szCs w:val="23"/>
          <w:lang w:bidi="lo-LA"/>
        </w:rPr>
        <w:t xml:space="preserve"> </w:t>
      </w:r>
      <w:r w:rsidRPr="001254E2">
        <w:rPr>
          <w:sz w:val="23"/>
          <w:szCs w:val="23"/>
        </w:rPr>
        <w:t>Atliekant vertinimą, nustatomas galimas teigiamas ir neigiamas poveikis to teisinio reguliavimo sričiai, asmenims ar jų grupėms, kuriems bus taikomas numatomas teisinis reguliavimas.</w:t>
      </w:r>
    </w:p>
    <w:p w:rsidR="004A0867" w:rsidRPr="001254E2" w:rsidRDefault="004A0867" w:rsidP="004A0867">
      <w:pPr>
        <w:pStyle w:val="Paantrat"/>
        <w:rPr>
          <w:sz w:val="23"/>
          <w:szCs w:val="23"/>
          <w:lang w:eastAsia="ar-SA"/>
        </w:rPr>
      </w:pPr>
    </w:p>
    <w:p w:rsidR="004A0867" w:rsidRPr="001254E2" w:rsidRDefault="004A0867" w:rsidP="004A0867">
      <w:pPr>
        <w:pStyle w:val="Paantrat"/>
        <w:rPr>
          <w:sz w:val="23"/>
          <w:szCs w:val="23"/>
          <w:lang w:eastAsia="ar-SA"/>
        </w:rPr>
      </w:pPr>
    </w:p>
    <w:p w:rsidR="00B46832" w:rsidRPr="004F34C9" w:rsidRDefault="004A0867" w:rsidP="004A0867">
      <w:r w:rsidRPr="001254E2">
        <w:rPr>
          <w:sz w:val="23"/>
          <w:szCs w:val="23"/>
        </w:rPr>
        <w:t xml:space="preserve">Teisės ir viešosios tvarkos skyriaus vedėjas </w:t>
      </w:r>
      <w:r w:rsidRPr="001254E2">
        <w:rPr>
          <w:sz w:val="23"/>
          <w:szCs w:val="23"/>
        </w:rPr>
        <w:tab/>
      </w:r>
      <w:r w:rsidRPr="001254E2">
        <w:rPr>
          <w:sz w:val="23"/>
          <w:szCs w:val="23"/>
        </w:rPr>
        <w:tab/>
      </w:r>
      <w:r w:rsidRPr="001254E2">
        <w:rPr>
          <w:sz w:val="23"/>
          <w:szCs w:val="23"/>
        </w:rPr>
        <w:tab/>
        <w:t xml:space="preserve">Dalius Ramonas   </w:t>
      </w:r>
      <w:r>
        <w:t xml:space="preserve">              </w:t>
      </w:r>
    </w:p>
    <w:sectPr w:rsidR="00B46832" w:rsidRPr="004F34C9" w:rsidSect="008B7F7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D4F"/>
    <w:multiLevelType w:val="hybridMultilevel"/>
    <w:tmpl w:val="DDAC925E"/>
    <w:lvl w:ilvl="0" w:tplc="41A6E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9D156A"/>
    <w:multiLevelType w:val="hybridMultilevel"/>
    <w:tmpl w:val="51F81206"/>
    <w:lvl w:ilvl="0" w:tplc="FE3280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1A"/>
    <w:rsid w:val="001254E2"/>
    <w:rsid w:val="00233CD0"/>
    <w:rsid w:val="002456CC"/>
    <w:rsid w:val="00354464"/>
    <w:rsid w:val="0047081A"/>
    <w:rsid w:val="004A0867"/>
    <w:rsid w:val="004D3202"/>
    <w:rsid w:val="004D7D14"/>
    <w:rsid w:val="00520F25"/>
    <w:rsid w:val="006C760B"/>
    <w:rsid w:val="00765B88"/>
    <w:rsid w:val="007730A7"/>
    <w:rsid w:val="008B7F76"/>
    <w:rsid w:val="008F1976"/>
    <w:rsid w:val="008F5A83"/>
    <w:rsid w:val="009B3768"/>
    <w:rsid w:val="00AE4476"/>
    <w:rsid w:val="00B46832"/>
    <w:rsid w:val="00BC4391"/>
    <w:rsid w:val="00D87D2C"/>
    <w:rsid w:val="00D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34045-2136-4E95-82EA-5D247AC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68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46832"/>
    <w:pPr>
      <w:spacing w:after="120"/>
    </w:pPr>
    <w:rPr>
      <w:rFonts w:eastAsia="Times New Roman"/>
      <w:kern w:val="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6832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,Char Diagrama1 Diagrama"/>
    <w:basedOn w:val="prastasis"/>
    <w:link w:val="PaantratDiagrama"/>
    <w:qFormat/>
    <w:rsid w:val="00B46832"/>
    <w:pPr>
      <w:widowControl/>
      <w:suppressAutoHyphens w:val="0"/>
      <w:jc w:val="center"/>
    </w:pPr>
    <w:rPr>
      <w:rFonts w:eastAsia="Times New Roman"/>
      <w:b/>
      <w:kern w:val="0"/>
      <w:szCs w:val="20"/>
      <w:lang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B4683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Grietas">
    <w:name w:val="Strong"/>
    <w:uiPriority w:val="22"/>
    <w:qFormat/>
    <w:rsid w:val="00B4683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B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B88"/>
    <w:rPr>
      <w:rFonts w:ascii="Segoe UI" w:eastAsia="Lucida Sans Unicode" w:hAnsi="Segoe UI" w:cs="Segoe UI"/>
      <w:kern w:val="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E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7</cp:revision>
  <cp:lastPrinted>2017-12-18T15:03:00Z</cp:lastPrinted>
  <dcterms:created xsi:type="dcterms:W3CDTF">2017-12-18T13:44:00Z</dcterms:created>
  <dcterms:modified xsi:type="dcterms:W3CDTF">2017-12-21T09:01:00Z</dcterms:modified>
</cp:coreProperties>
</file>